
<file path=[Content_Types].xml><?xml version="1.0" encoding="utf-8"?>
<Types xmlns="http://schemas.openxmlformats.org/package/2006/content-types">
  <Default Extension="xml" ContentType="application/xml"/>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Microsoft_Visio_2003-2010___1.vsd" ContentType="application/vnd.visio"/>
  <Override PartName="/word/embeddings/Microsoft_Visio_2003-2010___2.vsd" ContentType="application/vnd.visio"/>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ins w:id="0" w:author="易鸣" w:date="2021-11-22T21:26:00Z"/>
          <w:sz w:val="72"/>
          <w:szCs w:val="72"/>
        </w:rPr>
      </w:pPr>
    </w:p>
    <w:p>
      <w:pPr>
        <w:jc w:val="center"/>
        <w:rPr>
          <w:ins w:id="1" w:author="易鸣" w:date="2021-11-22T21:26:00Z"/>
          <w:sz w:val="72"/>
          <w:szCs w:val="72"/>
        </w:rPr>
      </w:pPr>
    </w:p>
    <w:p>
      <w:pPr>
        <w:jc w:val="center"/>
        <w:rPr>
          <w:ins w:id="2" w:author="易鸣" w:date="2021-11-22T21:26:00Z"/>
          <w:sz w:val="72"/>
          <w:szCs w:val="72"/>
        </w:rPr>
      </w:pPr>
    </w:p>
    <w:p>
      <w:pPr>
        <w:jc w:val="center"/>
        <w:rPr>
          <w:sz w:val="72"/>
          <w:szCs w:val="72"/>
        </w:rPr>
      </w:pPr>
      <w:r>
        <w:rPr>
          <w:rFonts w:hint="eastAsia"/>
          <w:sz w:val="72"/>
          <w:szCs w:val="72"/>
        </w:rPr>
        <w:t>建设项目环境影响报告表</w:t>
      </w:r>
    </w:p>
    <w:p>
      <w:pPr>
        <w:jc w:val="center"/>
        <w:rPr>
          <w:sz w:val="72"/>
          <w:szCs w:val="72"/>
        </w:rPr>
      </w:pPr>
      <w:r>
        <w:rPr>
          <w:rFonts w:hint="eastAsia"/>
          <w:sz w:val="72"/>
          <w:szCs w:val="72"/>
        </w:rPr>
        <w:t>（污染影响类）</w:t>
      </w:r>
    </w:p>
    <w:p>
      <w:pPr>
        <w:jc w:val="center"/>
        <w:rPr>
          <w:rFonts w:eastAsia="仿宋"/>
          <w:sz w:val="52"/>
          <w:szCs w:val="52"/>
        </w:rPr>
      </w:pPr>
    </w:p>
    <w:p>
      <w:pPr>
        <w:pStyle w:val="16"/>
        <w:rPr>
          <w:rFonts w:eastAsia="仿宋"/>
          <w:sz w:val="52"/>
          <w:szCs w:val="52"/>
        </w:rPr>
      </w:pPr>
    </w:p>
    <w:p>
      <w:pPr>
        <w:ind w:firstLine="1040"/>
        <w:rPr>
          <w:rFonts w:eastAsia="仿宋"/>
          <w:sz w:val="44"/>
          <w:szCs w:val="44"/>
        </w:rPr>
      </w:pPr>
    </w:p>
    <w:p>
      <w:pPr>
        <w:ind w:firstLine="1040"/>
        <w:rPr>
          <w:rFonts w:eastAsia="仿宋"/>
          <w:sz w:val="44"/>
          <w:szCs w:val="44"/>
        </w:rPr>
      </w:pPr>
    </w:p>
    <w:p>
      <w:pPr>
        <w:ind w:firstLine="1920" w:firstLineChars="600"/>
        <w:rPr>
          <w:sz w:val="32"/>
          <w:szCs w:val="32"/>
        </w:rPr>
      </w:pPr>
    </w:p>
    <w:p>
      <w:pPr>
        <w:jc w:val="left"/>
        <w:rPr>
          <w:sz w:val="32"/>
          <w:szCs w:val="32"/>
          <w:u w:val="single"/>
        </w:rPr>
      </w:pPr>
      <w:r>
        <w:rPr>
          <w:rFonts w:hint="eastAsia"/>
          <w:sz w:val="32"/>
          <w:szCs w:val="32"/>
        </w:rPr>
        <w:t>项目名称：</w:t>
      </w:r>
      <w:r>
        <w:rPr>
          <w:rFonts w:hint="eastAsia"/>
          <w:sz w:val="32"/>
          <w:szCs w:val="32"/>
          <w:u w:val="single"/>
        </w:rPr>
        <w:t xml:space="preserve">     年接收船舶污染物20900吨建设项目             </w:t>
      </w:r>
    </w:p>
    <w:p>
      <w:pPr>
        <w:jc w:val="left"/>
        <w:rPr>
          <w:sz w:val="32"/>
          <w:szCs w:val="32"/>
          <w:u w:val="single"/>
        </w:rPr>
      </w:pPr>
      <w:r>
        <w:rPr>
          <w:rFonts w:hint="eastAsia"/>
          <w:sz w:val="32"/>
          <w:szCs w:val="32"/>
        </w:rPr>
        <w:t>建设单位（盖章）：</w:t>
      </w:r>
      <w:r>
        <w:rPr>
          <w:rFonts w:hint="eastAsia"/>
          <w:sz w:val="32"/>
          <w:szCs w:val="32"/>
          <w:u w:val="single"/>
        </w:rPr>
        <w:t xml:space="preserve"> 湖南清源环保船舶污染物接收有限公司           </w:t>
      </w:r>
    </w:p>
    <w:p>
      <w:pPr>
        <w:jc w:val="left"/>
        <w:rPr>
          <w:sz w:val="32"/>
          <w:szCs w:val="32"/>
          <w:u w:val="single"/>
        </w:rPr>
      </w:pPr>
      <w:r>
        <w:rPr>
          <w:rFonts w:hint="eastAsia"/>
          <w:sz w:val="32"/>
          <w:szCs w:val="32"/>
        </w:rPr>
        <w:t>编制日期：</w:t>
      </w:r>
      <w:r>
        <w:rPr>
          <w:rFonts w:hint="eastAsia"/>
          <w:sz w:val="32"/>
          <w:szCs w:val="32"/>
          <w:u w:val="single"/>
        </w:rPr>
        <w:t xml:space="preserve">                2021年11月                    </w:t>
      </w:r>
    </w:p>
    <w:p>
      <w:pPr>
        <w:adjustRightInd w:val="0"/>
        <w:snapToGrid w:val="0"/>
        <w:spacing w:line="288" w:lineRule="auto"/>
        <w:ind w:firstLine="1040"/>
        <w:rPr>
          <w:rFonts w:ascii="仿宋_GB2312" w:eastAsia="仿宋_GB2312"/>
          <w:sz w:val="36"/>
          <w:szCs w:val="36"/>
          <w:u w:val="single"/>
        </w:rPr>
      </w:pPr>
      <w:bookmarkStart w:id="0" w:name="_Hlk57884087"/>
    </w:p>
    <w:p>
      <w:pPr>
        <w:adjustRightInd w:val="0"/>
        <w:snapToGrid w:val="0"/>
        <w:spacing w:line="288" w:lineRule="auto"/>
        <w:ind w:firstLine="1040"/>
        <w:rPr>
          <w:rFonts w:ascii="仿宋_GB2312" w:eastAsia="仿宋_GB2312"/>
          <w:sz w:val="36"/>
          <w:szCs w:val="36"/>
        </w:rPr>
      </w:pPr>
    </w:p>
    <w:p>
      <w:pPr>
        <w:adjustRightInd w:val="0"/>
        <w:snapToGrid w:val="0"/>
        <w:spacing w:line="288" w:lineRule="auto"/>
        <w:ind w:firstLine="1040"/>
        <w:rPr>
          <w:rFonts w:ascii="仿宋_GB2312" w:eastAsia="仿宋_GB2312"/>
          <w:sz w:val="36"/>
          <w:szCs w:val="36"/>
        </w:rPr>
      </w:pPr>
    </w:p>
    <w:p>
      <w:pPr>
        <w:adjustRightInd w:val="0"/>
        <w:snapToGrid w:val="0"/>
        <w:spacing w:line="288" w:lineRule="auto"/>
        <w:ind w:firstLine="1040"/>
        <w:rPr>
          <w:rFonts w:ascii="仿宋_GB2312" w:eastAsia="仿宋_GB2312"/>
          <w:sz w:val="36"/>
          <w:szCs w:val="36"/>
        </w:rPr>
      </w:pPr>
    </w:p>
    <w:p>
      <w:pPr>
        <w:adjustRightInd w:val="0"/>
        <w:snapToGrid w:val="0"/>
        <w:spacing w:line="288" w:lineRule="auto"/>
        <w:ind w:firstLine="1040"/>
        <w:rPr>
          <w:rFonts w:ascii="仿宋_GB2312" w:eastAsia="仿宋_GB2312"/>
          <w:sz w:val="36"/>
          <w:szCs w:val="36"/>
        </w:rPr>
      </w:pPr>
    </w:p>
    <w:bookmarkEnd w:id="0"/>
    <w:p>
      <w:pPr>
        <w:spacing w:line="360" w:lineRule="auto"/>
        <w:jc w:val="center"/>
        <w:rPr>
          <w:rFonts w:hAnsi="宋体"/>
          <w:b/>
          <w:sz w:val="30"/>
        </w:rPr>
      </w:pPr>
    </w:p>
    <w:p>
      <w:pPr>
        <w:widowControl/>
        <w:jc w:val="center"/>
      </w:pPr>
      <w:r>
        <w:rPr>
          <w:rFonts w:ascii="楷体" w:hAnsi="楷体" w:eastAsia="楷体" w:cs="楷体"/>
          <w:color w:val="000000"/>
          <w:kern w:val="0"/>
          <w:sz w:val="36"/>
          <w:szCs w:val="36"/>
        </w:rPr>
        <w:t>中华人民共和国生态环境部制</w:t>
      </w:r>
    </w:p>
    <w:p>
      <w:pPr>
        <w:pStyle w:val="2"/>
        <w:sectPr>
          <w:footerReference r:id="rId3" w:type="default"/>
          <w:pgSz w:w="11906" w:h="16838"/>
          <w:pgMar w:top="1440" w:right="1417" w:bottom="1440" w:left="1417" w:header="851" w:footer="992" w:gutter="0"/>
          <w:pgNumType w:start="1"/>
          <w:cols w:space="720" w:num="1"/>
          <w:docGrid w:type="lines" w:linePitch="312" w:charSpace="0"/>
        </w:sectPr>
      </w:pPr>
    </w:p>
    <w:p>
      <w:pPr>
        <w:tabs>
          <w:tab w:val="left" w:pos="993"/>
        </w:tabs>
        <w:spacing w:line="360" w:lineRule="auto"/>
        <w:ind w:left="420" w:leftChars="200"/>
        <w:jc w:val="center"/>
        <w:rPr>
          <w:rFonts w:ascii="宋体" w:eastAsiaTheme="minorEastAsia"/>
          <w:b/>
          <w:sz w:val="28"/>
          <w:szCs w:val="28"/>
        </w:rPr>
      </w:pPr>
      <w:r>
        <w:rPr>
          <w:rFonts w:hint="eastAsia" w:ascii="宋体"/>
          <w:b/>
          <w:sz w:val="28"/>
          <w:szCs w:val="28"/>
        </w:rPr>
        <w:t>修 改 说 明</w:t>
      </w:r>
    </w:p>
    <w:p>
      <w:pPr>
        <w:numPr>
          <w:ilvl w:val="0"/>
          <w:numId w:val="2"/>
        </w:numPr>
        <w:tabs>
          <w:tab w:val="left" w:pos="993"/>
        </w:tabs>
        <w:spacing w:line="360" w:lineRule="auto"/>
        <w:ind w:left="68" w:firstLine="562"/>
        <w:rPr>
          <w:rFonts w:ascii="宋体"/>
          <w:b/>
          <w:sz w:val="28"/>
          <w:szCs w:val="28"/>
        </w:rPr>
      </w:pPr>
      <w:r>
        <w:rPr>
          <w:rFonts w:hint="eastAsia" w:ascii="宋体"/>
          <w:b/>
          <w:sz w:val="28"/>
          <w:szCs w:val="28"/>
        </w:rPr>
        <w:t>强化项目由来及建设的必要性；完善项目依托码头泊位的可行性和环境合理性分析。</w:t>
      </w:r>
    </w:p>
    <w:p>
      <w:pPr>
        <w:tabs>
          <w:tab w:val="left" w:pos="993"/>
        </w:tabs>
        <w:spacing w:line="360" w:lineRule="auto"/>
        <w:ind w:firstLine="560" w:firstLineChars="200"/>
        <w:rPr>
          <w:rFonts w:ascii="宋体" w:eastAsiaTheme="minorEastAsia"/>
          <w:bCs/>
          <w:sz w:val="28"/>
          <w:szCs w:val="28"/>
        </w:rPr>
      </w:pPr>
      <w:r>
        <w:rPr>
          <w:rFonts w:hint="eastAsia" w:ascii="宋体"/>
          <w:bCs/>
          <w:sz w:val="28"/>
          <w:szCs w:val="28"/>
        </w:rPr>
        <w:t>修改说明：已强化项目由来及建设的必要性；见P10，已完善项目依托码头泊位的可行性和环境合理性分析。见P6</w:t>
      </w:r>
    </w:p>
    <w:p>
      <w:pPr>
        <w:numPr>
          <w:ilvl w:val="0"/>
          <w:numId w:val="2"/>
        </w:numPr>
        <w:tabs>
          <w:tab w:val="left" w:pos="993"/>
        </w:tabs>
        <w:spacing w:line="360" w:lineRule="auto"/>
        <w:ind w:left="68" w:firstLine="562"/>
        <w:rPr>
          <w:rFonts w:ascii="宋体"/>
          <w:b/>
          <w:sz w:val="28"/>
          <w:szCs w:val="28"/>
        </w:rPr>
      </w:pPr>
      <w:r>
        <w:rPr>
          <w:rFonts w:hint="eastAsia" w:ascii="宋体"/>
          <w:b/>
          <w:sz w:val="28"/>
          <w:szCs w:val="28"/>
        </w:rPr>
        <w:t>完善现有项目风险防范、环境管理等存在的环境问题调查和“以新带老”措施。</w:t>
      </w:r>
    </w:p>
    <w:p>
      <w:pPr>
        <w:tabs>
          <w:tab w:val="left" w:pos="993"/>
        </w:tabs>
        <w:spacing w:line="360" w:lineRule="auto"/>
        <w:ind w:firstLine="560" w:firstLineChars="200"/>
        <w:rPr>
          <w:rFonts w:ascii="宋体" w:eastAsiaTheme="minorEastAsia"/>
          <w:b/>
          <w:sz w:val="28"/>
          <w:szCs w:val="28"/>
        </w:rPr>
      </w:pPr>
      <w:r>
        <w:rPr>
          <w:rFonts w:hint="eastAsia" w:ascii="宋体"/>
          <w:bCs/>
          <w:sz w:val="28"/>
          <w:szCs w:val="28"/>
        </w:rPr>
        <w:t>修改说明：已完善现有项目风险防范、环境管理等存在的环境问题调查和“以新带老”措施。见P27。</w:t>
      </w:r>
    </w:p>
    <w:p>
      <w:pPr>
        <w:numPr>
          <w:ilvl w:val="0"/>
          <w:numId w:val="2"/>
        </w:numPr>
        <w:tabs>
          <w:tab w:val="left" w:pos="993"/>
        </w:tabs>
        <w:spacing w:line="360" w:lineRule="auto"/>
        <w:ind w:left="68" w:firstLine="562"/>
        <w:rPr>
          <w:rFonts w:ascii="宋体"/>
          <w:b/>
          <w:sz w:val="28"/>
          <w:szCs w:val="28"/>
        </w:rPr>
      </w:pPr>
      <w:r>
        <w:rPr>
          <w:rFonts w:hint="eastAsia" w:ascii="宋体"/>
          <w:b/>
          <w:sz w:val="28"/>
          <w:szCs w:val="28"/>
        </w:rPr>
        <w:t>强化本项目设置交通艇等船舶的必要性；核实各船舶的功能、船舱容积和吨位；根据船仓容积及周转量，校核项目收集规模的合理性分析；细化项目收集作业点位置及操作和转运方式；校核项目收集作业时间；强化本项目对收集的含油废水再次进行油水分离的必要性及预处理后达标排放和依托相应污水厂的可行性分析。</w:t>
      </w:r>
    </w:p>
    <w:p>
      <w:pPr>
        <w:tabs>
          <w:tab w:val="left" w:pos="993"/>
        </w:tabs>
        <w:spacing w:line="360" w:lineRule="auto"/>
        <w:ind w:firstLine="560" w:firstLineChars="200"/>
        <w:rPr>
          <w:rFonts w:ascii="宋体" w:eastAsiaTheme="minorEastAsia"/>
          <w:bCs/>
          <w:sz w:val="28"/>
          <w:szCs w:val="28"/>
        </w:rPr>
      </w:pPr>
      <w:r>
        <w:rPr>
          <w:rFonts w:hint="eastAsia" w:ascii="宋体"/>
          <w:bCs/>
          <w:sz w:val="28"/>
          <w:szCs w:val="28"/>
        </w:rPr>
        <w:t>修改说明：已强化本项目设置交通艇等船舶的必要性；已核实各船舶的功能、船舱容积和吨位；见P12、P17，已根据船仓容积及周转量，校核项目收集规模的合理性分析；见P19、P21，已细化项目收集作业点位置及操作和转运方式；见P22-23，已校核项目收集作业时间；见P21,已强化本项目对收集的含油废水再次进行油水分离的必要性及预处理后达标排放和依托相应污水厂的可行性分析。见P42。</w:t>
      </w:r>
    </w:p>
    <w:p>
      <w:pPr>
        <w:numPr>
          <w:ilvl w:val="0"/>
          <w:numId w:val="2"/>
        </w:numPr>
        <w:tabs>
          <w:tab w:val="left" w:pos="993"/>
        </w:tabs>
        <w:spacing w:line="360" w:lineRule="auto"/>
        <w:ind w:left="68" w:firstLine="562"/>
        <w:rPr>
          <w:rFonts w:ascii="宋体"/>
          <w:b/>
          <w:sz w:val="28"/>
          <w:szCs w:val="28"/>
        </w:rPr>
      </w:pPr>
      <w:r>
        <w:rPr>
          <w:rFonts w:hint="eastAsia" w:ascii="宋体"/>
          <w:b/>
          <w:sz w:val="28"/>
          <w:szCs w:val="28"/>
        </w:rPr>
        <w:t>完善本项目收集范围涉及的东洞庭湖江豚自然保护区等敏感目标；校核各水域水环境功能；根据项目涉及的水域及生态敏感目标情况，完善地表水及生态环境现状评价。</w:t>
      </w:r>
    </w:p>
    <w:p>
      <w:pPr>
        <w:tabs>
          <w:tab w:val="left" w:pos="993"/>
        </w:tabs>
        <w:spacing w:line="360" w:lineRule="auto"/>
        <w:ind w:firstLine="560" w:firstLineChars="200"/>
        <w:rPr>
          <w:rFonts w:ascii="宋体" w:eastAsiaTheme="minorEastAsia"/>
          <w:bCs/>
          <w:sz w:val="28"/>
          <w:szCs w:val="28"/>
        </w:rPr>
      </w:pPr>
      <w:r>
        <w:rPr>
          <w:rFonts w:hint="eastAsia" w:ascii="宋体"/>
          <w:bCs/>
          <w:sz w:val="28"/>
          <w:szCs w:val="28"/>
        </w:rPr>
        <w:t>修改说明：已完善本项目收集范围涉及的东洞庭湖江豚自然保护区等敏感目标；已校核各水域水环境功能；见P35，根据项目涉及的水域及生态敏感目标情况，完善地表水及生态环境现状评价。见P34。</w:t>
      </w:r>
    </w:p>
    <w:p>
      <w:pPr>
        <w:numPr>
          <w:ilvl w:val="0"/>
          <w:numId w:val="2"/>
        </w:numPr>
        <w:tabs>
          <w:tab w:val="left" w:pos="993"/>
        </w:tabs>
        <w:spacing w:line="360" w:lineRule="auto"/>
        <w:ind w:left="68" w:firstLine="562"/>
        <w:rPr>
          <w:rFonts w:ascii="宋体"/>
          <w:b/>
          <w:sz w:val="28"/>
          <w:szCs w:val="28"/>
        </w:rPr>
      </w:pPr>
      <w:r>
        <w:rPr>
          <w:rFonts w:hint="eastAsia" w:ascii="宋体"/>
          <w:b/>
          <w:sz w:val="28"/>
          <w:szCs w:val="28"/>
        </w:rPr>
        <w:t>根据项目涉及的敏感区情况，强化废油泄漏等环境风险应急措施、要求及应急物质，明确本项目应按要求编制急预案及定期演练。</w:t>
      </w:r>
    </w:p>
    <w:p>
      <w:pPr>
        <w:tabs>
          <w:tab w:val="left" w:pos="993"/>
        </w:tabs>
        <w:spacing w:line="360" w:lineRule="auto"/>
        <w:ind w:firstLine="560" w:firstLineChars="200"/>
        <w:rPr>
          <w:rFonts w:ascii="宋体" w:eastAsiaTheme="minorEastAsia"/>
          <w:bCs/>
          <w:sz w:val="28"/>
          <w:szCs w:val="28"/>
        </w:rPr>
      </w:pPr>
      <w:r>
        <w:rPr>
          <w:rFonts w:hint="eastAsia" w:ascii="宋体"/>
          <w:bCs/>
          <w:sz w:val="28"/>
          <w:szCs w:val="28"/>
        </w:rPr>
        <w:t>修改说明：已根据项目涉及的敏感区情况，强化废油泄漏等环境风险应急措施、要求及应急物质，明确本项目应按要求编制急预案及定期演练。见45-53。</w:t>
      </w:r>
    </w:p>
    <w:p>
      <w:pPr>
        <w:numPr>
          <w:ilvl w:val="0"/>
          <w:numId w:val="2"/>
        </w:numPr>
        <w:tabs>
          <w:tab w:val="left" w:pos="993"/>
        </w:tabs>
        <w:spacing w:line="360" w:lineRule="auto"/>
        <w:ind w:left="68" w:firstLine="562"/>
        <w:rPr>
          <w:b/>
          <w:sz w:val="28"/>
          <w:szCs w:val="28"/>
        </w:rPr>
      </w:pPr>
      <w:r>
        <w:rPr>
          <w:rFonts w:hint="eastAsia" w:ascii="宋体"/>
          <w:b/>
          <w:sz w:val="28"/>
          <w:szCs w:val="28"/>
        </w:rPr>
        <w:t>细化收集的废油危险废物代码；完善细化废油及污水、船舶垃圾等收集转运过程的环境管理和台账要求。</w:t>
      </w:r>
    </w:p>
    <w:p>
      <w:pPr>
        <w:tabs>
          <w:tab w:val="left" w:pos="993"/>
        </w:tabs>
        <w:spacing w:line="360" w:lineRule="auto"/>
        <w:ind w:firstLine="560" w:firstLineChars="200"/>
        <w:rPr>
          <w:rFonts w:eastAsiaTheme="minorEastAsia"/>
          <w:bCs/>
          <w:sz w:val="28"/>
          <w:szCs w:val="28"/>
        </w:rPr>
      </w:pPr>
      <w:r>
        <w:rPr>
          <w:rFonts w:hint="eastAsia"/>
          <w:bCs/>
          <w:sz w:val="28"/>
          <w:szCs w:val="28"/>
        </w:rPr>
        <w:t>修改说明：已细化收集的废油危险废物代码；见P43；已完善细化废油及污水、船舶垃圾等收集转运过程的环境管理和台账要求。见P54。</w:t>
      </w:r>
    </w:p>
    <w:p>
      <w:pPr>
        <w:numPr>
          <w:ilvl w:val="0"/>
          <w:numId w:val="2"/>
        </w:numPr>
        <w:tabs>
          <w:tab w:val="left" w:pos="993"/>
        </w:tabs>
        <w:spacing w:line="360" w:lineRule="auto"/>
        <w:ind w:left="68" w:firstLine="562"/>
        <w:rPr>
          <w:b/>
          <w:sz w:val="28"/>
          <w:szCs w:val="28"/>
        </w:rPr>
      </w:pPr>
      <w:r>
        <w:rPr>
          <w:rFonts w:hint="eastAsia" w:ascii="宋体"/>
          <w:b/>
          <w:sz w:val="28"/>
          <w:szCs w:val="28"/>
        </w:rPr>
        <w:t>完善“三线一单”的符合性分析；完善项目与自然保护区条例等要求的相符性分析，明确禁止在各保护区核心区、缓冲区内收集作业。</w:t>
      </w:r>
    </w:p>
    <w:p>
      <w:pPr>
        <w:tabs>
          <w:tab w:val="left" w:pos="993"/>
        </w:tabs>
        <w:spacing w:line="360" w:lineRule="auto"/>
        <w:ind w:firstLine="560" w:firstLineChars="200"/>
        <w:rPr>
          <w:rFonts w:eastAsiaTheme="minorEastAsia"/>
          <w:bCs/>
          <w:sz w:val="28"/>
          <w:szCs w:val="28"/>
        </w:rPr>
      </w:pPr>
      <w:r>
        <w:rPr>
          <w:rFonts w:hint="eastAsia" w:ascii="宋体"/>
          <w:bCs/>
          <w:sz w:val="28"/>
          <w:szCs w:val="28"/>
        </w:rPr>
        <w:t>修改说明：已完善“三线一单”的符合性分析；P3，已完善项目与自然保护区条例等要求的相符性分析，明确禁止在各保护区核心区、缓冲区内收集作业。见P4。</w:t>
      </w:r>
    </w:p>
    <w:p>
      <w:pPr>
        <w:spacing w:line="360" w:lineRule="auto"/>
        <w:jc w:val="center"/>
        <w:rPr>
          <w:rFonts w:eastAsia="黑体"/>
          <w:spacing w:val="20"/>
          <w:sz w:val="32"/>
        </w:rPr>
        <w:sectPr>
          <w:footerReference r:id="rId4" w:type="default"/>
          <w:pgSz w:w="11906" w:h="16838"/>
          <w:pgMar w:top="1701" w:right="1531" w:bottom="1701" w:left="1531" w:header="851" w:footer="1077" w:gutter="0"/>
          <w:pgNumType w:start="1"/>
          <w:cols w:space="720" w:num="1"/>
          <w:docGrid w:linePitch="312" w:charSpace="0"/>
        </w:sectPr>
      </w:pPr>
    </w:p>
    <w:p>
      <w:pPr>
        <w:jc w:val="center"/>
      </w:pPr>
      <w:r>
        <w:rPr>
          <w:b/>
          <w:bCs/>
          <w:sz w:val="52"/>
          <w:szCs w:val="52"/>
        </w:rPr>
        <w:t>目  录</w:t>
      </w:r>
      <w:r>
        <w:fldChar w:fldCharType="begin"/>
      </w:r>
      <w:r>
        <w:instrText xml:space="preserve"> TOC \o "1-2" \h \z \u </w:instrText>
      </w:r>
      <w:r>
        <w:fldChar w:fldCharType="separate"/>
      </w:r>
    </w:p>
    <w:p>
      <w:pPr>
        <w:pStyle w:val="18"/>
        <w:tabs>
          <w:tab w:val="right" w:leader="dot" w:pos="8844"/>
          <w:tab w:val="clear" w:pos="8720"/>
        </w:tabs>
      </w:pPr>
      <w:r>
        <w:fldChar w:fldCharType="begin"/>
      </w:r>
      <w:r>
        <w:instrText xml:space="preserve"> HYPERLINK \l "_Toc6374" </w:instrText>
      </w:r>
      <w:r>
        <w:fldChar w:fldCharType="separate"/>
      </w:r>
      <w:r>
        <w:rPr>
          <w:rFonts w:hint="eastAsia" w:ascii="黑体" w:hAnsi="黑体" w:eastAsia="黑体"/>
          <w:snapToGrid w:val="0"/>
          <w:szCs w:val="30"/>
        </w:rPr>
        <w:t>一、建设项目基本情况</w:t>
      </w:r>
      <w:r>
        <w:tab/>
      </w:r>
      <w:r>
        <w:fldChar w:fldCharType="begin"/>
      </w:r>
      <w:r>
        <w:instrText xml:space="preserve"> PAGEREF _Toc6374 \h </w:instrText>
      </w:r>
      <w:r>
        <w:fldChar w:fldCharType="separate"/>
      </w:r>
      <w:r>
        <w:t>3</w:t>
      </w:r>
      <w:r>
        <w:fldChar w:fldCharType="end"/>
      </w:r>
      <w:r>
        <w:fldChar w:fldCharType="end"/>
      </w:r>
    </w:p>
    <w:p>
      <w:pPr>
        <w:pStyle w:val="18"/>
        <w:tabs>
          <w:tab w:val="right" w:leader="dot" w:pos="8844"/>
          <w:tab w:val="clear" w:pos="8720"/>
        </w:tabs>
      </w:pPr>
      <w:r>
        <w:fldChar w:fldCharType="begin"/>
      </w:r>
      <w:r>
        <w:instrText xml:space="preserve"> HYPERLINK \l "_Toc25845" </w:instrText>
      </w:r>
      <w:r>
        <w:fldChar w:fldCharType="separate"/>
      </w:r>
      <w:r>
        <w:rPr>
          <w:rFonts w:hint="eastAsia" w:ascii="黑体" w:hAnsi="黑体" w:eastAsia="黑体"/>
          <w:snapToGrid w:val="0"/>
          <w:szCs w:val="30"/>
        </w:rPr>
        <w:t>二、建设项目工程分析</w:t>
      </w:r>
      <w:r>
        <w:tab/>
      </w:r>
      <w:r>
        <w:fldChar w:fldCharType="begin"/>
      </w:r>
      <w:r>
        <w:instrText xml:space="preserve"> PAGEREF _Toc25845 \h </w:instrText>
      </w:r>
      <w:r>
        <w:fldChar w:fldCharType="separate"/>
      </w:r>
      <w:r>
        <w:t>3</w:t>
      </w:r>
      <w:r>
        <w:fldChar w:fldCharType="end"/>
      </w:r>
      <w:r>
        <w:fldChar w:fldCharType="end"/>
      </w:r>
    </w:p>
    <w:p>
      <w:pPr>
        <w:pStyle w:val="18"/>
        <w:tabs>
          <w:tab w:val="right" w:leader="dot" w:pos="8844"/>
          <w:tab w:val="clear" w:pos="8720"/>
        </w:tabs>
      </w:pPr>
      <w:r>
        <w:fldChar w:fldCharType="begin"/>
      </w:r>
      <w:r>
        <w:instrText xml:space="preserve"> HYPERLINK \l "_Toc22916" </w:instrText>
      </w:r>
      <w:r>
        <w:fldChar w:fldCharType="separate"/>
      </w:r>
      <w:r>
        <w:rPr>
          <w:rFonts w:hint="eastAsia" w:ascii="黑体" w:hAnsi="黑体" w:eastAsia="黑体"/>
          <w:snapToGrid w:val="0"/>
          <w:szCs w:val="30"/>
        </w:rPr>
        <w:t>三、区域环境质量现状、环境保护目标及评价标准</w:t>
      </w:r>
      <w:r>
        <w:tab/>
      </w:r>
      <w:r>
        <w:fldChar w:fldCharType="begin"/>
      </w:r>
      <w:r>
        <w:instrText xml:space="preserve"> PAGEREF _Toc22916 \h </w:instrText>
      </w:r>
      <w:r>
        <w:fldChar w:fldCharType="separate"/>
      </w:r>
      <w:r>
        <w:t>22</w:t>
      </w:r>
      <w:r>
        <w:fldChar w:fldCharType="end"/>
      </w:r>
      <w:r>
        <w:fldChar w:fldCharType="end"/>
      </w:r>
    </w:p>
    <w:p>
      <w:pPr>
        <w:pStyle w:val="18"/>
        <w:tabs>
          <w:tab w:val="right" w:leader="dot" w:pos="8844"/>
          <w:tab w:val="clear" w:pos="8720"/>
        </w:tabs>
      </w:pPr>
      <w:r>
        <w:fldChar w:fldCharType="begin"/>
      </w:r>
      <w:r>
        <w:instrText xml:space="preserve"> HYPERLINK \l "_Toc14992" </w:instrText>
      </w:r>
      <w:r>
        <w:fldChar w:fldCharType="separate"/>
      </w:r>
      <w:r>
        <w:rPr>
          <w:rFonts w:hint="eastAsia" w:ascii="黑体" w:hAnsi="黑体" w:eastAsia="黑体"/>
          <w:snapToGrid w:val="0"/>
          <w:szCs w:val="30"/>
        </w:rPr>
        <w:t>四、主要环境影响和保护措施</w:t>
      </w:r>
      <w:r>
        <w:tab/>
      </w:r>
      <w:r>
        <w:fldChar w:fldCharType="begin"/>
      </w:r>
      <w:r>
        <w:instrText xml:space="preserve"> PAGEREF _Toc14992 \h </w:instrText>
      </w:r>
      <w:r>
        <w:fldChar w:fldCharType="separate"/>
      </w:r>
      <w:r>
        <w:t>30</w:t>
      </w:r>
      <w:r>
        <w:fldChar w:fldCharType="end"/>
      </w:r>
      <w:r>
        <w:fldChar w:fldCharType="end"/>
      </w:r>
    </w:p>
    <w:p>
      <w:pPr>
        <w:pStyle w:val="18"/>
        <w:tabs>
          <w:tab w:val="right" w:leader="dot" w:pos="8844"/>
          <w:tab w:val="clear" w:pos="8720"/>
        </w:tabs>
      </w:pPr>
      <w:r>
        <w:fldChar w:fldCharType="begin"/>
      </w:r>
      <w:r>
        <w:instrText xml:space="preserve"> HYPERLINK \l "_Toc16500" </w:instrText>
      </w:r>
      <w:r>
        <w:fldChar w:fldCharType="separate"/>
      </w:r>
      <w:r>
        <w:rPr>
          <w:rFonts w:hint="eastAsia" w:ascii="黑体" w:hAnsi="黑体" w:eastAsia="黑体"/>
          <w:snapToGrid w:val="0"/>
          <w:szCs w:val="30"/>
        </w:rPr>
        <w:t>五、环境保护措施监督检查清单</w:t>
      </w:r>
      <w:r>
        <w:tab/>
      </w:r>
      <w:r>
        <w:fldChar w:fldCharType="begin"/>
      </w:r>
      <w:r>
        <w:instrText xml:space="preserve"> PAGEREF _Toc16500 \h </w:instrText>
      </w:r>
      <w:r>
        <w:fldChar w:fldCharType="separate"/>
      </w:r>
      <w:r>
        <w:t>30</w:t>
      </w:r>
      <w:r>
        <w:fldChar w:fldCharType="end"/>
      </w:r>
      <w:r>
        <w:fldChar w:fldCharType="end"/>
      </w:r>
    </w:p>
    <w:p>
      <w:pPr>
        <w:pStyle w:val="18"/>
        <w:tabs>
          <w:tab w:val="right" w:leader="dot" w:pos="8844"/>
          <w:tab w:val="clear" w:pos="8720"/>
        </w:tabs>
      </w:pPr>
      <w:r>
        <w:fldChar w:fldCharType="begin"/>
      </w:r>
      <w:r>
        <w:instrText xml:space="preserve"> HYPERLINK \l "_Toc17437" </w:instrText>
      </w:r>
      <w:r>
        <w:fldChar w:fldCharType="separate"/>
      </w:r>
      <w:r>
        <w:rPr>
          <w:rFonts w:hint="eastAsia" w:ascii="黑体" w:hAnsi="黑体" w:eastAsia="黑体"/>
          <w:snapToGrid w:val="0"/>
          <w:szCs w:val="30"/>
        </w:rPr>
        <w:t>六、结论</w:t>
      </w:r>
      <w:r>
        <w:tab/>
      </w:r>
      <w:r>
        <w:fldChar w:fldCharType="begin"/>
      </w:r>
      <w:r>
        <w:instrText xml:space="preserve"> PAGEREF _Toc17437 \h </w:instrText>
      </w:r>
      <w:r>
        <w:fldChar w:fldCharType="separate"/>
      </w:r>
      <w:r>
        <w:t>44</w:t>
      </w:r>
      <w:r>
        <w:fldChar w:fldCharType="end"/>
      </w:r>
      <w:r>
        <w:fldChar w:fldCharType="end"/>
      </w:r>
    </w:p>
    <w:p>
      <w:pPr>
        <w:pStyle w:val="18"/>
        <w:tabs>
          <w:tab w:val="right" w:leader="dot" w:pos="8844"/>
          <w:tab w:val="clear" w:pos="8720"/>
        </w:tabs>
      </w:pPr>
      <w:r>
        <w:fldChar w:fldCharType="begin"/>
      </w:r>
      <w:r>
        <w:instrText xml:space="preserve"> HYPERLINK \l "_Toc2006" </w:instrText>
      </w:r>
      <w:r>
        <w:fldChar w:fldCharType="separate"/>
      </w:r>
      <w:r>
        <w:rPr>
          <w:bCs/>
          <w:szCs w:val="30"/>
        </w:rPr>
        <w:t>附表</w:t>
      </w:r>
      <w:r>
        <w:tab/>
      </w:r>
      <w:r>
        <w:fldChar w:fldCharType="begin"/>
      </w:r>
      <w:r>
        <w:instrText xml:space="preserve"> PAGEREF _Toc2006 \h </w:instrText>
      </w:r>
      <w:r>
        <w:fldChar w:fldCharType="separate"/>
      </w:r>
      <w:r>
        <w:t>45</w:t>
      </w:r>
      <w:r>
        <w:fldChar w:fldCharType="end"/>
      </w:r>
      <w:r>
        <w:fldChar w:fldCharType="end"/>
      </w:r>
    </w:p>
    <w:p>
      <w:pPr>
        <w:pStyle w:val="18"/>
        <w:tabs>
          <w:tab w:val="right" w:leader="dot" w:pos="8844"/>
          <w:tab w:val="clear" w:pos="8720"/>
        </w:tabs>
      </w:pPr>
      <w:r>
        <w:fldChar w:fldCharType="begin"/>
      </w:r>
      <w:r>
        <w:instrText xml:space="preserve"> HYPERLINK \l "_Toc25728" </w:instrText>
      </w:r>
      <w:r>
        <w:fldChar w:fldCharType="separate"/>
      </w:r>
      <w:r>
        <w:rPr>
          <w:rFonts w:ascii="Times New Roman" w:hAnsi="Times New Roman"/>
          <w:snapToGrid w:val="0"/>
          <w:szCs w:val="38"/>
        </w:rPr>
        <w:t>建设项目污染物排放量汇总表</w:t>
      </w:r>
      <w:r>
        <w:tab/>
      </w:r>
      <w:r>
        <w:fldChar w:fldCharType="begin"/>
      </w:r>
      <w:r>
        <w:instrText xml:space="preserve"> PAGEREF _Toc25728 \h </w:instrText>
      </w:r>
      <w:r>
        <w:fldChar w:fldCharType="separate"/>
      </w:r>
      <w:r>
        <w:t>45</w:t>
      </w:r>
      <w:r>
        <w:fldChar w:fldCharType="end"/>
      </w:r>
      <w:r>
        <w:fldChar w:fldCharType="end"/>
      </w:r>
    </w:p>
    <w:p>
      <w:pPr>
        <w:bidi w:val="0"/>
        <w:spacing w:line="240" w:lineRule="auto"/>
      </w:pPr>
      <w:r>
        <w:fldChar w:fldCharType="end"/>
      </w:r>
      <w:bookmarkStart w:id="1" w:name="_Toc25182"/>
    </w:p>
    <w:p>
      <w:pPr>
        <w:bidi w:val="0"/>
        <w:spacing w:line="240" w:lineRule="auto"/>
      </w:pPr>
    </w:p>
    <w:p>
      <w:pPr>
        <w:bidi w:val="0"/>
        <w:spacing w:line="240" w:lineRule="auto"/>
      </w:pPr>
    </w:p>
    <w:p>
      <w:pPr>
        <w:bidi w:val="0"/>
        <w:spacing w:line="240" w:lineRule="auto"/>
      </w:pPr>
    </w:p>
    <w:p>
      <w:pPr>
        <w:bidi w:val="0"/>
        <w:spacing w:line="240" w:lineRule="auto"/>
        <w:rPr>
          <w:ins w:id="3" w:author="影子、浅笑" w:date="2021-11-26T15:39:30Z"/>
          <w:sz w:val="28"/>
          <w:szCs w:val="28"/>
        </w:rPr>
      </w:pPr>
      <w:r>
        <w:rPr>
          <w:rFonts w:hint="eastAsia"/>
          <w:sz w:val="28"/>
          <w:szCs w:val="28"/>
        </w:rPr>
        <w:t>附件1：环评委托书</w:t>
      </w:r>
      <w:r>
        <w:rPr>
          <w:rFonts w:hint="eastAsia"/>
          <w:sz w:val="28"/>
          <w:szCs w:val="28"/>
        </w:rPr>
        <w:br w:type="textWrapping"/>
      </w:r>
      <w:r>
        <w:rPr>
          <w:rFonts w:hint="eastAsia"/>
          <w:sz w:val="28"/>
          <w:szCs w:val="28"/>
        </w:rPr>
        <w:t>附件2：危废协议</w:t>
      </w:r>
      <w:r>
        <w:rPr>
          <w:rFonts w:hint="eastAsia"/>
          <w:sz w:val="28"/>
          <w:szCs w:val="28"/>
        </w:rPr>
        <w:br w:type="textWrapping"/>
      </w:r>
      <w:r>
        <w:rPr>
          <w:rFonts w:hint="eastAsia"/>
          <w:sz w:val="28"/>
          <w:szCs w:val="28"/>
        </w:rPr>
        <w:t>附件3：生活污水处理协议</w:t>
      </w:r>
      <w:r>
        <w:rPr>
          <w:rFonts w:hint="eastAsia"/>
          <w:sz w:val="28"/>
          <w:szCs w:val="28"/>
        </w:rPr>
        <w:br w:type="textWrapping"/>
      </w:r>
      <w:r>
        <w:rPr>
          <w:rFonts w:hint="eastAsia"/>
          <w:sz w:val="28"/>
          <w:szCs w:val="28"/>
        </w:rPr>
        <w:t>附件4：生活垃圾接收协议</w:t>
      </w:r>
      <w:r>
        <w:rPr>
          <w:rFonts w:hint="eastAsia"/>
          <w:sz w:val="28"/>
          <w:szCs w:val="28"/>
        </w:rPr>
        <w:br w:type="textWrapping"/>
      </w:r>
      <w:r>
        <w:rPr>
          <w:rFonts w:hint="eastAsia"/>
          <w:sz w:val="28"/>
          <w:szCs w:val="28"/>
        </w:rPr>
        <w:t>附件5：第三方转运协议</w:t>
      </w:r>
      <w:r>
        <w:rPr>
          <w:rFonts w:hint="eastAsia"/>
          <w:sz w:val="28"/>
          <w:szCs w:val="28"/>
        </w:rPr>
        <w:br w:type="textWrapping"/>
      </w:r>
      <w:r>
        <w:rPr>
          <w:rFonts w:hint="eastAsia"/>
          <w:sz w:val="28"/>
          <w:szCs w:val="28"/>
        </w:rPr>
        <w:t>附件6：《湖南省船舶和港口污染突出问题整治工作实施方案》通知</w:t>
      </w:r>
      <w:r>
        <w:rPr>
          <w:rFonts w:hint="eastAsia"/>
          <w:sz w:val="28"/>
          <w:szCs w:val="28"/>
        </w:rPr>
        <w:br w:type="textWrapping"/>
      </w:r>
      <w:r>
        <w:rPr>
          <w:rFonts w:hint="eastAsia"/>
          <w:sz w:val="28"/>
          <w:szCs w:val="28"/>
        </w:rPr>
        <w:t>附件7：岳阳市船舶和港口污染突出问题整治工作实施方案</w:t>
      </w:r>
      <w:r>
        <w:rPr>
          <w:rFonts w:hint="eastAsia"/>
          <w:sz w:val="28"/>
          <w:szCs w:val="28"/>
        </w:rPr>
        <w:br w:type="textWrapping"/>
      </w:r>
      <w:r>
        <w:rPr>
          <w:rFonts w:hint="eastAsia"/>
          <w:sz w:val="28"/>
          <w:szCs w:val="28"/>
        </w:rPr>
        <w:t>附件8：项目原有环评批复</w:t>
      </w:r>
      <w:r>
        <w:rPr>
          <w:rFonts w:hint="eastAsia"/>
          <w:sz w:val="28"/>
          <w:szCs w:val="28"/>
        </w:rPr>
        <w:br w:type="textWrapping"/>
      </w:r>
      <w:r>
        <w:rPr>
          <w:rFonts w:hint="eastAsia"/>
          <w:sz w:val="28"/>
          <w:szCs w:val="28"/>
        </w:rPr>
        <w:t>附件9：项目验收批复</w:t>
      </w:r>
      <w:r>
        <w:rPr>
          <w:rFonts w:hint="eastAsia"/>
          <w:sz w:val="28"/>
          <w:szCs w:val="28"/>
        </w:rPr>
        <w:br w:type="textWrapping"/>
      </w:r>
      <w:r>
        <w:rPr>
          <w:rFonts w:hint="eastAsia"/>
          <w:sz w:val="28"/>
          <w:szCs w:val="28"/>
        </w:rPr>
        <w:t>附件10：信用平台截图</w:t>
      </w:r>
      <w:r>
        <w:rPr>
          <w:rFonts w:hint="eastAsia"/>
          <w:sz w:val="28"/>
          <w:szCs w:val="28"/>
        </w:rPr>
        <w:br w:type="textWrapping"/>
      </w:r>
      <w:r>
        <w:rPr>
          <w:rFonts w:hint="eastAsia"/>
          <w:sz w:val="28"/>
          <w:szCs w:val="28"/>
        </w:rPr>
        <w:t>附件11：编制承诺书</w:t>
      </w:r>
    </w:p>
    <w:p>
      <w:pPr>
        <w:bidi w:val="0"/>
        <w:spacing w:line="240" w:lineRule="auto"/>
        <w:rPr>
          <w:rFonts w:hint="default"/>
          <w:sz w:val="28"/>
          <w:szCs w:val="28"/>
          <w:lang w:val="en-US" w:eastAsia="zh-CN"/>
        </w:rPr>
      </w:pPr>
      <w:r>
        <w:rPr>
          <w:rFonts w:hint="eastAsia"/>
          <w:sz w:val="28"/>
          <w:szCs w:val="28"/>
          <w:lang w:eastAsia="zh-CN"/>
        </w:rPr>
        <w:t>附件</w:t>
      </w:r>
      <w:r>
        <w:rPr>
          <w:rFonts w:hint="eastAsia"/>
          <w:sz w:val="28"/>
          <w:szCs w:val="28"/>
          <w:lang w:val="en-US" w:eastAsia="zh-CN"/>
        </w:rPr>
        <w:t>12：专家意见</w:t>
      </w:r>
    </w:p>
    <w:p>
      <w:pPr>
        <w:bidi w:val="0"/>
        <w:spacing w:line="240" w:lineRule="auto"/>
        <w:rPr>
          <w:rFonts w:hint="eastAsia"/>
          <w:sz w:val="28"/>
          <w:szCs w:val="28"/>
        </w:rPr>
      </w:pPr>
    </w:p>
    <w:p>
      <w:pPr>
        <w:bidi w:val="0"/>
        <w:spacing w:line="240" w:lineRule="auto"/>
        <w:rPr>
          <w:sz w:val="28"/>
          <w:szCs w:val="28"/>
        </w:rPr>
        <w:sectPr>
          <w:pgSz w:w="11906" w:h="16838"/>
          <w:pgMar w:top="1701" w:right="1531" w:bottom="1701" w:left="1531" w:header="851" w:footer="1077" w:gutter="0"/>
          <w:pgNumType w:start="1"/>
          <w:cols w:space="720" w:num="1"/>
          <w:docGrid w:linePitch="312" w:charSpace="0"/>
        </w:sectPr>
      </w:pPr>
      <w:r>
        <w:rPr>
          <w:rFonts w:hint="eastAsia"/>
          <w:sz w:val="28"/>
          <w:szCs w:val="28"/>
        </w:rPr>
        <w:t>附图1：项目地理位置图</w:t>
      </w:r>
      <w:r>
        <w:rPr>
          <w:rFonts w:hint="eastAsia"/>
          <w:sz w:val="28"/>
          <w:szCs w:val="28"/>
        </w:rPr>
        <w:br w:type="textWrapping"/>
      </w:r>
      <w:r>
        <w:rPr>
          <w:rFonts w:hint="eastAsia"/>
          <w:sz w:val="28"/>
          <w:szCs w:val="28"/>
        </w:rPr>
        <w:t>附图2： 湖南省航道规划等级图</w:t>
      </w:r>
      <w:r>
        <w:rPr>
          <w:rFonts w:hint="eastAsia"/>
          <w:sz w:val="28"/>
          <w:szCs w:val="28"/>
        </w:rPr>
        <w:br w:type="textWrapping"/>
      </w:r>
      <w:r>
        <w:rPr>
          <w:rFonts w:hint="eastAsia"/>
          <w:sz w:val="28"/>
          <w:szCs w:val="28"/>
        </w:rPr>
        <w:t>附图3：项目东洞庭湖区划图</w:t>
      </w:r>
      <w:r>
        <w:rPr>
          <w:rFonts w:hint="eastAsia"/>
          <w:sz w:val="28"/>
          <w:szCs w:val="28"/>
        </w:rPr>
        <w:br w:type="textWrapping"/>
      </w:r>
      <w:r>
        <w:rPr>
          <w:rFonts w:hint="eastAsia"/>
          <w:sz w:val="28"/>
          <w:szCs w:val="28"/>
        </w:rPr>
        <w:t>附件4：环境保护目标图</w:t>
      </w:r>
      <w:r>
        <w:rPr>
          <w:rFonts w:hint="eastAsia"/>
          <w:sz w:val="28"/>
          <w:szCs w:val="28"/>
        </w:rPr>
        <w:br w:type="textWrapping"/>
      </w:r>
      <w:r>
        <w:rPr>
          <w:rFonts w:hint="eastAsia"/>
          <w:sz w:val="28"/>
          <w:szCs w:val="28"/>
        </w:rPr>
        <w:t>附件5：项目现场图</w:t>
      </w:r>
      <w:bookmarkEnd w:id="1"/>
    </w:p>
    <w:p>
      <w:pPr>
        <w:pStyle w:val="20"/>
        <w:jc w:val="center"/>
        <w:outlineLvl w:val="0"/>
        <w:rPr>
          <w:rFonts w:ascii="黑体" w:hAnsi="黑体" w:eastAsia="黑体"/>
          <w:snapToGrid w:val="0"/>
          <w:sz w:val="30"/>
          <w:szCs w:val="30"/>
        </w:rPr>
      </w:pPr>
      <w:bookmarkStart w:id="2" w:name="_Toc6374"/>
      <w:bookmarkStart w:id="3" w:name="_Toc25845"/>
      <w:r>
        <w:rPr>
          <w:rFonts w:hint="eastAsia" w:ascii="黑体" w:hAnsi="黑体" w:eastAsia="黑体"/>
          <w:snapToGrid w:val="0"/>
          <w:sz w:val="30"/>
          <w:szCs w:val="30"/>
        </w:rPr>
        <w:t>一</w:t>
      </w:r>
      <w:bookmarkEnd w:id="2"/>
      <w:r>
        <w:rPr>
          <w:rFonts w:hint="eastAsia" w:ascii="黑体" w:hAnsi="黑体" w:eastAsia="黑体"/>
          <w:snapToGrid w:val="0"/>
          <w:sz w:val="30"/>
          <w:szCs w:val="30"/>
        </w:rPr>
        <w:t>、建设项目基本情况</w:t>
      </w:r>
    </w:p>
    <w:tbl>
      <w:tblPr>
        <w:tblStyle w:val="24"/>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1354"/>
        <w:gridCol w:w="2511"/>
        <w:gridCol w:w="1668"/>
        <w:gridCol w:w="333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354" w:type="dxa"/>
            <w:tcBorders>
              <w:tl2br w:val="nil"/>
              <w:tr2bl w:val="nil"/>
            </w:tcBorders>
            <w:noWrap/>
            <w:tcMar>
              <w:top w:w="16" w:type="dxa"/>
              <w:left w:w="16" w:type="dxa"/>
              <w:right w:w="16" w:type="dxa"/>
            </w:tcMar>
            <w:vAlign w:val="center"/>
          </w:tcPr>
          <w:p>
            <w:pPr>
              <w:adjustRightInd w:val="0"/>
              <w:snapToGrid w:val="0"/>
              <w:jc w:val="center"/>
              <w:rPr>
                <w:szCs w:val="21"/>
              </w:rPr>
            </w:pPr>
            <w:r>
              <w:rPr>
                <w:szCs w:val="21"/>
              </w:rPr>
              <w:t>建设项目名称</w:t>
            </w:r>
          </w:p>
        </w:tc>
        <w:tc>
          <w:tcPr>
            <w:tcW w:w="7516" w:type="dxa"/>
            <w:gridSpan w:val="3"/>
            <w:tcBorders>
              <w:tl2br w:val="nil"/>
              <w:tr2bl w:val="nil"/>
            </w:tcBorders>
            <w:noWrap/>
            <w:vAlign w:val="center"/>
          </w:tcPr>
          <w:p>
            <w:pPr>
              <w:adjustRightInd w:val="0"/>
              <w:snapToGrid w:val="0"/>
              <w:jc w:val="center"/>
              <w:rPr>
                <w:szCs w:val="21"/>
              </w:rPr>
            </w:pPr>
            <w:r>
              <w:rPr>
                <w:rFonts w:hint="eastAsia"/>
                <w:szCs w:val="21"/>
              </w:rPr>
              <w:t>年接收船舶污染物20900吨建设项目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354" w:type="dxa"/>
            <w:tcBorders>
              <w:tl2br w:val="nil"/>
              <w:tr2bl w:val="nil"/>
            </w:tcBorders>
            <w:noWrap/>
            <w:tcMar>
              <w:top w:w="16" w:type="dxa"/>
              <w:left w:w="16" w:type="dxa"/>
              <w:right w:w="16" w:type="dxa"/>
            </w:tcMar>
            <w:vAlign w:val="center"/>
          </w:tcPr>
          <w:p>
            <w:pPr>
              <w:adjustRightInd w:val="0"/>
              <w:snapToGrid w:val="0"/>
              <w:jc w:val="center"/>
              <w:rPr>
                <w:szCs w:val="21"/>
              </w:rPr>
            </w:pPr>
            <w:r>
              <w:rPr>
                <w:szCs w:val="21"/>
              </w:rPr>
              <w:t>项目代码</w:t>
            </w:r>
          </w:p>
        </w:tc>
        <w:tc>
          <w:tcPr>
            <w:tcW w:w="7516" w:type="dxa"/>
            <w:gridSpan w:val="3"/>
            <w:tcBorders>
              <w:tl2br w:val="nil"/>
              <w:tr2bl w:val="nil"/>
            </w:tcBorders>
            <w:noWrap/>
            <w:vAlign w:val="center"/>
          </w:tcPr>
          <w:p>
            <w:pPr>
              <w:adjustRightInd w:val="0"/>
              <w:snapToGrid w:val="0"/>
              <w:jc w:val="center"/>
              <w:rPr>
                <w:szCs w:val="21"/>
              </w:rPr>
            </w:pPr>
            <w:r>
              <w:rPr>
                <w:szCs w:val="21"/>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354" w:type="dxa"/>
            <w:tcBorders>
              <w:tl2br w:val="nil"/>
              <w:tr2bl w:val="nil"/>
            </w:tcBorders>
            <w:noWrap/>
            <w:tcMar>
              <w:top w:w="16" w:type="dxa"/>
              <w:left w:w="16" w:type="dxa"/>
              <w:right w:w="16" w:type="dxa"/>
            </w:tcMar>
            <w:vAlign w:val="center"/>
          </w:tcPr>
          <w:p>
            <w:pPr>
              <w:adjustRightInd w:val="0"/>
              <w:snapToGrid w:val="0"/>
              <w:jc w:val="center"/>
              <w:rPr>
                <w:szCs w:val="21"/>
              </w:rPr>
            </w:pPr>
            <w:r>
              <w:rPr>
                <w:szCs w:val="21"/>
              </w:rPr>
              <w:t>建设单位联系人</w:t>
            </w:r>
          </w:p>
        </w:tc>
        <w:tc>
          <w:tcPr>
            <w:tcW w:w="2511" w:type="dxa"/>
            <w:tcBorders>
              <w:tl2br w:val="nil"/>
              <w:tr2bl w:val="nil"/>
            </w:tcBorders>
            <w:noWrap/>
            <w:vAlign w:val="center"/>
          </w:tcPr>
          <w:p>
            <w:pPr>
              <w:adjustRightInd w:val="0"/>
              <w:snapToGrid w:val="0"/>
              <w:jc w:val="center"/>
              <w:rPr>
                <w:szCs w:val="21"/>
              </w:rPr>
            </w:pPr>
            <w:r>
              <w:rPr>
                <w:szCs w:val="21"/>
              </w:rPr>
              <w:t>张亮</w:t>
            </w:r>
          </w:p>
        </w:tc>
        <w:tc>
          <w:tcPr>
            <w:tcW w:w="1668" w:type="dxa"/>
            <w:tcBorders>
              <w:tl2br w:val="nil"/>
              <w:tr2bl w:val="nil"/>
            </w:tcBorders>
            <w:noWrap/>
            <w:vAlign w:val="center"/>
          </w:tcPr>
          <w:p>
            <w:pPr>
              <w:adjustRightInd w:val="0"/>
              <w:snapToGrid w:val="0"/>
              <w:jc w:val="center"/>
              <w:rPr>
                <w:szCs w:val="21"/>
              </w:rPr>
            </w:pPr>
            <w:r>
              <w:rPr>
                <w:szCs w:val="21"/>
              </w:rPr>
              <w:t>联系方式</w:t>
            </w:r>
          </w:p>
        </w:tc>
        <w:tc>
          <w:tcPr>
            <w:tcW w:w="3337" w:type="dxa"/>
            <w:tcBorders>
              <w:tl2br w:val="nil"/>
              <w:tr2bl w:val="nil"/>
            </w:tcBorders>
            <w:noWrap/>
            <w:vAlign w:val="center"/>
          </w:tcPr>
          <w:p>
            <w:pPr>
              <w:adjustRightInd w:val="0"/>
              <w:snapToGrid w:val="0"/>
              <w:jc w:val="center"/>
              <w:rPr>
                <w:szCs w:val="21"/>
              </w:rPr>
            </w:pPr>
            <w:r>
              <w:rPr>
                <w:szCs w:val="21"/>
              </w:rPr>
              <w:t>13575026146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354" w:type="dxa"/>
            <w:tcBorders>
              <w:tl2br w:val="nil"/>
              <w:tr2bl w:val="nil"/>
            </w:tcBorders>
            <w:noWrap/>
            <w:tcMar>
              <w:top w:w="16" w:type="dxa"/>
              <w:left w:w="16" w:type="dxa"/>
              <w:right w:w="16" w:type="dxa"/>
            </w:tcMar>
            <w:vAlign w:val="center"/>
          </w:tcPr>
          <w:p>
            <w:pPr>
              <w:adjustRightInd w:val="0"/>
              <w:snapToGrid w:val="0"/>
              <w:jc w:val="center"/>
              <w:rPr>
                <w:szCs w:val="21"/>
              </w:rPr>
            </w:pPr>
            <w:r>
              <w:rPr>
                <w:szCs w:val="21"/>
              </w:rPr>
              <w:t>建设地点</w:t>
            </w:r>
          </w:p>
        </w:tc>
        <w:tc>
          <w:tcPr>
            <w:tcW w:w="7516" w:type="dxa"/>
            <w:gridSpan w:val="3"/>
            <w:tcBorders>
              <w:tl2br w:val="nil"/>
              <w:tr2bl w:val="nil"/>
            </w:tcBorders>
            <w:noWrap/>
            <w:vAlign w:val="center"/>
          </w:tcPr>
          <w:p>
            <w:pPr>
              <w:adjustRightInd w:val="0"/>
              <w:snapToGrid w:val="0"/>
              <w:jc w:val="center"/>
              <w:rPr>
                <w:color w:val="FF0000"/>
                <w:szCs w:val="21"/>
              </w:rPr>
            </w:pPr>
            <w:r>
              <w:rPr>
                <w:rFonts w:hint="eastAsia"/>
                <w:szCs w:val="21"/>
              </w:rPr>
              <w:t>北至</w:t>
            </w:r>
            <w:r>
              <w:rPr>
                <w:rFonts w:hint="eastAsia"/>
                <w:szCs w:val="21"/>
                <w:lang w:eastAsia="zh-CN"/>
              </w:rPr>
              <w:t>扁山</w:t>
            </w:r>
            <w:r>
              <w:rPr>
                <w:rFonts w:hint="eastAsia"/>
                <w:szCs w:val="21"/>
              </w:rPr>
              <w:t>、南至湘阴铁角嘴船厂、西至东湖码头（收集范围）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21" w:hRule="atLeast"/>
          <w:jc w:val="center"/>
        </w:trPr>
        <w:tc>
          <w:tcPr>
            <w:tcW w:w="1354" w:type="dxa"/>
            <w:tcBorders>
              <w:tl2br w:val="nil"/>
              <w:tr2bl w:val="nil"/>
            </w:tcBorders>
            <w:noWrap/>
            <w:tcMar>
              <w:top w:w="16" w:type="dxa"/>
              <w:left w:w="16" w:type="dxa"/>
              <w:right w:w="16" w:type="dxa"/>
            </w:tcMar>
            <w:vAlign w:val="center"/>
          </w:tcPr>
          <w:p>
            <w:pPr>
              <w:adjustRightInd w:val="0"/>
              <w:snapToGrid w:val="0"/>
              <w:jc w:val="center"/>
              <w:rPr>
                <w:szCs w:val="21"/>
              </w:rPr>
            </w:pPr>
            <w:r>
              <w:rPr>
                <w:szCs w:val="21"/>
              </w:rPr>
              <w:t>地理坐标</w:t>
            </w:r>
          </w:p>
        </w:tc>
        <w:tc>
          <w:tcPr>
            <w:tcW w:w="7516" w:type="dxa"/>
            <w:gridSpan w:val="3"/>
            <w:tcBorders>
              <w:tl2br w:val="nil"/>
              <w:tr2bl w:val="nil"/>
            </w:tcBorders>
            <w:noWrap/>
            <w:vAlign w:val="center"/>
          </w:tcPr>
          <w:p>
            <w:pPr>
              <w:bidi w:val="0"/>
              <w:jc w:val="center"/>
              <w:rPr>
                <w:rFonts w:hint="eastAsia"/>
                <w:lang w:val="en-US" w:eastAsia="zh-CN"/>
              </w:rPr>
            </w:pPr>
            <w:r>
              <w:rPr>
                <w:rFonts w:hint="eastAsia"/>
                <w:lang w:eastAsia="zh-CN"/>
              </w:rPr>
              <w:t>北至扁山（东经</w:t>
            </w:r>
            <w:r>
              <w:rPr>
                <w:rFonts w:hint="eastAsia"/>
                <w:lang w:val="en-US" w:eastAsia="zh-CN"/>
              </w:rPr>
              <w:t>113°3'54.940"、北纬29°20'18.061</w:t>
            </w:r>
            <w:r>
              <w:rPr>
                <w:rFonts w:hint="eastAsia"/>
                <w:lang w:eastAsia="zh-CN"/>
              </w:rPr>
              <w:t>）、南至湘阴铁角嘴船厂（东经</w:t>
            </w:r>
            <w:r>
              <w:rPr>
                <w:rFonts w:hint="eastAsia"/>
                <w:lang w:val="en-US" w:eastAsia="zh-CN"/>
              </w:rPr>
              <w:t>112°44'44.878"、北纬28°31'54.053</w:t>
            </w:r>
            <w:r>
              <w:rPr>
                <w:rFonts w:hint="eastAsia"/>
                <w:lang w:eastAsia="zh-CN"/>
              </w:rPr>
              <w:t>）、西至东湖码头（东经</w:t>
            </w:r>
            <w:r>
              <w:rPr>
                <w:rFonts w:hint="eastAsia"/>
                <w:lang w:val="en-US" w:eastAsia="zh-CN"/>
              </w:rPr>
              <w:t>112°38'15.936"、</w:t>
            </w:r>
          </w:p>
          <w:p>
            <w:pPr>
              <w:bidi w:val="0"/>
              <w:jc w:val="center"/>
              <w:rPr>
                <w:rFonts w:hint="eastAsia" w:eastAsia="宋体"/>
                <w:szCs w:val="21"/>
                <w:lang w:eastAsia="zh-CN"/>
              </w:rPr>
            </w:pPr>
            <w:r>
              <w:rPr>
                <w:rFonts w:hint="eastAsia"/>
                <w:lang w:val="en-US" w:eastAsia="zh-CN"/>
              </w:rPr>
              <w:t>北纬29°20'44.557</w:t>
            </w:r>
            <w:r>
              <w:rPr>
                <w:rFonts w:hint="eastAsia"/>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61" w:hRule="atLeast"/>
          <w:jc w:val="center"/>
        </w:trPr>
        <w:tc>
          <w:tcPr>
            <w:tcW w:w="1354" w:type="dxa"/>
            <w:tcBorders>
              <w:tl2br w:val="nil"/>
              <w:tr2bl w:val="nil"/>
            </w:tcBorders>
            <w:noWrap/>
            <w:tcMar>
              <w:top w:w="16" w:type="dxa"/>
              <w:left w:w="16" w:type="dxa"/>
              <w:right w:w="16" w:type="dxa"/>
            </w:tcMar>
            <w:vAlign w:val="center"/>
          </w:tcPr>
          <w:p>
            <w:pPr>
              <w:adjustRightInd w:val="0"/>
              <w:snapToGrid w:val="0"/>
              <w:jc w:val="center"/>
              <w:rPr>
                <w:szCs w:val="21"/>
              </w:rPr>
            </w:pPr>
            <w:r>
              <w:rPr>
                <w:szCs w:val="21"/>
              </w:rPr>
              <w:t>国民经济</w:t>
            </w:r>
          </w:p>
          <w:p>
            <w:pPr>
              <w:adjustRightInd w:val="0"/>
              <w:snapToGrid w:val="0"/>
              <w:jc w:val="center"/>
              <w:rPr>
                <w:szCs w:val="21"/>
              </w:rPr>
            </w:pPr>
            <w:r>
              <w:rPr>
                <w:szCs w:val="21"/>
              </w:rPr>
              <w:t>行业类别</w:t>
            </w:r>
          </w:p>
        </w:tc>
        <w:tc>
          <w:tcPr>
            <w:tcW w:w="2511" w:type="dxa"/>
            <w:tcBorders>
              <w:tl2br w:val="nil"/>
              <w:tr2bl w:val="nil"/>
            </w:tcBorders>
            <w:noWrap/>
            <w:vAlign w:val="center"/>
          </w:tcPr>
          <w:p>
            <w:pPr>
              <w:adjustRightInd w:val="0"/>
              <w:snapToGrid w:val="0"/>
              <w:jc w:val="center"/>
              <w:rPr>
                <w:szCs w:val="21"/>
              </w:rPr>
            </w:pPr>
            <w:r>
              <w:rPr>
                <w:szCs w:val="21"/>
              </w:rPr>
              <w:t>N水利、环境和公共设施管理业中</w:t>
            </w:r>
            <w:r>
              <w:rPr>
                <w:color w:val="000000" w:themeColor="text1"/>
                <w:szCs w:val="21"/>
                <w14:textFill>
                  <w14:solidFill>
                    <w14:schemeClr w14:val="tx1"/>
                  </w14:solidFill>
                </w14:textFill>
              </w:rPr>
              <w:t>7724危险废物治理</w:t>
            </w:r>
          </w:p>
        </w:tc>
        <w:tc>
          <w:tcPr>
            <w:tcW w:w="1668" w:type="dxa"/>
            <w:tcBorders>
              <w:tl2br w:val="nil"/>
              <w:tr2bl w:val="nil"/>
            </w:tcBorders>
            <w:noWrap/>
            <w:vAlign w:val="center"/>
          </w:tcPr>
          <w:p>
            <w:pPr>
              <w:adjustRightInd w:val="0"/>
              <w:snapToGrid w:val="0"/>
              <w:jc w:val="center"/>
              <w:rPr>
                <w:szCs w:val="21"/>
              </w:rPr>
            </w:pPr>
            <w:bookmarkStart w:id="4" w:name="_Hlk49843745"/>
            <w:r>
              <w:rPr>
                <w:szCs w:val="21"/>
              </w:rPr>
              <w:t>建设项目</w:t>
            </w:r>
          </w:p>
          <w:p>
            <w:pPr>
              <w:adjustRightInd w:val="0"/>
              <w:snapToGrid w:val="0"/>
              <w:jc w:val="center"/>
              <w:rPr>
                <w:szCs w:val="21"/>
              </w:rPr>
            </w:pPr>
            <w:r>
              <w:rPr>
                <w:szCs w:val="21"/>
              </w:rPr>
              <w:t>行业类别</w:t>
            </w:r>
            <w:bookmarkEnd w:id="4"/>
          </w:p>
        </w:tc>
        <w:tc>
          <w:tcPr>
            <w:tcW w:w="3337" w:type="dxa"/>
            <w:tcBorders>
              <w:tl2br w:val="nil"/>
              <w:tr2bl w:val="nil"/>
            </w:tcBorders>
            <w:noWrap/>
            <w:vAlign w:val="center"/>
          </w:tcPr>
          <w:p>
            <w:pPr>
              <w:adjustRightInd w:val="0"/>
              <w:snapToGrid w:val="0"/>
              <w:rPr>
                <w:szCs w:val="21"/>
              </w:rPr>
            </w:pPr>
            <w:r>
              <w:rPr>
                <w:szCs w:val="21"/>
              </w:rPr>
              <w:t>四十七生态保护和环境治理业危险废物（不含医疗废物）利用及处置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219" w:hRule="atLeast"/>
          <w:jc w:val="center"/>
        </w:trPr>
        <w:tc>
          <w:tcPr>
            <w:tcW w:w="1354" w:type="dxa"/>
            <w:tcBorders>
              <w:tl2br w:val="nil"/>
              <w:tr2bl w:val="nil"/>
            </w:tcBorders>
            <w:noWrap/>
            <w:tcMar>
              <w:top w:w="16" w:type="dxa"/>
              <w:left w:w="16" w:type="dxa"/>
              <w:right w:w="16" w:type="dxa"/>
            </w:tcMar>
            <w:vAlign w:val="center"/>
          </w:tcPr>
          <w:p>
            <w:pPr>
              <w:adjustRightInd w:val="0"/>
              <w:snapToGrid w:val="0"/>
              <w:jc w:val="center"/>
              <w:rPr>
                <w:szCs w:val="21"/>
              </w:rPr>
            </w:pPr>
            <w:r>
              <w:rPr>
                <w:szCs w:val="21"/>
              </w:rPr>
              <w:t>建设性质</w:t>
            </w:r>
          </w:p>
        </w:tc>
        <w:tc>
          <w:tcPr>
            <w:tcW w:w="2511" w:type="dxa"/>
            <w:tcBorders>
              <w:tl2br w:val="nil"/>
              <w:tr2bl w:val="nil"/>
            </w:tcBorders>
            <w:noWrap/>
            <w:vAlign w:val="center"/>
          </w:tcPr>
          <w:p>
            <w:pPr>
              <w:jc w:val="left"/>
              <w:rPr>
                <w:szCs w:val="21"/>
              </w:rPr>
            </w:pPr>
            <w:r>
              <w:rPr>
                <w:szCs w:val="21"/>
              </w:rPr>
              <w:sym w:font="Wingdings 2" w:char="00A3"/>
            </w:r>
            <w:r>
              <w:rPr>
                <w:szCs w:val="21"/>
              </w:rPr>
              <w:t>新建（迁建）</w:t>
            </w:r>
          </w:p>
          <w:p>
            <w:pPr>
              <w:jc w:val="left"/>
              <w:rPr>
                <w:szCs w:val="21"/>
              </w:rPr>
            </w:pPr>
            <w:r>
              <w:rPr>
                <w:szCs w:val="21"/>
              </w:rPr>
              <w:sym w:font="Wingdings 2" w:char="00A3"/>
            </w:r>
            <w:r>
              <w:rPr>
                <w:szCs w:val="21"/>
              </w:rPr>
              <w:t>改建</w:t>
            </w:r>
          </w:p>
          <w:p>
            <w:pPr>
              <w:jc w:val="left"/>
              <w:rPr>
                <w:szCs w:val="21"/>
              </w:rPr>
            </w:pPr>
            <w:r>
              <w:rPr>
                <w:szCs w:val="21"/>
              </w:rPr>
              <w:sym w:font="Wingdings 2" w:char="0052"/>
            </w:r>
            <w:r>
              <w:rPr>
                <w:szCs w:val="21"/>
              </w:rPr>
              <w:t>扩建</w:t>
            </w:r>
          </w:p>
          <w:p>
            <w:pPr>
              <w:jc w:val="left"/>
              <w:rPr>
                <w:szCs w:val="21"/>
              </w:rPr>
            </w:pPr>
            <w:r>
              <w:rPr>
                <w:szCs w:val="21"/>
              </w:rPr>
              <w:sym w:font="Wingdings 2" w:char="00A3"/>
            </w:r>
            <w:r>
              <w:rPr>
                <w:szCs w:val="21"/>
              </w:rPr>
              <w:t>技术改造</w:t>
            </w:r>
          </w:p>
        </w:tc>
        <w:tc>
          <w:tcPr>
            <w:tcW w:w="1668" w:type="dxa"/>
            <w:tcBorders>
              <w:tl2br w:val="nil"/>
              <w:tr2bl w:val="nil"/>
            </w:tcBorders>
            <w:noWrap/>
            <w:vAlign w:val="center"/>
          </w:tcPr>
          <w:p>
            <w:pPr>
              <w:adjustRightInd w:val="0"/>
              <w:snapToGrid w:val="0"/>
              <w:jc w:val="center"/>
              <w:rPr>
                <w:szCs w:val="21"/>
              </w:rPr>
            </w:pPr>
            <w:r>
              <w:rPr>
                <w:szCs w:val="21"/>
              </w:rPr>
              <w:t>建设项目</w:t>
            </w:r>
          </w:p>
          <w:p>
            <w:pPr>
              <w:adjustRightInd w:val="0"/>
              <w:snapToGrid w:val="0"/>
              <w:jc w:val="center"/>
              <w:rPr>
                <w:szCs w:val="21"/>
              </w:rPr>
            </w:pPr>
            <w:r>
              <w:rPr>
                <w:szCs w:val="21"/>
              </w:rPr>
              <w:t>申报情形</w:t>
            </w:r>
          </w:p>
        </w:tc>
        <w:tc>
          <w:tcPr>
            <w:tcW w:w="3337" w:type="dxa"/>
            <w:tcBorders>
              <w:tl2br w:val="nil"/>
              <w:tr2bl w:val="nil"/>
            </w:tcBorders>
            <w:noWrap/>
            <w:vAlign w:val="center"/>
          </w:tcPr>
          <w:p>
            <w:pPr>
              <w:jc w:val="left"/>
              <w:rPr>
                <w:szCs w:val="21"/>
              </w:rPr>
            </w:pPr>
            <w:r>
              <w:rPr>
                <w:szCs w:val="21"/>
              </w:rPr>
              <w:sym w:font="Wingdings 2" w:char="0052"/>
            </w:r>
            <w:r>
              <w:rPr>
                <w:szCs w:val="21"/>
              </w:rPr>
              <w:t xml:space="preserve">首次申报项目             </w:t>
            </w:r>
          </w:p>
          <w:p>
            <w:pPr>
              <w:jc w:val="left"/>
              <w:rPr>
                <w:szCs w:val="21"/>
              </w:rPr>
            </w:pPr>
            <w:r>
              <w:rPr>
                <w:szCs w:val="21"/>
              </w:rPr>
              <w:sym w:font="Wingdings 2" w:char="00A3"/>
            </w:r>
            <w:r>
              <w:rPr>
                <w:szCs w:val="21"/>
              </w:rPr>
              <w:t>不予批准后再次申报项目</w:t>
            </w:r>
          </w:p>
          <w:p>
            <w:pPr>
              <w:jc w:val="left"/>
              <w:rPr>
                <w:szCs w:val="21"/>
              </w:rPr>
            </w:pPr>
            <w:r>
              <w:rPr>
                <w:szCs w:val="21"/>
              </w:rPr>
              <w:sym w:font="Wingdings 2" w:char="00A3"/>
            </w:r>
            <w:r>
              <w:rPr>
                <w:szCs w:val="21"/>
              </w:rPr>
              <w:t xml:space="preserve">超五年重新审核项目     </w:t>
            </w:r>
          </w:p>
          <w:p>
            <w:pPr>
              <w:jc w:val="left"/>
              <w:rPr>
                <w:szCs w:val="21"/>
              </w:rPr>
            </w:pPr>
            <w:r>
              <w:rPr>
                <w:szCs w:val="21"/>
              </w:rPr>
              <w:sym w:font="Wingdings 2" w:char="00A3"/>
            </w:r>
            <w:r>
              <w:rPr>
                <w:szCs w:val="21"/>
              </w:rPr>
              <w:t>重大变动重新报批项目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1354" w:type="dxa"/>
            <w:tcBorders>
              <w:tl2br w:val="nil"/>
              <w:tr2bl w:val="nil"/>
            </w:tcBorders>
            <w:noWrap/>
            <w:tcMar>
              <w:top w:w="16" w:type="dxa"/>
              <w:left w:w="16" w:type="dxa"/>
              <w:right w:w="16" w:type="dxa"/>
            </w:tcMar>
            <w:vAlign w:val="center"/>
          </w:tcPr>
          <w:p>
            <w:pPr>
              <w:adjustRightInd w:val="0"/>
              <w:snapToGrid w:val="0"/>
              <w:jc w:val="center"/>
              <w:rPr>
                <w:szCs w:val="21"/>
              </w:rPr>
            </w:pPr>
            <w:r>
              <w:rPr>
                <w:szCs w:val="21"/>
              </w:rPr>
              <w:t>项目审批（核准/</w:t>
            </w:r>
          </w:p>
          <w:p>
            <w:pPr>
              <w:adjustRightInd w:val="0"/>
              <w:snapToGrid w:val="0"/>
              <w:jc w:val="center"/>
              <w:rPr>
                <w:szCs w:val="21"/>
              </w:rPr>
            </w:pPr>
            <w:r>
              <w:rPr>
                <w:szCs w:val="21"/>
              </w:rPr>
              <w:t>备案）部门（选填）</w:t>
            </w:r>
          </w:p>
        </w:tc>
        <w:tc>
          <w:tcPr>
            <w:tcW w:w="2511" w:type="dxa"/>
            <w:tcBorders>
              <w:tl2br w:val="nil"/>
              <w:tr2bl w:val="nil"/>
            </w:tcBorders>
            <w:noWrap/>
            <w:vAlign w:val="center"/>
          </w:tcPr>
          <w:p>
            <w:pPr>
              <w:adjustRightInd w:val="0"/>
              <w:snapToGrid w:val="0"/>
              <w:jc w:val="center"/>
              <w:rPr>
                <w:szCs w:val="21"/>
              </w:rPr>
            </w:pPr>
            <w:r>
              <w:rPr>
                <w:szCs w:val="21"/>
              </w:rPr>
              <w:t>/</w:t>
            </w:r>
          </w:p>
        </w:tc>
        <w:tc>
          <w:tcPr>
            <w:tcW w:w="1668" w:type="dxa"/>
            <w:tcBorders>
              <w:tl2br w:val="nil"/>
              <w:tr2bl w:val="nil"/>
            </w:tcBorders>
            <w:noWrap/>
            <w:vAlign w:val="center"/>
          </w:tcPr>
          <w:p>
            <w:pPr>
              <w:adjustRightInd w:val="0"/>
              <w:snapToGrid w:val="0"/>
              <w:jc w:val="center"/>
              <w:rPr>
                <w:szCs w:val="21"/>
              </w:rPr>
            </w:pPr>
            <w:r>
              <w:rPr>
                <w:szCs w:val="21"/>
              </w:rPr>
              <w:t>项目审批（核准/</w:t>
            </w:r>
          </w:p>
          <w:p>
            <w:pPr>
              <w:adjustRightInd w:val="0"/>
              <w:snapToGrid w:val="0"/>
              <w:jc w:val="center"/>
              <w:rPr>
                <w:szCs w:val="21"/>
              </w:rPr>
            </w:pPr>
            <w:r>
              <w:rPr>
                <w:szCs w:val="21"/>
              </w:rPr>
              <w:t>备案）文号（选填）</w:t>
            </w:r>
          </w:p>
        </w:tc>
        <w:tc>
          <w:tcPr>
            <w:tcW w:w="3337" w:type="dxa"/>
            <w:tcBorders>
              <w:tl2br w:val="nil"/>
              <w:tr2bl w:val="nil"/>
            </w:tcBorders>
            <w:noWrap/>
            <w:vAlign w:val="center"/>
          </w:tcPr>
          <w:p>
            <w:pPr>
              <w:adjustRightInd w:val="0"/>
              <w:snapToGrid w:val="0"/>
              <w:jc w:val="center"/>
              <w:rPr>
                <w:szCs w:val="21"/>
              </w:rPr>
            </w:pPr>
            <w:r>
              <w:rPr>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354" w:type="dxa"/>
            <w:tcBorders>
              <w:tl2br w:val="nil"/>
              <w:tr2bl w:val="nil"/>
            </w:tcBorders>
            <w:noWrap/>
            <w:tcMar>
              <w:top w:w="16" w:type="dxa"/>
              <w:left w:w="16" w:type="dxa"/>
              <w:right w:w="16" w:type="dxa"/>
            </w:tcMar>
            <w:vAlign w:val="center"/>
          </w:tcPr>
          <w:p>
            <w:pPr>
              <w:adjustRightInd w:val="0"/>
              <w:snapToGrid w:val="0"/>
              <w:jc w:val="center"/>
              <w:rPr>
                <w:szCs w:val="21"/>
              </w:rPr>
            </w:pPr>
            <w:r>
              <w:rPr>
                <w:szCs w:val="21"/>
              </w:rPr>
              <w:t>总投资（万元）</w:t>
            </w:r>
          </w:p>
        </w:tc>
        <w:tc>
          <w:tcPr>
            <w:tcW w:w="2511" w:type="dxa"/>
            <w:tcBorders>
              <w:tl2br w:val="nil"/>
              <w:tr2bl w:val="nil"/>
            </w:tcBorders>
            <w:noWrap/>
            <w:vAlign w:val="center"/>
          </w:tcPr>
          <w:p>
            <w:pPr>
              <w:adjustRightInd w:val="0"/>
              <w:snapToGrid w:val="0"/>
              <w:jc w:val="center"/>
              <w:rPr>
                <w:szCs w:val="21"/>
              </w:rPr>
            </w:pPr>
            <w:r>
              <w:rPr>
                <w:rFonts w:hint="eastAsia"/>
                <w:szCs w:val="21"/>
              </w:rPr>
              <w:t>900</w:t>
            </w:r>
          </w:p>
        </w:tc>
        <w:tc>
          <w:tcPr>
            <w:tcW w:w="1668" w:type="dxa"/>
            <w:tcBorders>
              <w:tl2br w:val="nil"/>
              <w:tr2bl w:val="nil"/>
            </w:tcBorders>
            <w:noWrap/>
            <w:tcMar>
              <w:top w:w="16" w:type="dxa"/>
              <w:left w:w="16" w:type="dxa"/>
              <w:right w:w="16" w:type="dxa"/>
            </w:tcMar>
            <w:vAlign w:val="center"/>
          </w:tcPr>
          <w:p>
            <w:pPr>
              <w:adjustRightInd w:val="0"/>
              <w:snapToGrid w:val="0"/>
              <w:jc w:val="center"/>
              <w:rPr>
                <w:szCs w:val="21"/>
              </w:rPr>
            </w:pPr>
            <w:r>
              <w:rPr>
                <w:szCs w:val="21"/>
              </w:rPr>
              <w:t>环保投资（万元）</w:t>
            </w:r>
          </w:p>
        </w:tc>
        <w:tc>
          <w:tcPr>
            <w:tcW w:w="3337" w:type="dxa"/>
            <w:tcBorders>
              <w:tl2br w:val="nil"/>
              <w:tr2bl w:val="nil"/>
            </w:tcBorders>
            <w:noWrap/>
            <w:vAlign w:val="center"/>
          </w:tcPr>
          <w:p>
            <w:pPr>
              <w:adjustRightInd w:val="0"/>
              <w:snapToGrid w:val="0"/>
              <w:jc w:val="center"/>
              <w:rPr>
                <w:szCs w:val="21"/>
              </w:rPr>
            </w:pPr>
            <w:r>
              <w:rPr>
                <w:rFonts w:hint="eastAsia"/>
                <w:szCs w:val="21"/>
              </w:rPr>
              <w:t>120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354" w:type="dxa"/>
            <w:tcBorders>
              <w:tl2br w:val="nil"/>
              <w:tr2bl w:val="nil"/>
            </w:tcBorders>
            <w:noWrap/>
            <w:tcMar>
              <w:top w:w="16" w:type="dxa"/>
              <w:left w:w="16" w:type="dxa"/>
              <w:right w:w="16" w:type="dxa"/>
            </w:tcMar>
            <w:vAlign w:val="center"/>
          </w:tcPr>
          <w:p>
            <w:pPr>
              <w:adjustRightInd w:val="0"/>
              <w:snapToGrid w:val="0"/>
              <w:jc w:val="center"/>
              <w:rPr>
                <w:szCs w:val="21"/>
              </w:rPr>
            </w:pPr>
            <w:r>
              <w:rPr>
                <w:szCs w:val="21"/>
              </w:rPr>
              <w:t>环保投资占比（%）</w:t>
            </w:r>
          </w:p>
        </w:tc>
        <w:tc>
          <w:tcPr>
            <w:tcW w:w="2511" w:type="dxa"/>
            <w:tcBorders>
              <w:tl2br w:val="nil"/>
              <w:tr2bl w:val="nil"/>
            </w:tcBorders>
            <w:noWrap/>
            <w:vAlign w:val="center"/>
          </w:tcPr>
          <w:p>
            <w:pPr>
              <w:adjustRightInd w:val="0"/>
              <w:snapToGrid w:val="0"/>
              <w:jc w:val="center"/>
              <w:rPr>
                <w:szCs w:val="21"/>
              </w:rPr>
            </w:pPr>
            <w:r>
              <w:rPr>
                <w:rFonts w:hint="eastAsia"/>
                <w:szCs w:val="21"/>
              </w:rPr>
              <w:t>13.33</w:t>
            </w:r>
          </w:p>
        </w:tc>
        <w:tc>
          <w:tcPr>
            <w:tcW w:w="1668" w:type="dxa"/>
            <w:tcBorders>
              <w:tl2br w:val="nil"/>
              <w:tr2bl w:val="nil"/>
            </w:tcBorders>
            <w:noWrap/>
            <w:tcMar>
              <w:top w:w="16" w:type="dxa"/>
              <w:left w:w="16" w:type="dxa"/>
              <w:right w:w="16" w:type="dxa"/>
            </w:tcMar>
            <w:vAlign w:val="center"/>
          </w:tcPr>
          <w:p>
            <w:pPr>
              <w:adjustRightInd w:val="0"/>
              <w:snapToGrid w:val="0"/>
              <w:jc w:val="center"/>
              <w:rPr>
                <w:szCs w:val="21"/>
              </w:rPr>
            </w:pPr>
            <w:r>
              <w:rPr>
                <w:szCs w:val="21"/>
              </w:rPr>
              <w:t>施工工期</w:t>
            </w:r>
          </w:p>
        </w:tc>
        <w:tc>
          <w:tcPr>
            <w:tcW w:w="3337" w:type="dxa"/>
            <w:tcBorders>
              <w:tl2br w:val="nil"/>
              <w:tr2bl w:val="nil"/>
            </w:tcBorders>
            <w:noWrap/>
            <w:vAlign w:val="center"/>
          </w:tcPr>
          <w:p>
            <w:pPr>
              <w:adjustRightInd w:val="0"/>
              <w:snapToGrid w:val="0"/>
              <w:jc w:val="center"/>
              <w:rPr>
                <w:szCs w:val="21"/>
              </w:rPr>
            </w:pPr>
            <w:r>
              <w:rPr>
                <w:rFonts w:hint="eastAsia"/>
                <w:szCs w:val="21"/>
              </w:rPr>
              <w:t>24</w:t>
            </w:r>
            <w:r>
              <w:rPr>
                <w:szCs w:val="21"/>
              </w:rPr>
              <w:t>个月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354" w:type="dxa"/>
            <w:tcBorders>
              <w:tl2br w:val="nil"/>
              <w:tr2bl w:val="nil"/>
            </w:tcBorders>
            <w:noWrap/>
            <w:tcMar>
              <w:top w:w="16" w:type="dxa"/>
              <w:left w:w="16" w:type="dxa"/>
              <w:right w:w="16" w:type="dxa"/>
            </w:tcMar>
            <w:vAlign w:val="center"/>
          </w:tcPr>
          <w:p>
            <w:pPr>
              <w:adjustRightInd w:val="0"/>
              <w:snapToGrid w:val="0"/>
              <w:jc w:val="center"/>
              <w:rPr>
                <w:szCs w:val="21"/>
              </w:rPr>
            </w:pPr>
            <w:r>
              <w:rPr>
                <w:szCs w:val="21"/>
              </w:rPr>
              <w:t>是否开工建设</w:t>
            </w:r>
          </w:p>
        </w:tc>
        <w:tc>
          <w:tcPr>
            <w:tcW w:w="2511" w:type="dxa"/>
            <w:tcBorders>
              <w:tl2br w:val="nil"/>
              <w:tr2bl w:val="nil"/>
            </w:tcBorders>
            <w:noWrap/>
            <w:vAlign w:val="center"/>
          </w:tcPr>
          <w:p>
            <w:pPr>
              <w:adjustRightInd w:val="0"/>
              <w:snapToGrid w:val="0"/>
              <w:rPr>
                <w:szCs w:val="21"/>
              </w:rPr>
            </w:pPr>
            <w:r>
              <w:rPr>
                <w:szCs w:val="21"/>
              </w:rPr>
              <w:sym w:font="Wingdings 2" w:char="0052"/>
            </w:r>
            <w:r>
              <w:rPr>
                <w:szCs w:val="21"/>
              </w:rPr>
              <w:t>否</w:t>
            </w:r>
          </w:p>
          <w:p>
            <w:pPr>
              <w:adjustRightInd w:val="0"/>
              <w:snapToGrid w:val="0"/>
              <w:rPr>
                <w:szCs w:val="21"/>
              </w:rPr>
            </w:pPr>
            <w:r>
              <w:rPr>
                <w:szCs w:val="21"/>
              </w:rPr>
              <w:sym w:font="Wingdings 2" w:char="00A3"/>
            </w:r>
            <w:r>
              <w:rPr>
                <w:szCs w:val="21"/>
              </w:rPr>
              <w:t>是</w:t>
            </w:r>
            <w:r>
              <w:rPr>
                <w:szCs w:val="21"/>
                <w:u w:val="single"/>
              </w:rPr>
              <w:t>：</w:t>
            </w:r>
            <w:r>
              <w:rPr>
                <w:rFonts w:hint="eastAsia"/>
                <w:szCs w:val="21"/>
                <w:u w:val="single"/>
              </w:rPr>
              <w:t xml:space="preserve">            </w:t>
            </w:r>
          </w:p>
        </w:tc>
        <w:tc>
          <w:tcPr>
            <w:tcW w:w="1668" w:type="dxa"/>
            <w:tcBorders>
              <w:tl2br w:val="nil"/>
              <w:tr2bl w:val="nil"/>
            </w:tcBorders>
            <w:noWrap/>
            <w:tcMar>
              <w:top w:w="16" w:type="dxa"/>
              <w:left w:w="16" w:type="dxa"/>
              <w:right w:w="16" w:type="dxa"/>
            </w:tcMar>
            <w:vAlign w:val="center"/>
          </w:tcPr>
          <w:p>
            <w:pPr>
              <w:adjustRightInd w:val="0"/>
              <w:snapToGrid w:val="0"/>
              <w:jc w:val="center"/>
              <w:rPr>
                <w:spacing w:val="-6"/>
                <w:szCs w:val="21"/>
              </w:rPr>
            </w:pPr>
            <w:r>
              <w:rPr>
                <w:spacing w:val="-6"/>
                <w:szCs w:val="21"/>
              </w:rPr>
              <w:t>用地（用海）</w:t>
            </w:r>
          </w:p>
          <w:p>
            <w:pPr>
              <w:adjustRightInd w:val="0"/>
              <w:snapToGrid w:val="0"/>
              <w:jc w:val="center"/>
              <w:rPr>
                <w:szCs w:val="21"/>
              </w:rPr>
            </w:pPr>
            <w:r>
              <w:rPr>
                <w:spacing w:val="-6"/>
                <w:szCs w:val="21"/>
              </w:rPr>
              <w:t>面积（m</w:t>
            </w:r>
            <w:r>
              <w:rPr>
                <w:spacing w:val="-6"/>
                <w:szCs w:val="21"/>
                <w:vertAlign w:val="superscript"/>
              </w:rPr>
              <w:t>2</w:t>
            </w:r>
            <w:r>
              <w:rPr>
                <w:spacing w:val="-6"/>
                <w:szCs w:val="21"/>
              </w:rPr>
              <w:t>）</w:t>
            </w:r>
          </w:p>
        </w:tc>
        <w:tc>
          <w:tcPr>
            <w:tcW w:w="3337" w:type="dxa"/>
            <w:tcBorders>
              <w:tl2br w:val="nil"/>
              <w:tr2bl w:val="nil"/>
            </w:tcBorders>
            <w:noWrap/>
            <w:vAlign w:val="center"/>
          </w:tcPr>
          <w:p>
            <w:pPr>
              <w:adjustRightInd w:val="0"/>
              <w:snapToGrid w:val="0"/>
              <w:jc w:val="center"/>
              <w:rPr>
                <w:szCs w:val="21"/>
              </w:rPr>
            </w:pPr>
            <w:r>
              <w:rPr>
                <w:rFonts w:hint="eastAsia"/>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354" w:type="dxa"/>
            <w:tcBorders>
              <w:tl2br w:val="nil"/>
              <w:tr2bl w:val="nil"/>
            </w:tcBorders>
            <w:noWrap/>
            <w:vAlign w:val="center"/>
          </w:tcPr>
          <w:p>
            <w:pPr>
              <w:autoSpaceDE w:val="0"/>
              <w:autoSpaceDN w:val="0"/>
              <w:adjustRightInd w:val="0"/>
              <w:snapToGrid w:val="0"/>
              <w:jc w:val="center"/>
              <w:rPr>
                <w:kern w:val="0"/>
                <w:szCs w:val="21"/>
              </w:rPr>
            </w:pPr>
            <w:r>
              <w:rPr>
                <w:kern w:val="0"/>
                <w:szCs w:val="21"/>
              </w:rPr>
              <w:t>专项评价设置情况</w:t>
            </w:r>
          </w:p>
        </w:tc>
        <w:tc>
          <w:tcPr>
            <w:tcW w:w="7516" w:type="dxa"/>
            <w:gridSpan w:val="3"/>
            <w:tcBorders>
              <w:tl2br w:val="nil"/>
              <w:tr2bl w:val="nil"/>
            </w:tcBorders>
            <w:noWrap/>
            <w:vAlign w:val="center"/>
          </w:tcPr>
          <w:p>
            <w:pPr>
              <w:autoSpaceDE w:val="0"/>
              <w:autoSpaceDN w:val="0"/>
              <w:adjustRightInd w:val="0"/>
              <w:snapToGrid w:val="0"/>
              <w:spacing w:line="360" w:lineRule="auto"/>
              <w:jc w:val="center"/>
              <w:rPr>
                <w:kern w:val="0"/>
                <w:szCs w:val="21"/>
              </w:rPr>
            </w:pPr>
            <w:r>
              <w:rPr>
                <w:rFonts w:hint="eastAsia"/>
                <w:kern w:val="0"/>
                <w:sz w:val="24"/>
                <w:szCs w:val="24"/>
              </w:rPr>
              <w:t>本项目位于涉及东洞庭湖自然保护区，位于东洞庭湖自然保护区实验区水面，根据《建设项目环境影响报告表编制技术指南（污染影响类）》中表1专项评价设置原则表中提出“取水口下游 500 米范围内有重要水生生物的自然产卵场、索饵场、越冬场和洄游通道的新增河道取水的污染类建设项目”</w:t>
            </w:r>
            <w:r>
              <w:rPr>
                <w:rStyle w:val="30"/>
                <w:rFonts w:hint="eastAsia"/>
                <w:sz w:val="24"/>
                <w:szCs w:val="24"/>
              </w:rPr>
              <w:t>需编制生态专项评价，本项目航道及停靠点不在该范围内，本环评报告无需编制生态专项评价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354" w:type="dxa"/>
            <w:tcBorders>
              <w:tl2br w:val="nil"/>
              <w:tr2bl w:val="nil"/>
            </w:tcBorders>
            <w:noWrap/>
            <w:vAlign w:val="center"/>
          </w:tcPr>
          <w:p>
            <w:pPr>
              <w:autoSpaceDE w:val="0"/>
              <w:autoSpaceDN w:val="0"/>
              <w:adjustRightInd w:val="0"/>
              <w:snapToGrid w:val="0"/>
              <w:jc w:val="center"/>
              <w:rPr>
                <w:kern w:val="0"/>
                <w:szCs w:val="21"/>
              </w:rPr>
            </w:pPr>
            <w:r>
              <w:rPr>
                <w:szCs w:val="21"/>
              </w:rPr>
              <w:t>规划情况</w:t>
            </w:r>
          </w:p>
        </w:tc>
        <w:tc>
          <w:tcPr>
            <w:tcW w:w="7516" w:type="dxa"/>
            <w:gridSpan w:val="3"/>
            <w:tcBorders>
              <w:tl2br w:val="nil"/>
              <w:tr2bl w:val="nil"/>
            </w:tcBorders>
            <w:noWrap/>
            <w:vAlign w:val="center"/>
          </w:tcPr>
          <w:p>
            <w:pPr>
              <w:autoSpaceDE w:val="0"/>
              <w:autoSpaceDN w:val="0"/>
              <w:adjustRightInd w:val="0"/>
              <w:snapToGrid w:val="0"/>
              <w:jc w:val="center"/>
              <w:rPr>
                <w:rFonts w:hint="eastAsia"/>
                <w:kern w:val="0"/>
                <w:sz w:val="24"/>
                <w:szCs w:val="24"/>
              </w:rPr>
            </w:pPr>
            <w:r>
              <w:rPr>
                <w:rFonts w:hint="eastAsia"/>
                <w:kern w:val="0"/>
                <w:sz w:val="24"/>
                <w:szCs w:val="24"/>
              </w:rPr>
              <w:t>湖南省人民政府办公厅关于印发</w:t>
            </w:r>
          </w:p>
          <w:p>
            <w:pPr>
              <w:autoSpaceDE w:val="0"/>
              <w:autoSpaceDN w:val="0"/>
              <w:adjustRightInd w:val="0"/>
              <w:snapToGrid w:val="0"/>
              <w:jc w:val="center"/>
              <w:rPr>
                <w:rFonts w:hint="eastAsia"/>
                <w:kern w:val="0"/>
                <w:sz w:val="24"/>
                <w:szCs w:val="24"/>
              </w:rPr>
            </w:pPr>
            <w:r>
              <w:rPr>
                <w:rFonts w:hint="eastAsia"/>
                <w:kern w:val="0"/>
                <w:sz w:val="24"/>
                <w:szCs w:val="24"/>
              </w:rPr>
              <w:t>《湖南省“十四五”生态环境保护规划》的通知</w:t>
            </w:r>
          </w:p>
          <w:p>
            <w:pPr>
              <w:autoSpaceDE w:val="0"/>
              <w:autoSpaceDN w:val="0"/>
              <w:adjustRightInd w:val="0"/>
              <w:snapToGrid w:val="0"/>
              <w:jc w:val="center"/>
              <w:rPr>
                <w:kern w:val="0"/>
                <w:szCs w:val="21"/>
              </w:rPr>
            </w:pPr>
            <w:r>
              <w:rPr>
                <w:kern w:val="0"/>
                <w:sz w:val="24"/>
                <w:szCs w:val="24"/>
              </w:rPr>
              <w:t>湘政办发〔</w:t>
            </w:r>
            <w:r>
              <w:rPr>
                <w:rFonts w:hint="default"/>
                <w:kern w:val="0"/>
                <w:sz w:val="24"/>
                <w:szCs w:val="24"/>
              </w:rPr>
              <w:t>2021〕61号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354" w:type="dxa"/>
            <w:tcBorders>
              <w:tl2br w:val="nil"/>
              <w:tr2bl w:val="nil"/>
            </w:tcBorders>
            <w:noWrap/>
            <w:vAlign w:val="center"/>
          </w:tcPr>
          <w:p>
            <w:pPr>
              <w:adjustRightInd w:val="0"/>
              <w:snapToGrid w:val="0"/>
              <w:jc w:val="center"/>
              <w:rPr>
                <w:szCs w:val="21"/>
              </w:rPr>
            </w:pPr>
            <w:r>
              <w:rPr>
                <w:szCs w:val="21"/>
              </w:rPr>
              <w:t>规划环境影响</w:t>
            </w:r>
          </w:p>
          <w:p>
            <w:pPr>
              <w:adjustRightInd w:val="0"/>
              <w:snapToGrid w:val="0"/>
              <w:jc w:val="center"/>
              <w:rPr>
                <w:kern w:val="0"/>
                <w:szCs w:val="21"/>
              </w:rPr>
            </w:pPr>
            <w:r>
              <w:rPr>
                <w:szCs w:val="21"/>
              </w:rPr>
              <w:t>评价情况</w:t>
            </w:r>
          </w:p>
        </w:tc>
        <w:tc>
          <w:tcPr>
            <w:tcW w:w="7516" w:type="dxa"/>
            <w:gridSpan w:val="3"/>
            <w:tcBorders>
              <w:tl2br w:val="nil"/>
              <w:tr2bl w:val="nil"/>
            </w:tcBorders>
            <w:noWrap/>
            <w:vAlign w:val="center"/>
          </w:tcPr>
          <w:p>
            <w:pPr>
              <w:autoSpaceDE w:val="0"/>
              <w:autoSpaceDN w:val="0"/>
              <w:adjustRightInd w:val="0"/>
              <w:snapToGrid w:val="0"/>
              <w:jc w:val="center"/>
              <w:rPr>
                <w:kern w:val="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354" w:type="dxa"/>
            <w:tcBorders>
              <w:tl2br w:val="nil"/>
              <w:tr2bl w:val="nil"/>
            </w:tcBorders>
            <w:noWrap/>
            <w:vAlign w:val="center"/>
          </w:tcPr>
          <w:p>
            <w:pPr>
              <w:autoSpaceDE w:val="0"/>
              <w:autoSpaceDN w:val="0"/>
              <w:adjustRightInd w:val="0"/>
              <w:snapToGrid w:val="0"/>
              <w:jc w:val="center"/>
              <w:rPr>
                <w:kern w:val="0"/>
                <w:szCs w:val="21"/>
              </w:rPr>
            </w:pPr>
            <w:r>
              <w:rPr>
                <w:kern w:val="0"/>
                <w:szCs w:val="21"/>
              </w:rPr>
              <w:t>规划及规划环境</w:t>
            </w:r>
          </w:p>
          <w:p>
            <w:pPr>
              <w:autoSpaceDE w:val="0"/>
              <w:autoSpaceDN w:val="0"/>
              <w:adjustRightInd w:val="0"/>
              <w:snapToGrid w:val="0"/>
              <w:jc w:val="center"/>
              <w:rPr>
                <w:kern w:val="0"/>
                <w:szCs w:val="21"/>
              </w:rPr>
            </w:pPr>
            <w:r>
              <w:rPr>
                <w:kern w:val="0"/>
                <w:szCs w:val="21"/>
              </w:rPr>
              <w:t>影响评价符合性分析</w:t>
            </w:r>
          </w:p>
        </w:tc>
        <w:tc>
          <w:tcPr>
            <w:tcW w:w="7516" w:type="dxa"/>
            <w:gridSpan w:val="3"/>
            <w:tcBorders>
              <w:tl2br w:val="nil"/>
              <w:tr2bl w:val="nil"/>
            </w:tcBorders>
            <w:noWrap/>
            <w:vAlign w:val="center"/>
          </w:tcPr>
          <w:p>
            <w:pPr>
              <w:numPr>
                <w:ilvl w:val="0"/>
                <w:numId w:val="3"/>
              </w:numPr>
              <w:autoSpaceDE w:val="0"/>
              <w:autoSpaceDN w:val="0"/>
              <w:adjustRightInd w:val="0"/>
              <w:snapToGrid w:val="0"/>
              <w:spacing w:line="360" w:lineRule="auto"/>
              <w:ind w:left="480" w:hanging="480" w:hangingChars="200"/>
              <w:jc w:val="both"/>
              <w:rPr>
                <w:rFonts w:hint="eastAsia"/>
                <w:u w:val="single"/>
                <w:lang w:val="en-US" w:eastAsia="zh-CN"/>
              </w:rPr>
            </w:pPr>
            <w:r>
              <w:rPr>
                <w:rFonts w:hint="eastAsia"/>
                <w:kern w:val="0"/>
                <w:sz w:val="24"/>
                <w:szCs w:val="24"/>
                <w:u w:val="single"/>
                <w:lang w:val="en-US" w:eastAsia="zh-CN"/>
              </w:rPr>
              <w:t>与《湖南省“十四五”生态环境保护规划》相符性分析</w:t>
            </w:r>
          </w:p>
          <w:p>
            <w:pPr>
              <w:numPr>
                <w:ilvl w:val="0"/>
                <w:numId w:val="0"/>
              </w:numPr>
              <w:autoSpaceDE w:val="0"/>
              <w:autoSpaceDN w:val="0"/>
              <w:adjustRightInd w:val="0"/>
              <w:snapToGrid w:val="0"/>
              <w:spacing w:line="360" w:lineRule="auto"/>
              <w:ind w:firstLine="480" w:firstLineChars="200"/>
              <w:jc w:val="both"/>
              <w:rPr>
                <w:rFonts w:hint="default" w:eastAsia="宋体"/>
                <w:kern w:val="0"/>
                <w:szCs w:val="21"/>
                <w:lang w:val="en-US" w:eastAsia="zh-CN"/>
              </w:rPr>
            </w:pPr>
            <w:r>
              <w:rPr>
                <w:rFonts w:hint="eastAsia"/>
                <w:kern w:val="0"/>
                <w:sz w:val="24"/>
                <w:szCs w:val="24"/>
                <w:u w:val="single"/>
                <w:lang w:val="en-US" w:eastAsia="zh-CN"/>
              </w:rPr>
              <w:t>在</w:t>
            </w:r>
            <w:r>
              <w:rPr>
                <w:rFonts w:hint="eastAsia"/>
                <w:sz w:val="24"/>
                <w:szCs w:val="24"/>
                <w:u w:val="single"/>
                <w:lang w:val="en-US" w:eastAsia="zh-CN"/>
              </w:rPr>
              <w:t>《湖南省“十四五”生态环境保护规划》中第四大点深入打好污染防治攻坚战提出：“</w:t>
            </w:r>
            <w:r>
              <w:rPr>
                <w:rFonts w:hint="eastAsia"/>
                <w:sz w:val="24"/>
                <w:szCs w:val="24"/>
                <w:u w:val="single"/>
              </w:rPr>
              <w:t>加强船舶及港口码头污染防治，优化港口码头布局，全面清理非法码头，对环保不达标的合法码头实施污染防治设施升级改造，推动绿色港口、绿色码头建设；完善船舶生活污水、垃圾、含油污水接收转运设施建设，推动接收设施与城市公共转运设施有效衔接，长江干流湖南段港口码头应建成靠港船舶生活污水固定接收设施，推广应用船舶水污染物联合监管与服务信息系统，形成船舶和港口污染防治长效机制</w:t>
            </w:r>
            <w:r>
              <w:rPr>
                <w:rFonts w:hint="eastAsia"/>
                <w:sz w:val="24"/>
                <w:szCs w:val="24"/>
                <w:u w:val="single"/>
                <w:lang w:eastAsia="zh-CN"/>
              </w:rPr>
              <w:t>”，本项目为船舶污染物接收项目，为污染治理类型，减少了污染物对水域的影响</w:t>
            </w:r>
            <w:r>
              <w:rPr>
                <w:rFonts w:hint="eastAsia"/>
                <w:sz w:val="24"/>
                <w:szCs w:val="24"/>
                <w:u w:val="single"/>
              </w:rPr>
              <w:t>。</w:t>
            </w:r>
            <w:r>
              <w:rPr>
                <w:rFonts w:hint="eastAsia"/>
                <w:sz w:val="24"/>
                <w:szCs w:val="24"/>
                <w:u w:val="single"/>
                <w:lang w:eastAsia="zh-CN"/>
              </w:rPr>
              <w:t>符合</w:t>
            </w:r>
            <w:r>
              <w:rPr>
                <w:rFonts w:hint="eastAsia"/>
                <w:sz w:val="24"/>
                <w:szCs w:val="24"/>
                <w:u w:val="single"/>
                <w:lang w:val="en-US" w:eastAsia="zh-CN"/>
              </w:rPr>
              <w:t>《湖南省“十四五”生态环境保护规划》提出的污染防治要求。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354" w:type="dxa"/>
            <w:tcBorders>
              <w:tl2br w:val="nil"/>
              <w:tr2bl w:val="nil"/>
            </w:tcBorders>
            <w:noWrap/>
            <w:vAlign w:val="center"/>
          </w:tcPr>
          <w:p>
            <w:pPr>
              <w:autoSpaceDE w:val="0"/>
              <w:autoSpaceDN w:val="0"/>
              <w:adjustRightInd w:val="0"/>
              <w:snapToGrid w:val="0"/>
              <w:jc w:val="center"/>
              <w:rPr>
                <w:kern w:val="0"/>
                <w:szCs w:val="21"/>
                <w:highlight w:val="green"/>
              </w:rPr>
            </w:pPr>
            <w:r>
              <w:rPr>
                <w:kern w:val="0"/>
                <w:szCs w:val="21"/>
              </w:rPr>
              <w:t>其他符合性分析</w:t>
            </w:r>
          </w:p>
        </w:tc>
        <w:tc>
          <w:tcPr>
            <w:tcW w:w="7516" w:type="dxa"/>
            <w:gridSpan w:val="3"/>
            <w:tcBorders>
              <w:tl2br w:val="nil"/>
              <w:tr2bl w:val="nil"/>
            </w:tcBorders>
            <w:noWrap/>
            <w:vAlign w:val="center"/>
          </w:tcPr>
          <w:p>
            <w:pPr>
              <w:spacing w:line="360" w:lineRule="auto"/>
              <w:ind w:firstLine="422" w:firstLineChars="200"/>
              <w:rPr>
                <w:b/>
                <w:bCs/>
                <w:szCs w:val="21"/>
                <w:u w:val="single"/>
              </w:rPr>
            </w:pPr>
            <w:r>
              <w:rPr>
                <w:b/>
                <w:bCs/>
                <w:szCs w:val="21"/>
                <w:u w:val="single"/>
              </w:rPr>
              <w:t>1、项目建设与“三线一单”符合性分析</w:t>
            </w:r>
          </w:p>
          <w:p>
            <w:pPr>
              <w:autoSpaceDE w:val="0"/>
              <w:autoSpaceDN w:val="0"/>
              <w:adjustRightInd w:val="0"/>
              <w:snapToGrid w:val="0"/>
              <w:spacing w:line="360" w:lineRule="auto"/>
              <w:ind w:firstLine="480" w:firstLineChars="200"/>
              <w:jc w:val="left"/>
              <w:rPr>
                <w:kern w:val="0"/>
                <w:sz w:val="24"/>
                <w:szCs w:val="24"/>
                <w:u w:val="single"/>
              </w:rPr>
            </w:pPr>
            <w:r>
              <w:rPr>
                <w:kern w:val="0"/>
                <w:sz w:val="24"/>
                <w:szCs w:val="24"/>
                <w:u w:val="single"/>
              </w:rPr>
              <w:t>生态保护红线：对照《关于划定并严守生态保护红线的若干意见》和岳阳县生态红线范围，</w:t>
            </w:r>
            <w:r>
              <w:rPr>
                <w:rFonts w:hint="eastAsia"/>
                <w:kern w:val="0"/>
                <w:sz w:val="24"/>
                <w:szCs w:val="24"/>
                <w:u w:val="single"/>
              </w:rPr>
              <w:t>本 项目位于东洞庭湖实验区内，不在饮用水一、二级保护区内，但根据《中华人民共和国自然保护条例》</w:t>
            </w:r>
            <w:r>
              <w:rPr>
                <w:rFonts w:hint="eastAsia"/>
                <w:sz w:val="24"/>
                <w:u w:val="single"/>
              </w:rPr>
              <w:t>可以进入从事科学试验、教学实习、参观考察、旅游以及驯化、繁殖珍稀、濒危野生动植物等活动。同时，本项目为水运辅助工程建设，且项目建设用途即收集北至</w:t>
            </w:r>
            <w:r>
              <w:rPr>
                <w:rFonts w:hint="eastAsia"/>
                <w:sz w:val="24"/>
                <w:u w:val="single"/>
                <w:lang w:eastAsia="zh-CN"/>
              </w:rPr>
              <w:t>扁山</w:t>
            </w:r>
            <w:r>
              <w:rPr>
                <w:rFonts w:hint="eastAsia"/>
                <w:sz w:val="24"/>
                <w:u w:val="single"/>
              </w:rPr>
              <w:t>、南至湘阴铁角嘴船厂、西至东湖码头范围船舶污染物，为污染治理项目</w:t>
            </w:r>
            <w:r>
              <w:rPr>
                <w:kern w:val="0"/>
                <w:sz w:val="24"/>
                <w:szCs w:val="24"/>
                <w:u w:val="single"/>
              </w:rPr>
              <w:t>。</w:t>
            </w:r>
          </w:p>
          <w:p>
            <w:pPr>
              <w:autoSpaceDE w:val="0"/>
              <w:autoSpaceDN w:val="0"/>
              <w:adjustRightInd w:val="0"/>
              <w:snapToGrid w:val="0"/>
              <w:spacing w:line="360" w:lineRule="auto"/>
              <w:ind w:firstLine="480" w:firstLineChars="200"/>
              <w:jc w:val="left"/>
              <w:rPr>
                <w:kern w:val="0"/>
                <w:sz w:val="24"/>
                <w:szCs w:val="24"/>
                <w:u w:val="single"/>
              </w:rPr>
            </w:pPr>
            <w:r>
              <w:rPr>
                <w:kern w:val="0"/>
                <w:sz w:val="24"/>
                <w:szCs w:val="24"/>
                <w:u w:val="single"/>
              </w:rPr>
              <w:t>环境质量底线：本项目所在地环境空气污染物基本项目年均值均可满足《环境空气质量标准》（GB3095-2012）二级标准要求，项目所在区域为达标区；</w:t>
            </w:r>
            <w:r>
              <w:rPr>
                <w:rFonts w:hint="eastAsia"/>
                <w:sz w:val="24"/>
                <w:szCs w:val="24"/>
                <w:u w:val="single"/>
              </w:rPr>
              <w:t>鹿角、扁山</w:t>
            </w:r>
            <w:r>
              <w:rPr>
                <w:sz w:val="24"/>
                <w:szCs w:val="24"/>
                <w:u w:val="single"/>
              </w:rPr>
              <w:t>断面常规监测断面中监测因子均符合《地表水环境质量标准》（GB3838-2002）中的Ⅲ类水质标准</w:t>
            </w:r>
            <w:r>
              <w:rPr>
                <w:kern w:val="0"/>
                <w:sz w:val="24"/>
                <w:szCs w:val="24"/>
                <w:u w:val="single"/>
              </w:rPr>
              <w:t>；区域声环境质量符合功能区划定。本项目营运期采取的环境治理措施技术可行，污染物能够达标排放，项目运行后对区域内环境影响较小，环境质量可以保持现有水平，因此符合环境质量底线要求。</w:t>
            </w:r>
          </w:p>
          <w:p>
            <w:pPr>
              <w:autoSpaceDE w:val="0"/>
              <w:autoSpaceDN w:val="0"/>
              <w:adjustRightInd w:val="0"/>
              <w:snapToGrid w:val="0"/>
              <w:spacing w:line="360" w:lineRule="auto"/>
              <w:ind w:firstLine="480" w:firstLineChars="200"/>
              <w:jc w:val="left"/>
              <w:rPr>
                <w:bCs/>
                <w:sz w:val="24"/>
                <w:szCs w:val="24"/>
                <w:u w:val="single"/>
              </w:rPr>
            </w:pPr>
            <w:r>
              <w:rPr>
                <w:kern w:val="0"/>
                <w:sz w:val="24"/>
                <w:szCs w:val="24"/>
                <w:u w:val="single"/>
              </w:rPr>
              <w:t>资源利用上线：指按照自然资源资产“只能增值、不能贬值”的原则，以保障生态安全和改善环境质量为目的，利用自然资源资产负债表，结合自然资源开发管控，提出的分区域分阶段地资源开发利用总量、强度、效率等上线管控要求。本项目属于“</w:t>
            </w:r>
            <w:r>
              <w:rPr>
                <w:color w:val="000000"/>
                <w:sz w:val="24"/>
                <w:szCs w:val="24"/>
                <w:u w:val="single"/>
              </w:rPr>
              <w:t>四十三、环境保护与资源节约综合利用</w:t>
            </w:r>
            <w:r>
              <w:rPr>
                <w:kern w:val="0"/>
                <w:sz w:val="24"/>
                <w:szCs w:val="24"/>
                <w:u w:val="single"/>
              </w:rPr>
              <w:t>”，属于鼓励类建设项目，项目建设符合国家产业政策。不涉及基本农田，土地资源消耗符合要求。因此，项目资源利用满足要求。</w:t>
            </w:r>
            <w:r>
              <w:rPr>
                <w:kern w:val="0"/>
                <w:sz w:val="24"/>
                <w:szCs w:val="24"/>
                <w:u w:val="single"/>
              </w:rPr>
              <w:br w:type="textWrapping"/>
            </w:r>
            <w:r>
              <w:rPr>
                <w:kern w:val="0"/>
                <w:sz w:val="24"/>
                <w:szCs w:val="24"/>
                <w:u w:val="single"/>
              </w:rPr>
              <w:t>生态环境准入清单：根据</w:t>
            </w:r>
            <w:r>
              <w:rPr>
                <w:sz w:val="24"/>
                <w:szCs w:val="24"/>
                <w:u w:val="single"/>
              </w:rPr>
              <w:t>《岳阳市人民政府关于实施岳阳市“三线一单”生态环境分区管控的意见》（岳政发〔2021〕2号），本项目</w:t>
            </w:r>
            <w:r>
              <w:rPr>
                <w:rFonts w:hint="eastAsia"/>
                <w:sz w:val="24"/>
                <w:szCs w:val="24"/>
                <w:u w:val="single"/>
              </w:rPr>
              <w:t>船舶停靠岳阳县鹿角镇码头附近东洞庭湖</w:t>
            </w:r>
            <w:r>
              <w:rPr>
                <w:sz w:val="24"/>
                <w:szCs w:val="24"/>
                <w:u w:val="single"/>
              </w:rPr>
              <w:t>，属于</w:t>
            </w:r>
            <w:r>
              <w:rPr>
                <w:rFonts w:hint="eastAsia"/>
                <w:sz w:val="24"/>
                <w:szCs w:val="24"/>
                <w:u w:val="single"/>
              </w:rPr>
              <w:t>优先</w:t>
            </w:r>
            <w:r>
              <w:rPr>
                <w:sz w:val="24"/>
                <w:szCs w:val="24"/>
                <w:u w:val="single"/>
              </w:rPr>
              <w:t>保护单元（环境管控单元编码（ZH43062120003）），本项目与《岳阳市人民政府关于实施岳阳市“三线一单”生态环境分区管控的意见》（岳政发〔2021〕2号）符合性分析详见下表1-1。</w:t>
            </w:r>
          </w:p>
          <w:p>
            <w:pPr>
              <w:spacing w:line="360" w:lineRule="auto"/>
              <w:jc w:val="center"/>
              <w:rPr>
                <w:b/>
                <w:szCs w:val="21"/>
                <w:u w:val="single"/>
              </w:rPr>
            </w:pPr>
            <w:r>
              <w:rPr>
                <w:b/>
                <w:szCs w:val="21"/>
                <w:u w:val="single"/>
              </w:rPr>
              <w:t>表1-1 《</w:t>
            </w:r>
            <w:r>
              <w:rPr>
                <w:b/>
                <w:bCs/>
                <w:szCs w:val="21"/>
                <w:u w:val="single"/>
              </w:rPr>
              <w:t>岳阳市人民政府关于实施岳阳市“三线一单”生态环境分区管控的意见</w:t>
            </w:r>
            <w:r>
              <w:rPr>
                <w:b/>
                <w:szCs w:val="21"/>
                <w:u w:val="single"/>
              </w:rPr>
              <w:t>》符合性分析</w:t>
            </w:r>
          </w:p>
          <w:tbl>
            <w:tblPr>
              <w:tblStyle w:val="24"/>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08"/>
              <w:gridCol w:w="4861"/>
              <w:gridCol w:w="189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5369" w:type="dxa"/>
                  <w:gridSpan w:val="2"/>
                  <w:tcBorders>
                    <w:tl2br w:val="nil"/>
                    <w:tr2bl w:val="nil"/>
                  </w:tcBorders>
                  <w:noWrap/>
                  <w:vAlign w:val="center"/>
                </w:tcPr>
                <w:p>
                  <w:pPr>
                    <w:snapToGrid w:val="0"/>
                    <w:spacing w:line="360" w:lineRule="auto"/>
                    <w:jc w:val="center"/>
                    <w:rPr>
                      <w:b/>
                      <w:bCs/>
                      <w:szCs w:val="21"/>
                      <w:u w:val="single"/>
                    </w:rPr>
                  </w:pPr>
                  <w:r>
                    <w:rPr>
                      <w:b/>
                      <w:bCs/>
                      <w:szCs w:val="21"/>
                      <w:u w:val="single"/>
                    </w:rPr>
                    <w:t>管控要求</w:t>
                  </w:r>
                </w:p>
              </w:tc>
              <w:tc>
                <w:tcPr>
                  <w:tcW w:w="1890" w:type="dxa"/>
                  <w:tcBorders>
                    <w:tl2br w:val="nil"/>
                    <w:tr2bl w:val="nil"/>
                  </w:tcBorders>
                  <w:noWrap/>
                  <w:vAlign w:val="center"/>
                </w:tcPr>
                <w:p>
                  <w:pPr>
                    <w:snapToGrid w:val="0"/>
                    <w:spacing w:line="360" w:lineRule="auto"/>
                    <w:jc w:val="center"/>
                    <w:rPr>
                      <w:b/>
                      <w:bCs/>
                      <w:szCs w:val="21"/>
                      <w:u w:val="single"/>
                    </w:rPr>
                  </w:pPr>
                  <w:r>
                    <w:rPr>
                      <w:b/>
                      <w:bCs/>
                      <w:szCs w:val="21"/>
                      <w:u w:val="single"/>
                    </w:rPr>
                    <w:t>符合性分析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508" w:type="dxa"/>
                  <w:tcBorders>
                    <w:tl2br w:val="nil"/>
                    <w:tr2bl w:val="nil"/>
                  </w:tcBorders>
                  <w:noWrap/>
                  <w:vAlign w:val="center"/>
                </w:tcPr>
                <w:p>
                  <w:pPr>
                    <w:snapToGrid w:val="0"/>
                    <w:spacing w:line="360" w:lineRule="auto"/>
                    <w:jc w:val="center"/>
                    <w:rPr>
                      <w:szCs w:val="21"/>
                      <w:u w:val="single"/>
                    </w:rPr>
                  </w:pPr>
                  <w:r>
                    <w:rPr>
                      <w:szCs w:val="21"/>
                      <w:u w:val="single"/>
                    </w:rPr>
                    <w:t>空间约束布局</w:t>
                  </w:r>
                </w:p>
              </w:tc>
              <w:tc>
                <w:tcPr>
                  <w:tcW w:w="4861" w:type="dxa"/>
                  <w:tcBorders>
                    <w:tl2br w:val="nil"/>
                    <w:tr2bl w:val="nil"/>
                  </w:tcBorders>
                  <w:noWrap/>
                  <w:vAlign w:val="center"/>
                </w:tcPr>
                <w:p>
                  <w:pPr>
                    <w:numPr>
                      <w:ilvl w:val="1"/>
                      <w:numId w:val="4"/>
                    </w:numPr>
                    <w:snapToGrid w:val="0"/>
                    <w:spacing w:line="360" w:lineRule="auto"/>
                    <w:rPr>
                      <w:szCs w:val="21"/>
                      <w:u w:val="single"/>
                    </w:rPr>
                  </w:pPr>
                  <w:r>
                    <w:rPr>
                      <w:szCs w:val="21"/>
                      <w:u w:val="single"/>
                    </w:rPr>
                    <w:t xml:space="preserve">升级改造洞庭湖区精养池塘，改变渔业生产方式，为实现水厂养殖尾水达标排放创造条件，确保洞庭湖区水环境安全和养殖业的 可持续发展 </w:t>
                  </w:r>
                </w:p>
                <w:p>
                  <w:pPr>
                    <w:snapToGrid w:val="0"/>
                    <w:spacing w:line="360" w:lineRule="auto"/>
                    <w:rPr>
                      <w:szCs w:val="21"/>
                      <w:u w:val="single"/>
                    </w:rPr>
                  </w:pPr>
                  <w:r>
                    <w:rPr>
                      <w:szCs w:val="21"/>
                      <w:u w:val="single"/>
                    </w:rPr>
                    <w:t>1.2 禁止生活污水排放达不到要求的内河运输船舶以及单壳化学品船、600 载重吨以上的单壳油船进入洞庭湖（岳阳段）水域航行，停止此类船舶的检验和营运手续</w:t>
                  </w:r>
                </w:p>
              </w:tc>
              <w:tc>
                <w:tcPr>
                  <w:tcW w:w="1890" w:type="dxa"/>
                  <w:tcBorders>
                    <w:tl2br w:val="nil"/>
                    <w:tr2bl w:val="nil"/>
                  </w:tcBorders>
                  <w:noWrap/>
                  <w:vAlign w:val="center"/>
                </w:tcPr>
                <w:p>
                  <w:pPr>
                    <w:snapToGrid w:val="0"/>
                    <w:spacing w:line="360" w:lineRule="auto"/>
                    <w:jc w:val="center"/>
                    <w:rPr>
                      <w:szCs w:val="21"/>
                      <w:u w:val="single"/>
                    </w:rPr>
                  </w:pPr>
                  <w:r>
                    <w:rPr>
                      <w:rFonts w:hint="eastAsia"/>
                      <w:szCs w:val="21"/>
                      <w:u w:val="single"/>
                    </w:rPr>
                    <w:t>本项目不属于生活污水排放达不到要求的内河运输船舶以及单壳化学品船、600 载重吨以上的单壳油船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8" w:type="dxa"/>
                  <w:tcBorders>
                    <w:tl2br w:val="nil"/>
                    <w:tr2bl w:val="nil"/>
                  </w:tcBorders>
                  <w:noWrap/>
                  <w:vAlign w:val="center"/>
                </w:tcPr>
                <w:p>
                  <w:pPr>
                    <w:snapToGrid w:val="0"/>
                    <w:spacing w:line="360" w:lineRule="auto"/>
                    <w:jc w:val="center"/>
                    <w:rPr>
                      <w:szCs w:val="21"/>
                      <w:u w:val="single"/>
                    </w:rPr>
                  </w:pPr>
                  <w:r>
                    <w:rPr>
                      <w:szCs w:val="21"/>
                      <w:u w:val="single"/>
                    </w:rPr>
                    <w:t>环境风险防控</w:t>
                  </w:r>
                </w:p>
              </w:tc>
              <w:tc>
                <w:tcPr>
                  <w:tcW w:w="4861" w:type="dxa"/>
                  <w:tcBorders>
                    <w:tl2br w:val="nil"/>
                    <w:tr2bl w:val="nil"/>
                  </w:tcBorders>
                  <w:noWrap/>
                  <w:vAlign w:val="center"/>
                </w:tcPr>
                <w:p>
                  <w:pPr>
                    <w:snapToGrid w:val="0"/>
                    <w:spacing w:line="360" w:lineRule="auto"/>
                    <w:jc w:val="center"/>
                    <w:rPr>
                      <w:szCs w:val="21"/>
                      <w:u w:val="single"/>
                    </w:rPr>
                  </w:pPr>
                  <w:r>
                    <w:rPr>
                      <w:szCs w:val="21"/>
                      <w:u w:val="single"/>
                    </w:rPr>
                    <w:t xml:space="preserve">2.1 加强洞庭湖（岳阳县段）国家湿地公园、新墙河国家湿地公园等湿地的保护与修复，禁止湿地无序开发 </w:t>
                  </w:r>
                </w:p>
                <w:p>
                  <w:pPr>
                    <w:snapToGrid w:val="0"/>
                    <w:spacing w:line="360" w:lineRule="auto"/>
                    <w:jc w:val="center"/>
                    <w:rPr>
                      <w:szCs w:val="21"/>
                      <w:u w:val="single"/>
                    </w:rPr>
                  </w:pPr>
                  <w:r>
                    <w:rPr>
                      <w:szCs w:val="21"/>
                      <w:u w:val="single"/>
                    </w:rPr>
                    <w:t xml:space="preserve">2.2 强化枯水期环境监管，在枯水期对重点断面、重点污染源进行加密监测，强化区域环境风险隐患排查整治 </w:t>
                  </w:r>
                </w:p>
                <w:p>
                  <w:pPr>
                    <w:snapToGrid w:val="0"/>
                    <w:spacing w:line="360" w:lineRule="auto"/>
                    <w:jc w:val="center"/>
                    <w:rPr>
                      <w:szCs w:val="21"/>
                      <w:u w:val="single"/>
                    </w:rPr>
                  </w:pPr>
                  <w:r>
                    <w:rPr>
                      <w:szCs w:val="21"/>
                      <w:u w:val="single"/>
                    </w:rPr>
                    <w:t>2.3 防治畜禽养殖污染。严格禁养区管理，依法处理违规畜禽养殖问题，现有规模化畜禽养殖场（小区）根据污染治理需要，配套建 设畜禽粪污贮存、处理、利用设施，落实“种养结合，以地定畜”要求，推动就地就近消纳利用畜禽养殖废弃物；鼓励第三方处理企业开 展畜禽粪污专业化集中处理</w:t>
                  </w:r>
                </w:p>
              </w:tc>
              <w:tc>
                <w:tcPr>
                  <w:tcW w:w="1890" w:type="dxa"/>
                  <w:tcBorders>
                    <w:tl2br w:val="nil"/>
                    <w:tr2bl w:val="nil"/>
                  </w:tcBorders>
                  <w:noWrap/>
                  <w:vAlign w:val="center"/>
                </w:tcPr>
                <w:p>
                  <w:pPr>
                    <w:snapToGrid w:val="0"/>
                    <w:spacing w:line="360" w:lineRule="auto"/>
                    <w:jc w:val="center"/>
                    <w:rPr>
                      <w:szCs w:val="21"/>
                      <w:u w:val="single"/>
                    </w:rPr>
                  </w:pPr>
                  <w:r>
                    <w:rPr>
                      <w:szCs w:val="21"/>
                      <w:u w:val="single"/>
                    </w:rPr>
                    <w:t>本项目不涉及上述问题</w:t>
                  </w:r>
                </w:p>
              </w:tc>
            </w:tr>
          </w:tbl>
          <w:p>
            <w:pPr>
              <w:spacing w:line="360" w:lineRule="auto"/>
              <w:ind w:firstLine="482" w:firstLineChars="200"/>
              <w:jc w:val="left"/>
              <w:rPr>
                <w:rStyle w:val="68"/>
                <w:sz w:val="24"/>
                <w:szCs w:val="24"/>
                <w:u w:val="single"/>
              </w:rPr>
            </w:pPr>
            <w:r>
              <w:rPr>
                <w:rStyle w:val="68"/>
                <w:rFonts w:hint="eastAsia"/>
                <w:sz w:val="24"/>
                <w:szCs w:val="24"/>
                <w:u w:val="single"/>
              </w:rPr>
              <w:t>2、</w:t>
            </w:r>
            <w:r>
              <w:rPr>
                <w:rStyle w:val="68"/>
                <w:sz w:val="24"/>
                <w:szCs w:val="24"/>
                <w:u w:val="single"/>
              </w:rPr>
              <w:t>本项目与《岳阳市东洞庭湖国家级自然保护区条例》的相符性分析</w:t>
            </w:r>
          </w:p>
          <w:p>
            <w:pPr>
              <w:spacing w:line="500" w:lineRule="exact"/>
              <w:ind w:firstLine="480" w:firstLineChars="200"/>
              <w:rPr>
                <w:sz w:val="24"/>
                <w:u w:val="single"/>
              </w:rPr>
            </w:pPr>
            <w:r>
              <w:rPr>
                <w:rFonts w:hint="eastAsia"/>
                <w:sz w:val="24"/>
                <w:u w:val="single"/>
              </w:rPr>
              <w:t>本项目位于湖南东洞庭湖国家级自然保护区的实验区，与《岳阳市东洞庭湖国家级自然保护区条例》相符性详见下表。</w:t>
            </w:r>
          </w:p>
          <w:p>
            <w:pPr>
              <w:tabs>
                <w:tab w:val="left" w:pos="360"/>
              </w:tabs>
              <w:jc w:val="center"/>
              <w:rPr>
                <w:b/>
                <w:bCs/>
                <w:snapToGrid w:val="0"/>
                <w:szCs w:val="21"/>
                <w:u w:val="single"/>
                <w:lang w:val="zh-CN"/>
              </w:rPr>
            </w:pPr>
          </w:p>
          <w:p>
            <w:pPr>
              <w:tabs>
                <w:tab w:val="left" w:pos="360"/>
              </w:tabs>
              <w:jc w:val="center"/>
              <w:rPr>
                <w:b/>
                <w:bCs/>
                <w:snapToGrid w:val="0"/>
                <w:szCs w:val="21"/>
                <w:u w:val="single"/>
                <w:lang w:val="zh-CN"/>
              </w:rPr>
            </w:pPr>
          </w:p>
          <w:p>
            <w:pPr>
              <w:tabs>
                <w:tab w:val="left" w:pos="360"/>
              </w:tabs>
              <w:jc w:val="center"/>
              <w:rPr>
                <w:b/>
                <w:bCs/>
                <w:snapToGrid w:val="0"/>
                <w:szCs w:val="21"/>
                <w:u w:val="single"/>
                <w:lang w:val="zh-CN"/>
              </w:rPr>
            </w:pPr>
            <w:r>
              <w:rPr>
                <w:b/>
                <w:bCs/>
                <w:snapToGrid w:val="0"/>
                <w:szCs w:val="21"/>
                <w:u w:val="single"/>
                <w:lang w:val="zh-CN"/>
              </w:rPr>
              <w:t>表</w:t>
            </w:r>
            <w:r>
              <w:rPr>
                <w:rFonts w:hint="eastAsia"/>
                <w:b/>
                <w:bCs/>
                <w:snapToGrid w:val="0"/>
                <w:szCs w:val="21"/>
                <w:u w:val="single"/>
              </w:rPr>
              <w:t>1-2   与</w:t>
            </w:r>
            <w:r>
              <w:rPr>
                <w:rFonts w:hint="eastAsia"/>
                <w:b/>
                <w:bCs/>
                <w:snapToGrid w:val="0"/>
                <w:szCs w:val="21"/>
                <w:u w:val="single"/>
                <w:lang w:val="zh-CN"/>
              </w:rPr>
              <w:t>《岳阳市东洞庭湖国家级自然保护区条例》相符性分析</w:t>
            </w:r>
          </w:p>
          <w:tbl>
            <w:tblPr>
              <w:tblStyle w:val="25"/>
              <w:tblW w:w="7239"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60"/>
              <w:gridCol w:w="3364"/>
              <w:gridCol w:w="2586"/>
              <w:gridCol w:w="72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6" w:hRule="atLeast"/>
              </w:trPr>
              <w:tc>
                <w:tcPr>
                  <w:tcW w:w="560" w:type="dxa"/>
                  <w:noWrap/>
                  <w:vAlign w:val="center"/>
                </w:tcPr>
                <w:p>
                  <w:pPr>
                    <w:jc w:val="center"/>
                    <w:rPr>
                      <w:b/>
                      <w:szCs w:val="21"/>
                      <w:u w:val="single"/>
                    </w:rPr>
                  </w:pPr>
                  <w:r>
                    <w:rPr>
                      <w:b/>
                      <w:szCs w:val="21"/>
                      <w:u w:val="single"/>
                    </w:rPr>
                    <w:t>序号</w:t>
                  </w:r>
                </w:p>
              </w:tc>
              <w:tc>
                <w:tcPr>
                  <w:tcW w:w="3364" w:type="dxa"/>
                  <w:noWrap/>
                  <w:vAlign w:val="center"/>
                </w:tcPr>
                <w:p>
                  <w:pPr>
                    <w:jc w:val="center"/>
                    <w:rPr>
                      <w:szCs w:val="21"/>
                      <w:u w:val="single"/>
                    </w:rPr>
                  </w:pPr>
                  <w:r>
                    <w:rPr>
                      <w:b/>
                      <w:szCs w:val="21"/>
                      <w:u w:val="single"/>
                    </w:rPr>
                    <w:t>条例</w:t>
                  </w:r>
                </w:p>
              </w:tc>
              <w:tc>
                <w:tcPr>
                  <w:tcW w:w="2586" w:type="dxa"/>
                  <w:tcBorders>
                    <w:right w:val="single" w:color="auto" w:sz="4" w:space="0"/>
                  </w:tcBorders>
                  <w:noWrap/>
                  <w:vAlign w:val="center"/>
                </w:tcPr>
                <w:p>
                  <w:pPr>
                    <w:jc w:val="center"/>
                    <w:rPr>
                      <w:b/>
                      <w:szCs w:val="21"/>
                      <w:u w:val="single"/>
                    </w:rPr>
                  </w:pPr>
                  <w:r>
                    <w:rPr>
                      <w:b/>
                      <w:szCs w:val="21"/>
                      <w:u w:val="single"/>
                    </w:rPr>
                    <w:t>本项目</w:t>
                  </w:r>
                </w:p>
              </w:tc>
              <w:tc>
                <w:tcPr>
                  <w:tcW w:w="729" w:type="dxa"/>
                  <w:tcBorders>
                    <w:left w:val="single" w:color="auto" w:sz="4" w:space="0"/>
                  </w:tcBorders>
                  <w:noWrap/>
                  <w:vAlign w:val="center"/>
                </w:tcPr>
                <w:p>
                  <w:pPr>
                    <w:jc w:val="center"/>
                    <w:rPr>
                      <w:b/>
                      <w:szCs w:val="21"/>
                      <w:u w:val="single"/>
                    </w:rPr>
                  </w:pPr>
                  <w:r>
                    <w:rPr>
                      <w:b/>
                      <w:szCs w:val="21"/>
                      <w:u w:val="single"/>
                    </w:rPr>
                    <w:t>相符性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45" w:hRule="atLeast"/>
              </w:trPr>
              <w:tc>
                <w:tcPr>
                  <w:tcW w:w="560" w:type="dxa"/>
                  <w:noWrap/>
                  <w:vAlign w:val="center"/>
                </w:tcPr>
                <w:p>
                  <w:pPr>
                    <w:jc w:val="center"/>
                    <w:rPr>
                      <w:b/>
                      <w:szCs w:val="21"/>
                      <w:u w:val="single"/>
                    </w:rPr>
                  </w:pPr>
                  <w:r>
                    <w:rPr>
                      <w:b/>
                      <w:szCs w:val="21"/>
                      <w:u w:val="single"/>
                    </w:rPr>
                    <w:t>1</w:t>
                  </w:r>
                </w:p>
              </w:tc>
              <w:tc>
                <w:tcPr>
                  <w:tcW w:w="3364" w:type="dxa"/>
                  <w:noWrap/>
                  <w:vAlign w:val="center"/>
                </w:tcPr>
                <w:p>
                  <w:pPr>
                    <w:jc w:val="left"/>
                    <w:rPr>
                      <w:szCs w:val="21"/>
                      <w:u w:val="single"/>
                    </w:rPr>
                  </w:pPr>
                  <w:r>
                    <w:rPr>
                      <w:rFonts w:hint="eastAsia"/>
                      <w:szCs w:val="21"/>
                      <w:u w:val="single"/>
                    </w:rPr>
                    <w:t>第二十六条 禁止任何单位和个人进入核心区从事与保护区保护和管理无关的活动。因科学研究的需要，必须进入核心区从事科学研究观测、调查活动的，应当事先向保护区管理机构提交申请和活动计划，征得书面同意，并经省人民政府有关自然保护区行政主管部门批准。</w:t>
                  </w:r>
                </w:p>
              </w:tc>
              <w:tc>
                <w:tcPr>
                  <w:tcW w:w="2586" w:type="dxa"/>
                  <w:tcBorders>
                    <w:right w:val="single" w:color="auto" w:sz="4" w:space="0"/>
                  </w:tcBorders>
                  <w:noWrap/>
                  <w:vAlign w:val="center"/>
                </w:tcPr>
                <w:p>
                  <w:pPr>
                    <w:jc w:val="center"/>
                    <w:rPr>
                      <w:bCs/>
                      <w:szCs w:val="21"/>
                      <w:u w:val="single"/>
                    </w:rPr>
                  </w:pPr>
                  <w:r>
                    <w:rPr>
                      <w:rStyle w:val="30"/>
                      <w:rFonts w:hint="eastAsia"/>
                      <w:u w:val="single"/>
                    </w:rPr>
                    <w:t>本项目不涉及洞庭湖核心区</w:t>
                  </w:r>
                </w:p>
              </w:tc>
              <w:tc>
                <w:tcPr>
                  <w:tcW w:w="729" w:type="dxa"/>
                  <w:tcBorders>
                    <w:left w:val="single" w:color="auto" w:sz="4" w:space="0"/>
                  </w:tcBorders>
                  <w:noWrap/>
                  <w:vAlign w:val="center"/>
                </w:tcPr>
                <w:p>
                  <w:pPr>
                    <w:jc w:val="center"/>
                    <w:rPr>
                      <w:b/>
                      <w:szCs w:val="21"/>
                      <w:u w:val="single"/>
                    </w:rPr>
                  </w:pPr>
                  <w:r>
                    <w:rPr>
                      <w:szCs w:val="21"/>
                      <w:u w:val="single"/>
                    </w:rPr>
                    <w:t>符合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44" w:hRule="atLeast"/>
              </w:trPr>
              <w:tc>
                <w:tcPr>
                  <w:tcW w:w="560" w:type="dxa"/>
                  <w:noWrap/>
                  <w:vAlign w:val="center"/>
                </w:tcPr>
                <w:p>
                  <w:pPr>
                    <w:jc w:val="center"/>
                    <w:rPr>
                      <w:szCs w:val="21"/>
                      <w:u w:val="single"/>
                    </w:rPr>
                  </w:pPr>
                  <w:r>
                    <w:rPr>
                      <w:szCs w:val="21"/>
                      <w:u w:val="single"/>
                    </w:rPr>
                    <w:t>2</w:t>
                  </w:r>
                </w:p>
              </w:tc>
              <w:tc>
                <w:tcPr>
                  <w:tcW w:w="3364" w:type="dxa"/>
                  <w:noWrap/>
                  <w:vAlign w:val="center"/>
                </w:tcPr>
                <w:p>
                  <w:pPr>
                    <w:jc w:val="left"/>
                    <w:rPr>
                      <w:szCs w:val="21"/>
                      <w:u w:val="single"/>
                    </w:rPr>
                  </w:pPr>
                  <w:r>
                    <w:rPr>
                      <w:rFonts w:hint="eastAsia"/>
                      <w:szCs w:val="21"/>
                      <w:u w:val="single"/>
                    </w:rPr>
                    <w:t>第二十七条 禁止在核心区、缓冲区开展旅游和其他生产经营活动，禁止建设任何生产经营设施。</w:t>
                  </w:r>
                </w:p>
                <w:p>
                  <w:pPr>
                    <w:jc w:val="left"/>
                    <w:rPr>
                      <w:szCs w:val="21"/>
                      <w:u w:val="single"/>
                    </w:rPr>
                  </w:pPr>
                  <w:r>
                    <w:rPr>
                      <w:rFonts w:hint="eastAsia"/>
                      <w:szCs w:val="21"/>
                      <w:u w:val="single"/>
                    </w:rPr>
                    <w:t>在核心区、缓冲区建设防洪抗旱等非生产经营设施的，应当事先征求保护区管理机构意见，依法报有关行政主管部门批准，并确保正常情况下不对保护区生态环境造成不利影响。</w:t>
                  </w:r>
                </w:p>
              </w:tc>
              <w:tc>
                <w:tcPr>
                  <w:tcW w:w="2586" w:type="dxa"/>
                  <w:tcBorders>
                    <w:right w:val="single" w:color="auto" w:sz="4" w:space="0"/>
                  </w:tcBorders>
                  <w:noWrap/>
                  <w:vAlign w:val="center"/>
                </w:tcPr>
                <w:p>
                  <w:pPr>
                    <w:jc w:val="left"/>
                    <w:rPr>
                      <w:szCs w:val="21"/>
                      <w:u w:val="single"/>
                    </w:rPr>
                  </w:pPr>
                  <w:r>
                    <w:rPr>
                      <w:szCs w:val="21"/>
                      <w:u w:val="single"/>
                    </w:rPr>
                    <w:t>本项目</w:t>
                  </w:r>
                  <w:r>
                    <w:rPr>
                      <w:rFonts w:hint="eastAsia"/>
                      <w:szCs w:val="21"/>
                      <w:u w:val="single"/>
                    </w:rPr>
                    <w:t>为污染治理项目，项目禁止在保护区核心区、缓冲区内收集作业，确保正常情况下不对保护区生态环境造成不利影响。</w:t>
                  </w:r>
                </w:p>
              </w:tc>
              <w:tc>
                <w:tcPr>
                  <w:tcW w:w="729" w:type="dxa"/>
                  <w:tcBorders>
                    <w:left w:val="single" w:color="auto" w:sz="4" w:space="0"/>
                  </w:tcBorders>
                  <w:noWrap/>
                  <w:vAlign w:val="center"/>
                </w:tcPr>
                <w:p>
                  <w:pPr>
                    <w:jc w:val="center"/>
                    <w:rPr>
                      <w:szCs w:val="21"/>
                      <w:u w:val="single"/>
                    </w:rPr>
                  </w:pPr>
                  <w:r>
                    <w:rPr>
                      <w:szCs w:val="21"/>
                      <w:u w:val="single"/>
                    </w:rPr>
                    <w:t>符合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39" w:hRule="atLeast"/>
              </w:trPr>
              <w:tc>
                <w:tcPr>
                  <w:tcW w:w="560" w:type="dxa"/>
                  <w:noWrap/>
                  <w:vAlign w:val="center"/>
                </w:tcPr>
                <w:p>
                  <w:pPr>
                    <w:jc w:val="center"/>
                    <w:rPr>
                      <w:szCs w:val="21"/>
                      <w:u w:val="single"/>
                    </w:rPr>
                  </w:pPr>
                  <w:r>
                    <w:rPr>
                      <w:szCs w:val="21"/>
                      <w:u w:val="single"/>
                    </w:rPr>
                    <w:t>3</w:t>
                  </w:r>
                </w:p>
              </w:tc>
              <w:tc>
                <w:tcPr>
                  <w:tcW w:w="3364" w:type="dxa"/>
                  <w:noWrap/>
                  <w:vAlign w:val="center"/>
                </w:tcPr>
                <w:p>
                  <w:pPr>
                    <w:jc w:val="left"/>
                    <w:rPr>
                      <w:szCs w:val="21"/>
                      <w:u w:val="single"/>
                    </w:rPr>
                  </w:pPr>
                  <w:r>
                    <w:rPr>
                      <w:rFonts w:hint="eastAsia"/>
                      <w:szCs w:val="21"/>
                      <w:u w:val="single"/>
                    </w:rPr>
                    <w:t>第二十八条</w:t>
                  </w:r>
                </w:p>
                <w:p>
                  <w:pPr>
                    <w:jc w:val="left"/>
                    <w:rPr>
                      <w:szCs w:val="21"/>
                      <w:u w:val="single"/>
                    </w:rPr>
                  </w:pPr>
                  <w:r>
                    <w:rPr>
                      <w:rFonts w:hint="eastAsia"/>
                      <w:szCs w:val="21"/>
                      <w:u w:val="single"/>
                    </w:rPr>
                    <w:t>缓冲区可以从事非破坏性的科学研究观测活动。</w:t>
                  </w:r>
                </w:p>
                <w:p>
                  <w:pPr>
                    <w:jc w:val="left"/>
                    <w:rPr>
                      <w:szCs w:val="21"/>
                      <w:u w:val="single"/>
                    </w:rPr>
                  </w:pPr>
                  <w:r>
                    <w:rPr>
                      <w:rFonts w:hint="eastAsia"/>
                      <w:szCs w:val="21"/>
                      <w:u w:val="single"/>
                    </w:rPr>
                    <w:t>需要进入缓冲区从事科学研究、教学实习和标本采集等活动的，应当事先向保护区管理机构提交申请和活动计划。保护区管理机构审查批准后，在保护区管理机构所在地以及活动区域醒目位置予以公示。从事前款活动的单位和个人必须严格按照批准的活动计划开展活动，避免对保护区生态环境产生不利影响，及时清除活动中产生的废弃物，活动结束后应当将其活动成果的副本提交保护区管理机构。</w:t>
                  </w:r>
                </w:p>
              </w:tc>
              <w:tc>
                <w:tcPr>
                  <w:tcW w:w="2586" w:type="dxa"/>
                  <w:tcBorders>
                    <w:right w:val="single" w:color="auto" w:sz="4" w:space="0"/>
                  </w:tcBorders>
                  <w:noWrap/>
                  <w:vAlign w:val="center"/>
                </w:tcPr>
                <w:p>
                  <w:pPr>
                    <w:jc w:val="left"/>
                    <w:rPr>
                      <w:szCs w:val="21"/>
                      <w:u w:val="single"/>
                    </w:rPr>
                  </w:pPr>
                  <w:r>
                    <w:rPr>
                      <w:rFonts w:hint="eastAsia"/>
                      <w:szCs w:val="21"/>
                      <w:u w:val="single"/>
                    </w:rPr>
                    <w:t>本项目不</w:t>
                  </w:r>
                  <w:r>
                    <w:rPr>
                      <w:rStyle w:val="30"/>
                      <w:rFonts w:hint="eastAsia"/>
                      <w:u w:val="single"/>
                    </w:rPr>
                    <w:t>涉及缓冲区</w:t>
                  </w:r>
                  <w:r>
                    <w:rPr>
                      <w:rFonts w:hint="eastAsia"/>
                      <w:szCs w:val="21"/>
                      <w:u w:val="single"/>
                    </w:rPr>
                    <w:t>。</w:t>
                  </w:r>
                </w:p>
              </w:tc>
              <w:tc>
                <w:tcPr>
                  <w:tcW w:w="729" w:type="dxa"/>
                  <w:tcBorders>
                    <w:left w:val="single" w:color="auto" w:sz="4" w:space="0"/>
                  </w:tcBorders>
                  <w:noWrap/>
                  <w:vAlign w:val="center"/>
                </w:tcPr>
                <w:p>
                  <w:pPr>
                    <w:jc w:val="center"/>
                    <w:rPr>
                      <w:szCs w:val="21"/>
                      <w:u w:val="single"/>
                    </w:rPr>
                  </w:pPr>
                  <w:r>
                    <w:rPr>
                      <w:szCs w:val="21"/>
                      <w:u w:val="single"/>
                    </w:rPr>
                    <w:t>符合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9" w:hRule="atLeast"/>
              </w:trPr>
              <w:tc>
                <w:tcPr>
                  <w:tcW w:w="560" w:type="dxa"/>
                  <w:noWrap/>
                  <w:vAlign w:val="center"/>
                </w:tcPr>
                <w:p>
                  <w:pPr>
                    <w:jc w:val="center"/>
                    <w:rPr>
                      <w:szCs w:val="21"/>
                      <w:u w:val="single"/>
                    </w:rPr>
                  </w:pPr>
                  <w:r>
                    <w:rPr>
                      <w:szCs w:val="21"/>
                      <w:u w:val="single"/>
                    </w:rPr>
                    <w:t>4</w:t>
                  </w:r>
                </w:p>
              </w:tc>
              <w:tc>
                <w:tcPr>
                  <w:tcW w:w="3364" w:type="dxa"/>
                  <w:noWrap/>
                  <w:vAlign w:val="center"/>
                </w:tcPr>
                <w:p>
                  <w:pPr>
                    <w:jc w:val="left"/>
                    <w:rPr>
                      <w:szCs w:val="21"/>
                      <w:u w:val="single"/>
                    </w:rPr>
                  </w:pPr>
                  <w:r>
                    <w:rPr>
                      <w:rFonts w:hint="eastAsia"/>
                      <w:szCs w:val="21"/>
                      <w:u w:val="single"/>
                    </w:rPr>
                    <w:t>第二十九条 核心区、缓冲区禁止引进、放生外来物种。</w:t>
                  </w:r>
                </w:p>
              </w:tc>
              <w:tc>
                <w:tcPr>
                  <w:tcW w:w="2586" w:type="dxa"/>
                  <w:tcBorders>
                    <w:right w:val="single" w:color="auto" w:sz="4" w:space="0"/>
                  </w:tcBorders>
                  <w:noWrap/>
                  <w:vAlign w:val="center"/>
                </w:tcPr>
                <w:p>
                  <w:pPr>
                    <w:jc w:val="center"/>
                    <w:rPr>
                      <w:szCs w:val="21"/>
                      <w:u w:val="single"/>
                    </w:rPr>
                  </w:pPr>
                  <w:r>
                    <w:rPr>
                      <w:rFonts w:hint="eastAsia"/>
                      <w:szCs w:val="21"/>
                      <w:u w:val="single"/>
                    </w:rPr>
                    <w:t>不涉及</w:t>
                  </w:r>
                </w:p>
              </w:tc>
              <w:tc>
                <w:tcPr>
                  <w:tcW w:w="729" w:type="dxa"/>
                  <w:tcBorders>
                    <w:left w:val="single" w:color="auto" w:sz="4" w:space="0"/>
                  </w:tcBorders>
                  <w:noWrap/>
                  <w:vAlign w:val="center"/>
                </w:tcPr>
                <w:p>
                  <w:pPr>
                    <w:jc w:val="center"/>
                    <w:rPr>
                      <w:szCs w:val="21"/>
                      <w:u w:val="single"/>
                    </w:rPr>
                  </w:pPr>
                  <w:r>
                    <w:rPr>
                      <w:szCs w:val="21"/>
                      <w:u w:val="single"/>
                    </w:rPr>
                    <w:t>符合</w:t>
                  </w:r>
                </w:p>
              </w:tc>
            </w:tr>
          </w:tbl>
          <w:p>
            <w:pPr>
              <w:autoSpaceDE w:val="0"/>
              <w:autoSpaceDN w:val="0"/>
              <w:adjustRightInd w:val="0"/>
              <w:snapToGrid w:val="0"/>
              <w:spacing w:line="360" w:lineRule="auto"/>
              <w:ind w:firstLine="480" w:firstLineChars="200"/>
            </w:pPr>
            <w:r>
              <w:rPr>
                <w:kern w:val="0"/>
                <w:sz w:val="24"/>
                <w:szCs w:val="24"/>
                <w:u w:val="single"/>
              </w:rPr>
              <w:t>综上所述</w:t>
            </w:r>
            <w:r>
              <w:rPr>
                <w:rFonts w:hint="eastAsia"/>
                <w:kern w:val="0"/>
                <w:sz w:val="24"/>
                <w:szCs w:val="24"/>
                <w:u w:val="single"/>
              </w:rPr>
              <w:t>，</w:t>
            </w:r>
            <w:r>
              <w:rPr>
                <w:kern w:val="0"/>
                <w:sz w:val="24"/>
                <w:szCs w:val="24"/>
                <w:u w:val="single"/>
              </w:rPr>
              <w:t>本项目符合</w:t>
            </w:r>
            <w:r>
              <w:rPr>
                <w:rFonts w:hint="eastAsia"/>
                <w:sz w:val="24"/>
                <w:u w:val="single"/>
              </w:rPr>
              <w:t>《岳阳市东洞庭湖国家级自然保护区条例》</w:t>
            </w:r>
            <w:r>
              <w:rPr>
                <w:kern w:val="0"/>
                <w:sz w:val="24"/>
                <w:szCs w:val="24"/>
                <w:u w:val="single"/>
              </w:rPr>
              <w:t>相关要求。</w:t>
            </w:r>
            <w:r>
              <w:rPr>
                <w:kern w:val="0"/>
                <w:sz w:val="24"/>
                <w:szCs w:val="24"/>
                <w:u w:val="single"/>
              </w:rPr>
              <w:br w:type="textWrapping"/>
            </w:r>
            <w:r>
              <w:rPr>
                <w:rStyle w:val="30"/>
                <w:rFonts w:hint="eastAsia"/>
              </w:rPr>
              <w:t xml:space="preserve">   </w:t>
            </w:r>
            <w:r>
              <w:rPr>
                <w:rStyle w:val="30"/>
                <w:rFonts w:hint="eastAsia"/>
                <w:b/>
                <w:bCs/>
              </w:rPr>
              <w:t>3、</w:t>
            </w:r>
            <w:r>
              <w:rPr>
                <w:b/>
                <w:bCs/>
              </w:rPr>
              <w:fldChar w:fldCharType="begin"/>
            </w:r>
            <w:r>
              <w:rPr>
                <w:b/>
                <w:bCs/>
              </w:rPr>
              <w:instrText xml:space="preserve"> HYPERLINK "http://sthjj.jiaxing.gov.cn/module/download/downfile.jsp?classid=0&amp;filename=3514a4629c01423bbf6a87cc59db380d.docx" </w:instrText>
            </w:r>
            <w:r>
              <w:rPr>
                <w:b/>
                <w:bCs/>
              </w:rPr>
              <w:fldChar w:fldCharType="separate"/>
            </w:r>
            <w:r>
              <w:rPr>
                <w:rFonts w:hint="eastAsia"/>
                <w:b/>
                <w:bCs/>
              </w:rPr>
              <w:t>与《</w:t>
            </w:r>
            <w:r>
              <w:rPr>
                <w:b/>
                <w:bCs/>
              </w:rPr>
              <w:t>中华人民共和国自然保护区条例（2017年修订）</w:t>
            </w:r>
            <w:r>
              <w:rPr>
                <w:b/>
                <w:bCs/>
              </w:rPr>
              <w:fldChar w:fldCharType="end"/>
            </w:r>
            <w:r>
              <w:rPr>
                <w:rFonts w:hint="eastAsia"/>
                <w:b/>
                <w:bCs/>
              </w:rPr>
              <w:t xml:space="preserve"> 》相符性分析</w:t>
            </w:r>
            <w:r>
              <w:rPr>
                <w:rFonts w:hint="eastAsia"/>
                <w:b/>
                <w:bCs/>
              </w:rPr>
              <w:br w:type="textWrapping"/>
            </w:r>
            <w:r>
              <w:rPr>
                <w:rFonts w:hint="eastAsia"/>
                <w:b/>
                <w:bCs/>
              </w:rPr>
              <w:t xml:space="preserve">   </w:t>
            </w:r>
            <w:r>
              <w:rPr>
                <w:rFonts w:hint="eastAsia"/>
                <w:sz w:val="24"/>
                <w:szCs w:val="24"/>
              </w:rPr>
              <w:t>本项目位于</w:t>
            </w:r>
            <w:r>
              <w:rPr>
                <w:rFonts w:hint="eastAsia"/>
                <w:sz w:val="24"/>
              </w:rPr>
              <w:t>湖南东洞庭湖国家级自然保护区的实验区，</w:t>
            </w:r>
            <w:r>
              <w:fldChar w:fldCharType="begin"/>
            </w:r>
            <w:r>
              <w:instrText xml:space="preserve"> HYPERLINK "http://sthjj.jiaxing.gov.cn/module/download/downfile.jsp?classid=0&amp;filename=3514a4629c01423bbf6a87cc59db380d.docx" </w:instrText>
            </w:r>
            <w:r>
              <w:fldChar w:fldCharType="separate"/>
            </w:r>
            <w:r>
              <w:rPr>
                <w:rFonts w:hint="eastAsia"/>
                <w:sz w:val="24"/>
              </w:rPr>
              <w:t>对照《中华人民共和国自然保护区条例（2017年修订）</w:t>
            </w:r>
            <w:r>
              <w:rPr>
                <w:rFonts w:hint="eastAsia"/>
                <w:sz w:val="24"/>
              </w:rPr>
              <w:fldChar w:fldCharType="end"/>
            </w:r>
            <w:r>
              <w:rPr>
                <w:rFonts w:hint="eastAsia"/>
                <w:sz w:val="24"/>
              </w:rPr>
              <w:t xml:space="preserve"> 》第三十二条“在自然保护区的实验区内，不得建设污染环境、破坏资源或者景观的生产设施；建设其他项目，其污染物排放不得超过国家和地方规定的污染物排放标准。”本项目属于水运辅助工程建设，不属于化工、冶炼、造纸、制革、电镀、印染企业等污染严重企业，且项目为接收其他船舶污染物，属于污染治理项目，同时项目污染物接收后均转运至岸上处理，不排入洞庭湖。则项目符合</w:t>
            </w:r>
            <w:r>
              <w:fldChar w:fldCharType="begin"/>
            </w:r>
            <w:r>
              <w:instrText xml:space="preserve"> HYPERLINK "http://sthjj.jiaxing.gov.cn/module/download/downfile.jsp?classid=0&amp;filename=3514a4629c01423bbf6a87cc59db380d.docx" </w:instrText>
            </w:r>
            <w:r>
              <w:fldChar w:fldCharType="separate"/>
            </w:r>
            <w:r>
              <w:rPr>
                <w:rFonts w:hint="eastAsia"/>
                <w:sz w:val="24"/>
              </w:rPr>
              <w:t>与《中华人民共和国自然保护区条例（2017年修订）</w:t>
            </w:r>
            <w:r>
              <w:rPr>
                <w:rFonts w:hint="eastAsia"/>
                <w:sz w:val="24"/>
              </w:rPr>
              <w:fldChar w:fldCharType="end"/>
            </w:r>
            <w:r>
              <w:rPr>
                <w:rFonts w:hint="eastAsia"/>
                <w:sz w:val="24"/>
              </w:rPr>
              <w:t xml:space="preserve"> 》。</w:t>
            </w:r>
          </w:p>
          <w:p>
            <w:pPr>
              <w:autoSpaceDE w:val="0"/>
              <w:autoSpaceDN w:val="0"/>
              <w:adjustRightInd w:val="0"/>
              <w:snapToGrid w:val="0"/>
              <w:spacing w:line="360" w:lineRule="auto"/>
              <w:ind w:firstLine="482" w:firstLineChars="200"/>
              <w:rPr>
                <w:b/>
                <w:sz w:val="24"/>
                <w:szCs w:val="24"/>
              </w:rPr>
            </w:pPr>
            <w:r>
              <w:rPr>
                <w:rFonts w:hint="eastAsia"/>
                <w:b/>
                <w:sz w:val="24"/>
                <w:szCs w:val="24"/>
              </w:rPr>
              <w:t>4、</w:t>
            </w:r>
            <w:r>
              <w:rPr>
                <w:b/>
                <w:sz w:val="24"/>
                <w:szCs w:val="24"/>
              </w:rPr>
              <w:t>产业政策相符性性分析</w:t>
            </w:r>
          </w:p>
          <w:p>
            <w:pPr>
              <w:snapToGrid w:val="0"/>
              <w:spacing w:line="360" w:lineRule="auto"/>
              <w:ind w:firstLine="480"/>
              <w:rPr>
                <w:sz w:val="24"/>
                <w:szCs w:val="24"/>
              </w:rPr>
            </w:pPr>
            <w:r>
              <w:rPr>
                <w:color w:val="000000"/>
                <w:sz w:val="24"/>
                <w:szCs w:val="24"/>
              </w:rPr>
              <w:t>根据《产业结构调整指导目录（2019本）》，本项目属于鼓励类中四十三、环境保护与资源节约综合利用</w:t>
            </w:r>
            <w:r>
              <w:rPr>
                <w:rFonts w:hint="eastAsia"/>
                <w:color w:val="000000"/>
                <w:sz w:val="24"/>
                <w:szCs w:val="24"/>
              </w:rPr>
              <w:t>。</w:t>
            </w:r>
            <w:r>
              <w:rPr>
                <w:sz w:val="24"/>
                <w:szCs w:val="24"/>
              </w:rPr>
              <w:t>符合法律法规的有关规定，为允许类项目，故本项目符合国家产业政策。</w:t>
            </w:r>
          </w:p>
          <w:p>
            <w:pPr>
              <w:snapToGrid w:val="0"/>
              <w:spacing w:line="360" w:lineRule="auto"/>
              <w:ind w:firstLine="480"/>
              <w:rPr>
                <w:sz w:val="24"/>
                <w:szCs w:val="24"/>
              </w:rPr>
            </w:pPr>
            <w:r>
              <w:rPr>
                <w:sz w:val="24"/>
                <w:szCs w:val="24"/>
              </w:rPr>
              <w:t>据《部分工业行业淘汰落后生产工艺装备和产品指导目录（2010年本）》，本项目不属于《部分工业行业淘汰落后生产工艺装备和产品指导目录（2010年本）》中的淘汰类。</w:t>
            </w:r>
          </w:p>
          <w:p>
            <w:pPr>
              <w:snapToGrid w:val="0"/>
              <w:spacing w:line="360" w:lineRule="auto"/>
              <w:ind w:firstLine="480"/>
              <w:rPr>
                <w:color w:val="000000"/>
                <w:sz w:val="24"/>
                <w:szCs w:val="24"/>
              </w:rPr>
            </w:pPr>
            <w:r>
              <w:rPr>
                <w:sz w:val="24"/>
                <w:szCs w:val="24"/>
              </w:rPr>
              <w:t>因此，本项目的建设符合国家产业政策。</w:t>
            </w:r>
          </w:p>
          <w:p>
            <w:pPr>
              <w:spacing w:line="360" w:lineRule="auto"/>
              <w:ind w:right="105" w:rightChars="50" w:firstLine="482" w:firstLineChars="200"/>
              <w:rPr>
                <w:b/>
                <w:sz w:val="24"/>
                <w:szCs w:val="24"/>
              </w:rPr>
            </w:pPr>
            <w:r>
              <w:rPr>
                <w:rFonts w:hint="eastAsia"/>
                <w:b/>
                <w:sz w:val="24"/>
                <w:szCs w:val="24"/>
              </w:rPr>
              <w:t>5、</w:t>
            </w:r>
            <w:r>
              <w:rPr>
                <w:b/>
                <w:sz w:val="24"/>
                <w:szCs w:val="24"/>
              </w:rPr>
              <w:t>项目选址合理性分析</w:t>
            </w:r>
          </w:p>
          <w:p>
            <w:pPr>
              <w:pStyle w:val="20"/>
              <w:spacing w:before="0" w:beforeAutospacing="0" w:after="0" w:afterAutospacing="0" w:line="360" w:lineRule="auto"/>
              <w:ind w:firstLine="480" w:firstLineChars="200"/>
              <w:jc w:val="both"/>
              <w:rPr>
                <w:color w:val="FF0000"/>
                <w:kern w:val="2"/>
              </w:rPr>
            </w:pPr>
            <w:r>
              <w:rPr>
                <w:rFonts w:hint="eastAsia"/>
                <w:kern w:val="2"/>
              </w:rPr>
              <w:t>本项目</w:t>
            </w:r>
            <w:r>
              <w:t>使用的</w:t>
            </w:r>
            <w:r>
              <w:rPr>
                <w:rFonts w:hint="eastAsia"/>
                <w:kern w:val="2"/>
              </w:rPr>
              <w:t>回收废机油专用船停泊在</w:t>
            </w:r>
            <w:r>
              <w:rPr>
                <w:rFonts w:hint="eastAsia"/>
              </w:rPr>
              <w:t>岳阳县鹿角镇鹿角码头附近洞庭湖流域</w:t>
            </w:r>
            <w:r>
              <w:rPr>
                <w:rFonts w:hint="eastAsia"/>
                <w:kern w:val="2"/>
              </w:rPr>
              <w:t>，位于东洞庭湖自然保护区的实验区（</w:t>
            </w:r>
            <w:r>
              <w:rPr>
                <w:rFonts w:hint="eastAsia"/>
              </w:rPr>
              <w:t>调规后湖南东洞庭湖国家级自然保护区功能区划图见附图4</w:t>
            </w:r>
            <w:r>
              <w:rPr>
                <w:rFonts w:hint="eastAsia"/>
                <w:kern w:val="2"/>
              </w:rPr>
              <w:t>），根据《中华人民共和国自然保护条例》可知</w:t>
            </w:r>
            <w:r>
              <w:rPr>
                <w:rFonts w:hint="eastAsia"/>
              </w:rPr>
              <w:t>：缓冲区外围划为实验区，可以进入从事科学试验、教学实习、参观考察、旅游以及驯化、繁殖珍稀、濒危野生动植物等活动。同时，本项目为水运辅助工程建设，不属于化工、冶炼、造纸、制革、电镀、印染企业，且本项目建设用途即收集北至</w:t>
            </w:r>
            <w:r>
              <w:rPr>
                <w:rFonts w:hint="eastAsia"/>
                <w:lang w:eastAsia="zh-CN"/>
              </w:rPr>
              <w:t>扁山</w:t>
            </w:r>
            <w:r>
              <w:rPr>
                <w:rFonts w:hint="eastAsia"/>
              </w:rPr>
              <w:t>、南至湘阴铁角嘴船厂、西至东湖码头范围船舶污染物，为污染治理项目。</w:t>
            </w:r>
          </w:p>
          <w:p>
            <w:pPr>
              <w:pStyle w:val="20"/>
              <w:spacing w:before="0" w:beforeAutospacing="0" w:after="0" w:afterAutospacing="0" w:line="360" w:lineRule="auto"/>
              <w:ind w:left="479" w:leftChars="228"/>
              <w:jc w:val="both"/>
              <w:rPr>
                <w:rFonts w:ascii="Times New Roman" w:hAnsi="Times New Roman" w:cs="Times New Roman"/>
                <w:b/>
                <w:bCs/>
              </w:rPr>
            </w:pPr>
            <w:r>
              <w:rPr>
                <w:rFonts w:ascii="Times New Roman" w:hAnsi="Times New Roman" w:cs="Times New Roman"/>
              </w:rPr>
              <w:t>因此，建设项目的选址符合要求。</w:t>
            </w:r>
            <w:r>
              <w:rPr>
                <w:rFonts w:ascii="Times New Roman" w:hAnsi="Times New Roman" w:cs="Times New Roman"/>
              </w:rPr>
              <w:br w:type="textWrapping"/>
            </w:r>
            <w:r>
              <w:rPr>
                <w:rFonts w:hint="eastAsia" w:ascii="Times New Roman" w:hAnsi="Times New Roman" w:cs="Times New Roman"/>
                <w:b/>
                <w:bCs/>
              </w:rPr>
              <w:t>6、依托鹿角码头泊位的可行性和环境合理性分析</w:t>
            </w:r>
          </w:p>
          <w:p>
            <w:pPr>
              <w:pStyle w:val="20"/>
              <w:spacing w:before="0" w:beforeAutospacing="0" w:after="0" w:afterAutospacing="0" w:line="360" w:lineRule="auto"/>
              <w:ind w:firstLine="480" w:firstLineChars="200"/>
              <w:jc w:val="both"/>
              <w:rPr>
                <w:color w:val="000000"/>
                <w:u w:val="single"/>
              </w:rPr>
            </w:pPr>
            <w:r>
              <w:rPr>
                <w:color w:val="000000"/>
                <w:u w:val="single"/>
              </w:rPr>
              <w:t>岳阳县港区位于洞庭湖中部，是连接沅江市和岳阳市的水路要道，经最近几年的发展，港口逐步形成规模化，港区吞吐量稳步増长，过往船舶多，其中砂石船最多。当前岳阳市砂石资源极为丰富，釆砂区域主要分布在汨罗市、湘阴 县和岳阳县，而岳阳县又是作业船只分布最多最广的区域，所以港区 来往船只多，船舶废弃物量大。</w:t>
            </w:r>
          </w:p>
          <w:p>
            <w:pPr>
              <w:pStyle w:val="20"/>
              <w:spacing w:before="0" w:beforeAutospacing="0" w:after="0" w:afterAutospacing="0" w:line="360" w:lineRule="auto"/>
              <w:ind w:firstLine="480" w:firstLineChars="200"/>
              <w:jc w:val="both"/>
              <w:rPr>
                <w:rFonts w:ascii="Times New Roman" w:hAnsi="Times New Roman" w:cs="Times New Roman"/>
                <w:u w:val="single"/>
              </w:rPr>
            </w:pPr>
            <w:r>
              <w:rPr>
                <w:rFonts w:ascii="Times New Roman" w:hAnsi="Times New Roman" w:cs="Times New Roman"/>
                <w:u w:val="single"/>
              </w:rPr>
              <w:t>鹿角码头位于岳阳县</w:t>
            </w:r>
            <w:r>
              <w:rPr>
                <w:rFonts w:hint="eastAsia" w:ascii="Times New Roman" w:hAnsi="Times New Roman" w:cs="Times New Roman"/>
                <w:u w:val="single"/>
              </w:rPr>
              <w:t>鹿角镇</w:t>
            </w:r>
            <w:r>
              <w:rPr>
                <w:rFonts w:ascii="Times New Roman" w:hAnsi="Times New Roman" w:cs="Times New Roman"/>
                <w:u w:val="single"/>
              </w:rPr>
              <w:t>，水路经城陵矶沿长江东下可达武汉、南京、上海；上溯西进可达宜昌、重庆；沿湘江南上可达长沙、株洲、湘潭、衡阳；经湖区航线可达津市、常德、益阳等城市。水路距岳阳城陵矶港30公里，上距长沙128公里，距长江航道仅30公里，是湘江航道至长江出海口最近的港口。设计吞吐量为：包括2000吨（兼顾3000吨）级散货泊位和多用途泊位各一个，设计年吞吐量为150万吨。</w:t>
            </w:r>
          </w:p>
          <w:p>
            <w:pPr>
              <w:spacing w:line="360" w:lineRule="auto"/>
              <w:ind w:firstLine="480" w:firstLineChars="200"/>
              <w:rPr>
                <w:sz w:val="24"/>
                <w:szCs w:val="24"/>
                <w:u w:val="single"/>
              </w:rPr>
            </w:pPr>
            <w:r>
              <w:rPr>
                <w:color w:val="000000"/>
                <w:sz w:val="24"/>
                <w:szCs w:val="24"/>
                <w:u w:val="single"/>
              </w:rPr>
              <w:t>本项目主要为洞庭湖水域及湘江沿线船舶提供船舶污染物接收服务，共配有6艘船合计总吨位为1367吨。鹿角码头的泊位能够满足本项目船舶的停靠。</w:t>
            </w:r>
            <w:r>
              <w:rPr>
                <w:color w:val="000000"/>
                <w:sz w:val="24"/>
                <w:szCs w:val="24"/>
                <w:u w:val="single"/>
              </w:rPr>
              <w:br w:type="textWrapping"/>
            </w:r>
            <w:r>
              <w:rPr>
                <w:color w:val="000000"/>
                <w:sz w:val="24"/>
                <w:szCs w:val="24"/>
                <w:u w:val="single"/>
              </w:rPr>
              <w:t xml:space="preserve">   </w:t>
            </w:r>
            <w:r>
              <w:rPr>
                <w:b/>
                <w:bCs/>
                <w:sz w:val="24"/>
                <w:szCs w:val="24"/>
                <w:u w:val="single"/>
              </w:rPr>
              <w:t xml:space="preserve"> 7、与《湖南省内河水运发展规划》（2011-2030年）相符性</w:t>
            </w:r>
          </w:p>
          <w:p>
            <w:pPr>
              <w:spacing w:line="360" w:lineRule="auto"/>
              <w:ind w:firstLine="480" w:firstLineChars="200"/>
              <w:rPr>
                <w:sz w:val="24"/>
                <w:szCs w:val="24"/>
                <w:u w:val="single"/>
              </w:rPr>
            </w:pPr>
            <w:r>
              <w:rPr>
                <w:sz w:val="24"/>
                <w:szCs w:val="24"/>
                <w:u w:val="single"/>
              </w:rPr>
              <w:t>根据《湖南省内河水运发展规划》（2011-2030年）</w:t>
            </w:r>
            <w:r>
              <w:rPr>
                <w:rFonts w:hint="eastAsia"/>
                <w:sz w:val="24"/>
                <w:szCs w:val="24"/>
                <w:u w:val="single"/>
              </w:rPr>
              <w:t>，</w:t>
            </w:r>
            <w:r>
              <w:rPr>
                <w:sz w:val="24"/>
                <w:szCs w:val="24"/>
                <w:u w:val="single"/>
              </w:rPr>
              <w:t>湘江干流主航道岳阳境内75.1km</w:t>
            </w:r>
            <w:r>
              <w:rPr>
                <w:rFonts w:hint="eastAsia"/>
                <w:sz w:val="24"/>
                <w:szCs w:val="24"/>
                <w:u w:val="single"/>
              </w:rPr>
              <w:t>，</w:t>
            </w:r>
            <w:r>
              <w:rPr>
                <w:sz w:val="24"/>
                <w:szCs w:val="24"/>
                <w:u w:val="single"/>
              </w:rPr>
              <w:t>从樟树港〜城陵矶段为晞及以上航道</w:t>
            </w:r>
            <w:r>
              <w:rPr>
                <w:rFonts w:hint="eastAsia"/>
                <w:sz w:val="24"/>
                <w:szCs w:val="24"/>
                <w:u w:val="single"/>
              </w:rPr>
              <w:t>，</w:t>
            </w:r>
            <w:r>
              <w:rPr>
                <w:sz w:val="24"/>
                <w:szCs w:val="24"/>
                <w:u w:val="single"/>
              </w:rPr>
              <w:t>湘江西支33.7公里为</w:t>
            </w:r>
            <w:r>
              <w:rPr>
                <w:sz w:val="24"/>
                <w:szCs w:val="24"/>
                <w:u w:val="single"/>
              </w:rPr>
              <w:fldChar w:fldCharType="begin"/>
            </w:r>
            <w:r>
              <w:rPr>
                <w:sz w:val="24"/>
                <w:szCs w:val="24"/>
                <w:u w:val="single"/>
              </w:rPr>
              <w:instrText xml:space="preserve"> = 3 \* ROMAN \* MERGEFORMAT </w:instrText>
            </w:r>
            <w:r>
              <w:rPr>
                <w:sz w:val="24"/>
                <w:szCs w:val="24"/>
                <w:u w:val="single"/>
              </w:rPr>
              <w:fldChar w:fldCharType="separate"/>
            </w:r>
            <w:r>
              <w:rPr>
                <w:u w:val="single"/>
              </w:rPr>
              <w:t>III</w:t>
            </w:r>
            <w:r>
              <w:rPr>
                <w:sz w:val="24"/>
                <w:szCs w:val="24"/>
                <w:u w:val="single"/>
              </w:rPr>
              <w:fldChar w:fldCharType="end"/>
            </w:r>
            <w:r>
              <w:rPr>
                <w:sz w:val="24"/>
                <w:szCs w:val="24"/>
                <w:u w:val="single"/>
              </w:rPr>
              <w:t>级航道。资水干流（北支）21.4km</w:t>
            </w:r>
            <w:r>
              <w:rPr>
                <w:rFonts w:hint="eastAsia"/>
                <w:sz w:val="24"/>
                <w:szCs w:val="24"/>
                <w:u w:val="single"/>
              </w:rPr>
              <w:t>，</w:t>
            </w:r>
            <w:r>
              <w:rPr>
                <w:sz w:val="24"/>
                <w:szCs w:val="24"/>
                <w:u w:val="single"/>
              </w:rPr>
              <w:t>为</w:t>
            </w:r>
            <w:r>
              <w:rPr>
                <w:sz w:val="24"/>
                <w:szCs w:val="24"/>
                <w:u w:val="single"/>
              </w:rPr>
              <w:fldChar w:fldCharType="begin"/>
            </w:r>
            <w:r>
              <w:rPr>
                <w:sz w:val="24"/>
                <w:szCs w:val="24"/>
                <w:u w:val="single"/>
              </w:rPr>
              <w:instrText xml:space="preserve"> = 3 \* ROMAN \* MERGEFORMAT </w:instrText>
            </w:r>
            <w:r>
              <w:rPr>
                <w:sz w:val="24"/>
                <w:szCs w:val="24"/>
                <w:u w:val="single"/>
              </w:rPr>
              <w:fldChar w:fldCharType="separate"/>
            </w:r>
            <w:r>
              <w:rPr>
                <w:u w:val="single"/>
              </w:rPr>
              <w:t>III</w:t>
            </w:r>
            <w:r>
              <w:rPr>
                <w:sz w:val="24"/>
                <w:szCs w:val="24"/>
                <w:u w:val="single"/>
              </w:rPr>
              <w:fldChar w:fldCharType="end"/>
            </w:r>
            <w:r>
              <w:rPr>
                <w:sz w:val="24"/>
                <w:szCs w:val="24"/>
                <w:u w:val="single"/>
              </w:rPr>
              <w:t>级航道。另汨罗江、藕池东支―华容河在岳阳境内，汨罗江航道为平江〜磊石段，航道长123km，航道等级原在等级外，提升至IV级航道；华容河华容〜君山段49km航道等级原在等级外，提升至</w:t>
            </w:r>
            <w:r>
              <w:rPr>
                <w:sz w:val="24"/>
                <w:szCs w:val="24"/>
                <w:u w:val="single"/>
              </w:rPr>
              <w:fldChar w:fldCharType="begin"/>
            </w:r>
            <w:r>
              <w:rPr>
                <w:sz w:val="24"/>
                <w:szCs w:val="24"/>
                <w:u w:val="single"/>
              </w:rPr>
              <w:instrText xml:space="preserve"> = 3 \* ROMAN \* MERGEFORMAT </w:instrText>
            </w:r>
            <w:r>
              <w:rPr>
                <w:sz w:val="24"/>
                <w:szCs w:val="24"/>
                <w:u w:val="single"/>
              </w:rPr>
              <w:fldChar w:fldCharType="separate"/>
            </w:r>
            <w:r>
              <w:rPr>
                <w:u w:val="single"/>
              </w:rPr>
              <w:t>III</w:t>
            </w:r>
            <w:r>
              <w:rPr>
                <w:sz w:val="24"/>
                <w:szCs w:val="24"/>
                <w:u w:val="single"/>
              </w:rPr>
              <w:fldChar w:fldCharType="end"/>
            </w:r>
            <w:r>
              <w:rPr>
                <w:sz w:val="24"/>
                <w:szCs w:val="24"/>
                <w:u w:val="single"/>
              </w:rPr>
              <w:t>级航道。</w:t>
            </w:r>
          </w:p>
          <w:p>
            <w:pPr>
              <w:pStyle w:val="80"/>
              <w:spacing w:line="450" w:lineRule="exact"/>
              <w:ind w:firstLine="460"/>
              <w:rPr>
                <w:color w:val="000000"/>
                <w:sz w:val="24"/>
                <w:szCs w:val="24"/>
                <w:u w:val="single"/>
              </w:rPr>
            </w:pPr>
            <w:r>
              <w:rPr>
                <w:color w:val="000000"/>
                <w:sz w:val="24"/>
                <w:szCs w:val="24"/>
                <w:u w:val="single"/>
              </w:rPr>
              <w:t>项目接收船运行航道与岳阳市航道协调一致，项目得到了湖南省岳阳市地方海事局的批准，并已取得了岳阳市港口航务管理局颁发的港口经营许可证。</w:t>
            </w:r>
          </w:p>
          <w:p>
            <w:pPr>
              <w:pStyle w:val="56"/>
              <w:ind w:firstLine="482"/>
              <w:rPr>
                <w:b/>
                <w:bCs/>
                <w:u w:val="single"/>
              </w:rPr>
            </w:pPr>
            <w:r>
              <w:rPr>
                <w:rFonts w:hint="eastAsia"/>
                <w:b/>
                <w:bCs/>
                <w:u w:val="single"/>
              </w:rPr>
              <w:t>8、</w:t>
            </w:r>
            <w:r>
              <w:rPr>
                <w:b/>
                <w:bCs/>
                <w:u w:val="single"/>
              </w:rPr>
              <w:t>与《岳阳港总体规划》</w:t>
            </w:r>
            <w:r>
              <w:rPr>
                <w:b/>
                <w:bCs/>
                <w:u w:val="single"/>
                <w:lang w:eastAsia="en-US"/>
              </w:rPr>
              <w:t>（2017-2035</w:t>
            </w:r>
            <w:r>
              <w:rPr>
                <w:b/>
                <w:bCs/>
                <w:u w:val="single"/>
              </w:rPr>
              <w:t>年）相符性分析</w:t>
            </w:r>
          </w:p>
          <w:p>
            <w:pPr>
              <w:pStyle w:val="56"/>
              <w:ind w:firstLine="480"/>
              <w:rPr>
                <w:u w:val="single"/>
              </w:rPr>
            </w:pPr>
            <w:r>
              <w:rPr>
                <w:u w:val="single"/>
              </w:rPr>
              <w:t>根据《岳阳港总体规划》</w:t>
            </w:r>
            <w:r>
              <w:rPr>
                <w:u w:val="single"/>
                <w:lang w:eastAsia="en-US"/>
              </w:rPr>
              <w:t>（2017-2035</w:t>
            </w:r>
            <w:r>
              <w:rPr>
                <w:u w:val="single"/>
              </w:rPr>
              <w:t>年）对岳阳县港区的定为：岳阳县 港区位于岳阳县鹿角镇洞庭湖东岸、岳阳县西部，陆路距县城10公里，水路距岳阳城陵矶港30公里，上距长沙128公里，距长江航道仅30公里，是湘江航道至长江岀海口最近的港口。规划港口岸线7300米，规划以件杂货、干散货运输 为主,兼有旅游客运，主要为当地经济发展和水上旅游资源开发服务，规划鹿角、汗水坡2个作业区和机场村水上服务区、太平咀客运港点以及新墙河内客运点。岳阳港总体规划将岳阳县港区规划为以件杂货、散货及矿建材料运输服务为主的 客货综合性港区。</w:t>
            </w:r>
          </w:p>
          <w:p>
            <w:pPr>
              <w:pStyle w:val="56"/>
              <w:ind w:firstLine="480"/>
              <w:rPr>
                <w:u w:val="single"/>
              </w:rPr>
            </w:pPr>
            <w:r>
              <w:rPr>
                <w:u w:val="single"/>
              </w:rPr>
              <w:t>岳阳县鹿角码头现有2个2000吨级泊位（兼顾3000吨级）,其中1个散货 泊位，1个多用途泊位。散货泊位釆用浮式码头结构，多用途泊位釆用高桩框架 码头结构，码头前沿线总长</w:t>
            </w:r>
            <w:r>
              <w:rPr>
                <w:u w:val="single"/>
                <w:lang w:eastAsia="en-US"/>
              </w:rPr>
              <w:t>224m。</w:t>
            </w:r>
            <w:r>
              <w:rPr>
                <w:u w:val="single"/>
              </w:rPr>
              <w:t>本项目专用船停泊在岳阳县鹿角镇鹿角码头 位置属于岳阳县港区内，该段岸线为顺直微弯河段，河面宽阔，水域条件好，面临湘江</w:t>
            </w:r>
            <w:r>
              <w:rPr>
                <w:u w:val="single"/>
                <w:lang w:eastAsia="en-US"/>
              </w:rPr>
              <w:t>2000t</w:t>
            </w:r>
            <w:r>
              <w:rPr>
                <w:u w:val="single"/>
              </w:rPr>
              <w:t>级航道，来往船只密集，适宜建设油</w:t>
            </w:r>
            <w:r>
              <w:rPr>
                <w:rFonts w:hint="eastAsia"/>
                <w:u w:val="single"/>
              </w:rPr>
              <w:t>趸</w:t>
            </w:r>
            <w:r>
              <w:rPr>
                <w:u w:val="single"/>
              </w:rPr>
              <w:t>船，服务过往船舶污染物接收。本项目为船舶污染物接收规范提升项目，为周边船只提供污染物接收服务与 《岳阳港总体规划》不相冲突。</w:t>
            </w:r>
          </w:p>
          <w:p>
            <w:pPr>
              <w:pStyle w:val="56"/>
              <w:ind w:firstLine="480"/>
              <w:rPr>
                <w:u w:val="single"/>
              </w:rPr>
            </w:pPr>
            <w:r>
              <w:rPr>
                <w:u w:val="single"/>
              </w:rPr>
              <w:t>2020年5月13日生态环境部对《岳阳港总体规划</w:t>
            </w:r>
            <w:r>
              <w:rPr>
                <w:u w:val="single"/>
                <w:lang w:eastAsia="en-US"/>
              </w:rPr>
              <w:t>（2017-2035</w:t>
            </w:r>
            <w:r>
              <w:rPr>
                <w:u w:val="single"/>
              </w:rPr>
              <w:t>年）环境影 响报告书》进行了审查，岀具了审查意见（环审（2020）65号）：（六）强化并落实污染防治措施。优先解决现有港口、锚地等生态环境问题。优化污水收集 处理方案，落实船舶油污水、洗舱水等船舶污染物接收、转运及处置措施，并加 强全过程监管，确保船舶污染物得到充分有效处置。针对城市基础设施未完全覆盖的港区，应釆取有效可行的污水、固体废物污染防治措施，依法依规妥善处置危险废物。严格控制船舶大气污染物排放，码头建设应同步配套岸电设施，优化 设计绿色、低碳的集疏运体系。干散货装卸、储运应优先釆取封闭措施防治扬尘 污染，油品和液体化学品码头及其罐区应釆取有效措施控制无组织排放，切实防 治大气污染。</w:t>
            </w:r>
          </w:p>
          <w:p>
            <w:pPr>
              <w:pStyle w:val="56"/>
              <w:ind w:firstLine="480"/>
              <w:rPr>
                <w:u w:val="single"/>
              </w:rPr>
            </w:pPr>
            <w:r>
              <w:rPr>
                <w:rFonts w:hint="eastAsia"/>
                <w:u w:val="single"/>
              </w:rPr>
              <w:t>本项目</w:t>
            </w:r>
            <w:r>
              <w:rPr>
                <w:u w:val="single"/>
              </w:rPr>
              <w:t>属于</w:t>
            </w:r>
            <w:r>
              <w:rPr>
                <w:rFonts w:hint="eastAsia"/>
                <w:u w:val="single"/>
              </w:rPr>
              <w:t>《</w:t>
            </w:r>
            <w:r>
              <w:rPr>
                <w:u w:val="single"/>
              </w:rPr>
              <w:t>岳阳市船舶和港口污染突岀问题整治工作实施方案》中提升船舶污染物接收转运处置能力，为岳阳港环保规范提升提质项目，项目建设落实了船舶油污水、洗舱水等船舶污染物接收、转运及处置并加强全过程监管，确保船舶污染物得到充分有效处置。项目实施后对于完善岳阳港布局、完善港口整体服务功能的需要，规范船舶污染物接收、减少船舶污染物水 污染事故发生有着重要意义，有助于船舶污染物接收环保管理，提高水环境质量, 符合《岳阳港总体规划》</w:t>
            </w:r>
            <w:r>
              <w:rPr>
                <w:u w:val="single"/>
                <w:lang w:eastAsia="en-US"/>
              </w:rPr>
              <w:t>(2017-2035</w:t>
            </w:r>
            <w:r>
              <w:rPr>
                <w:u w:val="single"/>
              </w:rPr>
              <w:t>年)要求。</w:t>
            </w:r>
          </w:p>
          <w:p>
            <w:pPr>
              <w:pStyle w:val="80"/>
              <w:spacing w:after="240" w:line="455" w:lineRule="exact"/>
              <w:ind w:firstLine="480"/>
              <w:rPr>
                <w:rFonts w:ascii="Times New Roman" w:hAnsi="Times New Roman" w:cs="Times New Roman"/>
                <w:sz w:val="24"/>
                <w:szCs w:val="24"/>
                <w:highlight w:val="green"/>
                <w:lang w:val="en-US" w:eastAsia="zh-CN"/>
              </w:rPr>
            </w:pPr>
            <w:r>
              <w:rPr>
                <w:rFonts w:hint="eastAsia" w:ascii="Times New Roman" w:hAnsi="Times New Roman" w:cs="Times New Roman"/>
                <w:color w:val="000000"/>
                <w:sz w:val="24"/>
                <w:szCs w:val="24"/>
                <w:u w:val="single"/>
                <w:lang w:eastAsia="zh-CN"/>
              </w:rPr>
              <w:br w:type="textWrapping"/>
            </w:r>
            <w:r>
              <w:rPr>
                <w:rFonts w:hint="eastAsia" w:ascii="Times New Roman" w:hAnsi="Times New Roman" w:cs="Times New Roman"/>
                <w:color w:val="000000"/>
                <w:sz w:val="24"/>
                <w:szCs w:val="24"/>
                <w:u w:val="single"/>
                <w:lang w:eastAsia="zh-CN"/>
              </w:rPr>
              <w:br w:type="textWrapping"/>
            </w:r>
            <w:r>
              <w:rPr>
                <w:rFonts w:hint="eastAsia" w:ascii="Times New Roman" w:hAnsi="Times New Roman" w:cs="Times New Roman"/>
                <w:color w:val="000000"/>
                <w:sz w:val="24"/>
                <w:szCs w:val="24"/>
                <w:u w:val="single"/>
                <w:lang w:eastAsia="zh-CN"/>
              </w:rPr>
              <w:br w:type="textWrapping"/>
            </w:r>
            <w:r>
              <w:rPr>
                <w:rFonts w:hint="eastAsia" w:ascii="Times New Roman" w:hAnsi="Times New Roman" w:cs="Times New Roman"/>
                <w:color w:val="000000"/>
                <w:sz w:val="24"/>
                <w:szCs w:val="24"/>
                <w:u w:val="single"/>
                <w:lang w:eastAsia="zh-CN"/>
              </w:rPr>
              <w:br w:type="textWrapping"/>
            </w:r>
            <w:r>
              <w:rPr>
                <w:rFonts w:hint="eastAsia" w:ascii="Times New Roman" w:hAnsi="Times New Roman" w:cs="Times New Roman"/>
                <w:color w:val="000000"/>
                <w:sz w:val="24"/>
                <w:szCs w:val="24"/>
                <w:u w:val="single"/>
                <w:lang w:eastAsia="zh-CN"/>
              </w:rPr>
              <w:br w:type="textWrapping"/>
            </w:r>
            <w:r>
              <w:rPr>
                <w:rFonts w:hint="eastAsia" w:ascii="Times New Roman" w:hAnsi="Times New Roman" w:cs="Times New Roman"/>
                <w:color w:val="000000"/>
                <w:sz w:val="24"/>
                <w:szCs w:val="24"/>
                <w:u w:val="single"/>
                <w:lang w:eastAsia="zh-CN"/>
              </w:rPr>
              <w:br w:type="textWrapping"/>
            </w:r>
            <w:r>
              <w:rPr>
                <w:rFonts w:hint="eastAsia" w:ascii="Times New Roman" w:hAnsi="Times New Roman" w:cs="Times New Roman"/>
                <w:color w:val="000000"/>
                <w:sz w:val="24"/>
                <w:szCs w:val="24"/>
                <w:u w:val="single"/>
                <w:lang w:eastAsia="zh-CN"/>
              </w:rPr>
              <w:br w:type="textWrapping"/>
            </w:r>
            <w:r>
              <w:rPr>
                <w:rFonts w:hint="eastAsia" w:ascii="Times New Roman" w:hAnsi="Times New Roman" w:cs="Times New Roman"/>
                <w:color w:val="000000"/>
                <w:sz w:val="24"/>
                <w:szCs w:val="24"/>
                <w:u w:val="single"/>
                <w:lang w:eastAsia="zh-CN"/>
              </w:rPr>
              <w:br w:type="textWrapping"/>
            </w:r>
            <w:r>
              <w:rPr>
                <w:rFonts w:hint="eastAsia" w:ascii="Times New Roman" w:hAnsi="Times New Roman" w:cs="Times New Roman"/>
                <w:color w:val="000000"/>
                <w:sz w:val="24"/>
                <w:szCs w:val="24"/>
                <w:u w:val="single"/>
                <w:lang w:eastAsia="zh-CN"/>
              </w:rPr>
              <w:br w:type="textWrapping"/>
            </w:r>
            <w:r>
              <w:rPr>
                <w:rFonts w:hint="eastAsia" w:ascii="Times New Roman" w:hAnsi="Times New Roman" w:cs="Times New Roman"/>
                <w:color w:val="000000"/>
                <w:sz w:val="24"/>
                <w:szCs w:val="24"/>
                <w:u w:val="single"/>
                <w:lang w:eastAsia="zh-CN"/>
              </w:rPr>
              <w:br w:type="textWrapping"/>
            </w:r>
            <w:r>
              <w:rPr>
                <w:rFonts w:hint="eastAsia" w:ascii="Times New Roman" w:hAnsi="Times New Roman" w:cs="Times New Roman"/>
                <w:color w:val="000000"/>
                <w:sz w:val="24"/>
                <w:szCs w:val="24"/>
                <w:u w:val="single"/>
                <w:lang w:eastAsia="zh-CN"/>
              </w:rPr>
              <w:br w:type="textWrapping"/>
            </w:r>
            <w:r>
              <w:rPr>
                <w:rFonts w:hint="eastAsia" w:ascii="Times New Roman" w:hAnsi="Times New Roman" w:cs="Times New Roman"/>
                <w:color w:val="000000"/>
                <w:sz w:val="24"/>
                <w:szCs w:val="24"/>
                <w:u w:val="single"/>
                <w:lang w:eastAsia="zh-CN"/>
              </w:rPr>
              <w:br w:type="textWrapping"/>
            </w:r>
            <w:r>
              <w:rPr>
                <w:rFonts w:hint="eastAsia" w:ascii="Times New Roman" w:hAnsi="Times New Roman" w:cs="Times New Roman"/>
                <w:color w:val="000000"/>
                <w:sz w:val="24"/>
                <w:szCs w:val="24"/>
                <w:u w:val="single"/>
                <w:lang w:eastAsia="zh-CN"/>
              </w:rPr>
              <w:br w:type="textWrapping"/>
            </w:r>
            <w:r>
              <w:rPr>
                <w:rFonts w:hint="eastAsia" w:ascii="Times New Roman" w:hAnsi="Times New Roman" w:cs="Times New Roman"/>
                <w:color w:val="000000"/>
                <w:sz w:val="24"/>
                <w:szCs w:val="24"/>
                <w:u w:val="single"/>
                <w:lang w:eastAsia="zh-CN"/>
              </w:rPr>
              <w:br w:type="textWrapping"/>
            </w:r>
            <w:r>
              <w:rPr>
                <w:rFonts w:hint="eastAsia" w:ascii="Times New Roman" w:hAnsi="Times New Roman" w:cs="Times New Roman"/>
                <w:color w:val="000000"/>
                <w:sz w:val="24"/>
                <w:szCs w:val="24"/>
                <w:u w:val="single"/>
                <w:lang w:eastAsia="zh-CN"/>
              </w:rPr>
              <w:br w:type="textWrapping"/>
            </w:r>
            <w:r>
              <w:rPr>
                <w:rFonts w:hint="eastAsia" w:ascii="Times New Roman" w:hAnsi="Times New Roman" w:cs="Times New Roman"/>
                <w:color w:val="000000"/>
                <w:sz w:val="24"/>
                <w:szCs w:val="24"/>
                <w:u w:val="single"/>
                <w:lang w:eastAsia="zh-CN"/>
              </w:rPr>
              <w:br w:type="textWrapping"/>
            </w:r>
          </w:p>
        </w:tc>
      </w:tr>
    </w:tbl>
    <w:p>
      <w:pPr>
        <w:spacing w:line="360" w:lineRule="auto"/>
        <w:outlineLvl w:val="0"/>
        <w:rPr>
          <w:rFonts w:eastAsia="黑体"/>
          <w:sz w:val="30"/>
        </w:rPr>
        <w:sectPr>
          <w:footerReference r:id="rId5" w:type="default"/>
          <w:pgSz w:w="11906" w:h="16838"/>
          <w:pgMar w:top="1701" w:right="1531" w:bottom="1701" w:left="1531" w:header="851" w:footer="1077" w:gutter="0"/>
          <w:pgNumType w:start="1"/>
          <w:cols w:space="720" w:num="1"/>
          <w:docGrid w:linePitch="312" w:charSpace="0"/>
        </w:sectPr>
      </w:pPr>
    </w:p>
    <w:p>
      <w:pPr>
        <w:pStyle w:val="20"/>
        <w:jc w:val="center"/>
        <w:outlineLvl w:val="0"/>
        <w:rPr>
          <w:rFonts w:ascii="黑体" w:hAnsi="黑体" w:eastAsia="黑体"/>
          <w:snapToGrid w:val="0"/>
          <w:sz w:val="30"/>
          <w:szCs w:val="30"/>
        </w:rPr>
      </w:pPr>
      <w:r>
        <w:rPr>
          <w:rFonts w:hint="eastAsia" w:ascii="黑体" w:hAnsi="黑体" w:eastAsia="黑体"/>
          <w:snapToGrid w:val="0"/>
          <w:sz w:val="30"/>
          <w:szCs w:val="30"/>
        </w:rPr>
        <w:t>二、建设项目工程分析</w:t>
      </w:r>
      <w:bookmarkEnd w:id="3"/>
    </w:p>
    <w:tbl>
      <w:tblPr>
        <w:tblStyle w:val="24"/>
        <w:tblW w:w="0" w:type="auto"/>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42"/>
        <w:gridCol w:w="804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239" w:hRule="atLeast"/>
          <w:jc w:val="center"/>
        </w:trPr>
        <w:tc>
          <w:tcPr>
            <w:tcW w:w="942" w:type="dxa"/>
            <w:tcBorders>
              <w:tl2br w:val="nil"/>
              <w:tr2bl w:val="nil"/>
            </w:tcBorders>
            <w:noWrap/>
            <w:vAlign w:val="center"/>
          </w:tcPr>
          <w:p>
            <w:pPr>
              <w:pStyle w:val="20"/>
              <w:adjustRightInd w:val="0"/>
              <w:snapToGrid w:val="0"/>
              <w:spacing w:before="0" w:beforeAutospacing="0" w:after="0" w:afterAutospacing="0"/>
              <w:jc w:val="center"/>
              <w:rPr>
                <w:sz w:val="21"/>
                <w:szCs w:val="21"/>
              </w:rPr>
            </w:pPr>
            <w:r>
              <w:rPr>
                <w:rFonts w:hint="eastAsia"/>
                <w:sz w:val="21"/>
                <w:szCs w:val="21"/>
              </w:rPr>
              <w:t>建设内容</w:t>
            </w:r>
          </w:p>
        </w:tc>
        <w:tc>
          <w:tcPr>
            <w:tcW w:w="8042" w:type="dxa"/>
            <w:tcBorders>
              <w:tl2br w:val="nil"/>
              <w:tr2bl w:val="nil"/>
            </w:tcBorders>
            <w:noWrap/>
          </w:tcPr>
          <w:p>
            <w:pPr>
              <w:numPr>
                <w:ilvl w:val="0"/>
                <w:numId w:val="5"/>
              </w:numPr>
              <w:adjustRightInd w:val="0"/>
              <w:snapToGrid w:val="0"/>
              <w:spacing w:line="360" w:lineRule="auto"/>
              <w:ind w:left="843" w:hanging="843"/>
              <w:rPr>
                <w:sz w:val="24"/>
                <w:szCs w:val="24"/>
              </w:rPr>
            </w:pPr>
            <w:r>
              <w:rPr>
                <w:b/>
                <w:sz w:val="24"/>
                <w:szCs w:val="24"/>
              </w:rPr>
              <w:t>项目由来</w:t>
            </w:r>
          </w:p>
          <w:p>
            <w:pPr>
              <w:adjustRightInd w:val="0"/>
              <w:snapToGrid w:val="0"/>
              <w:spacing w:line="360" w:lineRule="auto"/>
              <w:ind w:firstLine="480" w:firstLineChars="200"/>
              <w:rPr>
                <w:color w:val="auto"/>
                <w:sz w:val="24"/>
                <w:szCs w:val="24"/>
              </w:rPr>
            </w:pPr>
            <w:r>
              <w:rPr>
                <w:rFonts w:hint="eastAsia"/>
                <w:sz w:val="24"/>
                <w:szCs w:val="24"/>
              </w:rPr>
              <w:t>湖南清源环保船舶污染物接收有限公司位于岳阳县鹿角镇鹿角码头，项目于2015年投资40万在北至扁山、南至湘阴铁角嘴船厂、西至东湖码头范围内收集废机油，年收集废机油200t，项目于2015年4月29日取得岳阳市生态环境局的批复（岳环评[2015]48号），项目于2016年1月进行</w:t>
            </w:r>
            <w:r>
              <w:rPr>
                <w:rFonts w:hint="eastAsia"/>
                <w:color w:val="auto"/>
                <w:sz w:val="24"/>
                <w:szCs w:val="24"/>
              </w:rPr>
              <w:t>了竣工环保验收（岳环评验[2016]1号）。</w:t>
            </w:r>
          </w:p>
          <w:p>
            <w:pPr>
              <w:adjustRightInd w:val="0"/>
              <w:snapToGrid w:val="0"/>
              <w:spacing w:line="360" w:lineRule="auto"/>
              <w:ind w:firstLine="480" w:firstLineChars="200"/>
              <w:rPr>
                <w:sz w:val="24"/>
                <w:szCs w:val="24"/>
              </w:rPr>
            </w:pPr>
            <w:r>
              <w:rPr>
                <w:rFonts w:hint="eastAsia"/>
                <w:color w:val="auto"/>
                <w:sz w:val="24"/>
                <w:szCs w:val="24"/>
              </w:rPr>
              <w:t>本次项目是根据湖南交通运输厅、湖南省发展革委、湖南省生态环境厅、湖南省住房城镇建设厅发布的《湖南船舶和港口污染突出问题整治工作实施方案》的通知中提出的对船舶和港口进行污染综合治理和岳阳市地方海事局、岳阳市发展改革委、岳阳市生态环境局、岳阳市住房城乡建设局发布的关于印发《岳阳市船舶和港口污染突出问题整治工作实施方案》的通知中提出对船舶污水收集处置装置配备不到位和运行不正常、垃圾污水等偷排偷倒入江、船舶污染物接收设施不健全和转运处置衔接不畅、港口自身环保设施不完善、岸电利用率不高等问题，响应国家政策，项目投资900万扩建船只、增加对污染物收集，项目分两期建设，一期建设完成后，船舶数量为5条，完成后的年收集生活污水量6000吨，年收集含油废水量6</w:t>
            </w:r>
            <w:r>
              <w:rPr>
                <w:rFonts w:hint="eastAsia"/>
                <w:sz w:val="24"/>
                <w:szCs w:val="24"/>
              </w:rPr>
              <w:t>000吨（包含油水分离后的废机油400吨），年收集废机油600吨，年收集生活垃圾300吨，二期（2023年建设）建设完成后，船只为6条船（其中新增3条船舶，淘汰一期建成的2条船舶（应急库船、湘益阳1219）），两期建设完成后，年收集含油废水10000吨（包含油水分离后废机油量700吨），年收集生活污水10000吨，年收集生活垃圾600吨，年回收废机油300吨。</w:t>
            </w:r>
          </w:p>
          <w:p>
            <w:pPr>
              <w:pStyle w:val="67"/>
              <w:ind w:firstLine="480"/>
              <w:jc w:val="both"/>
              <w:rPr>
                <w:rFonts w:ascii="Times New Roman" w:hAnsi="Times New Roman" w:cs="Times New Roman"/>
                <w:b/>
                <w:bCs/>
                <w:sz w:val="24"/>
                <w:szCs w:val="24"/>
                <w:u w:val="single"/>
              </w:rPr>
            </w:pPr>
            <w:r>
              <w:rPr>
                <w:rFonts w:ascii="Times New Roman" w:hAnsi="Times New Roman" w:cs="Times New Roman"/>
                <w:kern w:val="0"/>
                <w:sz w:val="24"/>
                <w:szCs w:val="24"/>
              </w:rPr>
              <w:t>根据中华人民共和国环境影响保护法和国务院令第682号文《建设项目环境保护管理条例》的要求，本项目应进行环境影响评价。根据《建设项目环境影响评价分类管理名录》（2021版）的规定，</w:t>
            </w:r>
            <w:r>
              <w:rPr>
                <w:rFonts w:ascii="Times New Roman" w:hAnsi="Times New Roman" w:cs="Times New Roman"/>
                <w:sz w:val="24"/>
                <w:szCs w:val="24"/>
              </w:rPr>
              <w:t>属于名录中47生态保护和环境治理业中101危险废物利用及处置中其他，需要编制环境影响评价报告表，因此，本项目应编制环境影响报告表。湖南清源环保船舶污染物接收有限公司委托湖南创佳环保有限公司承担船舶污染物接收项目的环境影响评价工作。本公司接受委托后，立即成立了环评项目组，通过现场踏勘、调研和收集资料，根据相关</w:t>
            </w:r>
            <w:r>
              <w:rPr>
                <w:rFonts w:hint="eastAsia" w:ascii="Times New Roman" w:hAnsi="Times New Roman" w:cs="Times New Roman"/>
                <w:sz w:val="24"/>
                <w:szCs w:val="24"/>
              </w:rPr>
              <w:t>要求</w:t>
            </w:r>
            <w:r>
              <w:rPr>
                <w:rFonts w:ascii="Times New Roman" w:hAnsi="Times New Roman" w:cs="Times New Roman"/>
                <w:sz w:val="24"/>
                <w:szCs w:val="24"/>
              </w:rPr>
              <w:t>编制完成了本报告表。</w:t>
            </w:r>
            <w:r>
              <w:rPr>
                <w:rFonts w:ascii="Times New Roman" w:hAnsi="Times New Roman" w:cs="Times New Roman"/>
                <w:sz w:val="24"/>
                <w:szCs w:val="24"/>
              </w:rPr>
              <w:br w:type="textWrapping"/>
            </w:r>
            <w:r>
              <w:rPr>
                <w:rFonts w:hint="eastAsia" w:ascii="Times New Roman" w:hAnsi="Times New Roman" w:cs="Times New Roman"/>
                <w:b/>
                <w:bCs/>
                <w:sz w:val="24"/>
                <w:szCs w:val="24"/>
                <w:u w:val="single"/>
              </w:rPr>
              <w:t>2、项目扩建必要性分析</w:t>
            </w:r>
          </w:p>
          <w:p>
            <w:pPr>
              <w:spacing w:line="360" w:lineRule="auto"/>
              <w:ind w:firstLine="480" w:firstLineChars="200"/>
              <w:rPr>
                <w:sz w:val="24"/>
                <w:szCs w:val="24"/>
                <w:u w:val="single"/>
              </w:rPr>
            </w:pPr>
            <w:r>
              <w:rPr>
                <w:sz w:val="24"/>
                <w:szCs w:val="24"/>
                <w:u w:val="single"/>
              </w:rPr>
              <w:t>（1）全面提升船舶污染和港口污染防治能力</w:t>
            </w:r>
          </w:p>
          <w:p>
            <w:pPr>
              <w:spacing w:line="360" w:lineRule="auto"/>
              <w:ind w:firstLine="480" w:firstLineChars="200"/>
              <w:rPr>
                <w:sz w:val="24"/>
                <w:szCs w:val="24"/>
                <w:u w:val="single"/>
              </w:rPr>
            </w:pPr>
            <w:r>
              <w:rPr>
                <w:sz w:val="24"/>
                <w:szCs w:val="24"/>
                <w:u w:val="single"/>
              </w:rPr>
              <w:t>大力发展水运行业，合理建设水运项目，对推动建设资源节约型、环境友好型两型社会有积极意义。腹地周边大量货物可采用更加节能、经济的水运方式运输，缓解公路及铁路运输压力。岳阳县经济连年快速增长，年货运量亦高于经济长速度，货物的疏运对水路依存比更是逐步提高。若要继续保障经济的稳定增长，需要建设现代化的码头，以适应现实发展的需求。岳阳县港区内水上服务设施较少，清源环保年接收船舶污染物20900吨建设项目依托周边便捷的交通体系，具有服务岳阳港的区位优势，对完善综合交通运输体系、提高航道综合服务能力、构建资源节约型交通都具有重要意义。同时充分落实《交通运输部关于印发船舶与港口污染防治专项行动实施方案</w:t>
            </w:r>
            <w:r>
              <w:rPr>
                <w:sz w:val="24"/>
                <w:szCs w:val="24"/>
                <w:u w:val="single"/>
                <w:lang w:eastAsia="en-US"/>
              </w:rPr>
              <w:t>（2015-2020</w:t>
            </w:r>
            <w:r>
              <w:rPr>
                <w:sz w:val="24"/>
                <w:szCs w:val="24"/>
                <w:u w:val="single"/>
              </w:rPr>
              <w:t>年）的诵知》（交水发</w:t>
            </w:r>
            <w:r>
              <w:rPr>
                <w:rFonts w:hint="eastAsia"/>
                <w:sz w:val="24"/>
                <w:szCs w:val="24"/>
                <w:u w:val="single"/>
              </w:rPr>
              <w:t>{</w:t>
            </w:r>
            <w:r>
              <w:rPr>
                <w:sz w:val="24"/>
                <w:szCs w:val="24"/>
                <w:u w:val="single"/>
              </w:rPr>
              <w:t>2015</w:t>
            </w:r>
            <w:r>
              <w:rPr>
                <w:rFonts w:hint="eastAsia"/>
                <w:sz w:val="24"/>
                <w:szCs w:val="24"/>
                <w:u w:val="single"/>
              </w:rPr>
              <w:t>}</w:t>
            </w:r>
            <w:r>
              <w:rPr>
                <w:sz w:val="24"/>
                <w:szCs w:val="24"/>
                <w:u w:val="single"/>
              </w:rPr>
              <w:t>133号）、交诵运输部等四部委联合下发《关于印发</w:t>
            </w:r>
            <w:r>
              <w:rPr>
                <w:rFonts w:hint="eastAsia"/>
                <w:sz w:val="24"/>
                <w:szCs w:val="24"/>
                <w:u w:val="single"/>
              </w:rPr>
              <w:t>&lt;</w:t>
            </w:r>
            <w:r>
              <w:rPr>
                <w:sz w:val="24"/>
                <w:szCs w:val="24"/>
                <w:u w:val="single"/>
              </w:rPr>
              <w:t>长江经济带船舶和港口污染突岀问题整治方案</w:t>
            </w:r>
            <w:r>
              <w:rPr>
                <w:rFonts w:hint="eastAsia"/>
                <w:sz w:val="24"/>
                <w:szCs w:val="24"/>
                <w:u w:val="single"/>
              </w:rPr>
              <w:t>&gt;</w:t>
            </w:r>
            <w:r>
              <w:rPr>
                <w:sz w:val="24"/>
                <w:szCs w:val="24"/>
                <w:u w:val="single"/>
              </w:rPr>
              <w:t>的通知》</w:t>
            </w:r>
            <w:r>
              <w:rPr>
                <w:rFonts w:hint="eastAsia"/>
                <w:sz w:val="24"/>
                <w:szCs w:val="24"/>
                <w:u w:val="single"/>
              </w:rPr>
              <w:t>交</w:t>
            </w:r>
            <w:r>
              <w:rPr>
                <w:sz w:val="24"/>
                <w:szCs w:val="24"/>
                <w:u w:val="single"/>
              </w:rPr>
              <w:t>水发</w:t>
            </w:r>
            <w:r>
              <w:rPr>
                <w:rFonts w:hint="eastAsia"/>
                <w:sz w:val="24"/>
                <w:szCs w:val="24"/>
                <w:u w:val="single"/>
              </w:rPr>
              <w:t>{</w:t>
            </w:r>
            <w:r>
              <w:rPr>
                <w:sz w:val="24"/>
                <w:szCs w:val="24"/>
                <w:u w:val="single"/>
              </w:rPr>
              <w:t>2020</w:t>
            </w:r>
            <w:r>
              <w:rPr>
                <w:rFonts w:hint="eastAsia"/>
                <w:sz w:val="24"/>
                <w:szCs w:val="24"/>
                <w:u w:val="single"/>
              </w:rPr>
              <w:t>}</w:t>
            </w:r>
            <w:r>
              <w:rPr>
                <w:sz w:val="24"/>
                <w:szCs w:val="24"/>
                <w:u w:val="single"/>
              </w:rPr>
              <w:t>117号）、湖南交诵运输厅等四厅委联合发布的《湖南船舶和港口污染突岀问题整治工作实施方案》（湘交港航［2020］55号）、岳阳市地方海事局等四局委联合发布的关于印发《岳阳市船舶和港口污染突岀问题整治工作实施方案</w:t>
            </w:r>
            <w:r>
              <w:rPr>
                <w:rFonts w:hint="eastAsia"/>
                <w:sz w:val="24"/>
                <w:szCs w:val="24"/>
                <w:u w:val="single"/>
              </w:rPr>
              <w:t>》中</w:t>
            </w:r>
            <w:r>
              <w:rPr>
                <w:sz w:val="24"/>
                <w:szCs w:val="24"/>
                <w:u w:val="single"/>
              </w:rPr>
              <w:t>提岀的对船舶和港口进行污染综合治理</w:t>
            </w:r>
            <w:r>
              <w:rPr>
                <w:rFonts w:hint="eastAsia"/>
                <w:sz w:val="24"/>
                <w:szCs w:val="24"/>
                <w:u w:val="single"/>
              </w:rPr>
              <w:t>。</w:t>
            </w:r>
            <w:r>
              <w:rPr>
                <w:sz w:val="24"/>
                <w:szCs w:val="24"/>
                <w:u w:val="single"/>
              </w:rPr>
              <w:t>因此，本项目的建设是实现水污染防治规划目标、保证国家规划目标的实现，把中央的政策落到实处的需要。湖南清源环保船舶污染物接收有限公司年接收船舶污染物20900吨建设项目对于完善岳阳港布局、完善港口整体服务功能的需要，规范船舶污染物、减少 船舶污染物水污染事故发生有着重要意义。</w:t>
            </w:r>
          </w:p>
          <w:p>
            <w:pPr>
              <w:spacing w:line="360" w:lineRule="auto"/>
              <w:rPr>
                <w:sz w:val="24"/>
                <w:szCs w:val="24"/>
                <w:u w:val="single"/>
              </w:rPr>
            </w:pPr>
            <w:r>
              <w:rPr>
                <w:sz w:val="24"/>
                <w:szCs w:val="24"/>
                <w:u w:val="single"/>
              </w:rPr>
              <w:t>（2）项目建设是保护东洞庭湖水体、降低流行病发生机率的需要</w:t>
            </w:r>
          </w:p>
          <w:p>
            <w:pPr>
              <w:spacing w:line="360" w:lineRule="auto"/>
              <w:ind w:firstLine="480" w:firstLineChars="200"/>
              <w:rPr>
                <w:sz w:val="24"/>
                <w:szCs w:val="24"/>
                <w:u w:val="single"/>
              </w:rPr>
            </w:pPr>
            <w:r>
              <w:rPr>
                <w:color w:val="000000"/>
                <w:sz w:val="24"/>
                <w:szCs w:val="24"/>
                <w:u w:val="single"/>
              </w:rPr>
              <w:t>作为水体污染的三大污染源之一</w:t>
            </w:r>
            <w:r>
              <w:rPr>
                <w:rFonts w:hint="eastAsia"/>
                <w:color w:val="000000"/>
                <w:sz w:val="24"/>
                <w:szCs w:val="24"/>
                <w:u w:val="single"/>
              </w:rPr>
              <w:t>，</w:t>
            </w:r>
            <w:r>
              <w:rPr>
                <w:color w:val="000000"/>
                <w:sz w:val="24"/>
                <w:szCs w:val="24"/>
                <w:u w:val="single"/>
              </w:rPr>
              <w:t>如果不釆取实际行动来治理船舶污染物污染，东洞庭湖水环境污染防治工作将陷入被动。目前，岳阳县没有专门的船舶废 弃物接收处置码头供船舶卸载，已成为治污措施实施的屏障。本工程将建设一套 完善的船舶废弃物接收处置系统（包括收集设施、接收处置船、处置设施），能 大大提高船舶废弃物的收集率，减少了水体污染，降低了流行病发生的机率。因此，项目的建设是保护东洞庭湖水体，降低流行病发生机率的需要。</w:t>
            </w:r>
            <w:r>
              <w:rPr>
                <w:color w:val="000000"/>
                <w:szCs w:val="24"/>
                <w:u w:val="single"/>
              </w:rPr>
              <w:br w:type="textWrapping"/>
            </w:r>
            <w:r>
              <w:rPr>
                <w:rFonts w:hint="eastAsia"/>
                <w:color w:val="000000"/>
                <w:szCs w:val="24"/>
                <w:u w:val="single"/>
              </w:rPr>
              <w:t xml:space="preserve">  </w:t>
            </w:r>
            <w:r>
              <w:rPr>
                <w:rFonts w:hint="eastAsia"/>
                <w:sz w:val="24"/>
                <w:szCs w:val="24"/>
                <w:u w:val="single"/>
              </w:rPr>
              <w:t xml:space="preserve"> （3）改善水环境的需要</w:t>
            </w:r>
          </w:p>
          <w:p>
            <w:pPr>
              <w:spacing w:line="360" w:lineRule="auto"/>
              <w:ind w:firstLine="480" w:firstLineChars="200"/>
              <w:rPr>
                <w:sz w:val="24"/>
                <w:szCs w:val="24"/>
                <w:u w:val="single"/>
              </w:rPr>
            </w:pPr>
            <w:r>
              <w:rPr>
                <w:sz w:val="24"/>
                <w:szCs w:val="24"/>
                <w:u w:val="single"/>
              </w:rPr>
              <w:t>本项目为船舶污染物接收工程，属于环保基础设施，是生态保护修复和环境 治理项目。项目建成后，将有利于船舶废弃物和清漂垃圾的收集处置，提高洞庭 湖船舶废弃物的收集率，解决船舶,废弃物的处置冋题，保证东洞庭湖水上游览观 景环境不受污染，并有效地改善东洞庭湖的地表水环境质量。</w:t>
            </w:r>
            <w:r>
              <w:rPr>
                <w:sz w:val="24"/>
                <w:szCs w:val="24"/>
                <w:u w:val="single"/>
              </w:rPr>
              <w:br w:type="textWrapping"/>
            </w:r>
            <w:r>
              <w:rPr>
                <w:rFonts w:hint="eastAsia"/>
                <w:sz w:val="24"/>
                <w:szCs w:val="24"/>
                <w:u w:val="single"/>
              </w:rPr>
              <w:t xml:space="preserve">    项目现有的收集量已不能满足污染物收集，则本项目扩建船只，对污染物进行收集，本项目已通过岳阳市交通运输局批准（见附件9）。</w:t>
            </w:r>
          </w:p>
          <w:p>
            <w:pPr>
              <w:spacing w:line="360" w:lineRule="auto"/>
              <w:rPr>
                <w:sz w:val="24"/>
                <w:szCs w:val="24"/>
              </w:rPr>
            </w:pPr>
            <w:r>
              <w:rPr>
                <w:rFonts w:hint="eastAsia"/>
                <w:b/>
                <w:bCs/>
                <w:sz w:val="24"/>
                <w:szCs w:val="24"/>
              </w:rPr>
              <w:t>3、项目概况</w:t>
            </w:r>
            <w:r>
              <w:rPr>
                <w:rFonts w:hint="eastAsia"/>
                <w:sz w:val="24"/>
                <w:szCs w:val="24"/>
              </w:rPr>
              <w:br w:type="textWrapping"/>
            </w:r>
            <w:r>
              <w:rPr>
                <w:sz w:val="24"/>
                <w:szCs w:val="24"/>
              </w:rPr>
              <w:t>⑴项目名称：</w:t>
            </w:r>
            <w:r>
              <w:rPr>
                <w:rFonts w:hint="eastAsia"/>
                <w:sz w:val="24"/>
                <w:szCs w:val="24"/>
              </w:rPr>
              <w:t>年接收船舶污染物20900吨建设项目</w:t>
            </w:r>
          </w:p>
          <w:p>
            <w:pPr>
              <w:spacing w:line="360" w:lineRule="auto"/>
              <w:rPr>
                <w:sz w:val="24"/>
                <w:szCs w:val="24"/>
              </w:rPr>
            </w:pPr>
            <w:r>
              <w:rPr>
                <w:sz w:val="24"/>
                <w:szCs w:val="24"/>
              </w:rPr>
              <w:t>⑵建设单位：</w:t>
            </w:r>
            <w:r>
              <w:rPr>
                <w:rFonts w:hint="eastAsia"/>
                <w:sz w:val="24"/>
                <w:szCs w:val="24"/>
              </w:rPr>
              <w:t>湖南清源环保船舶污染物接收有限公司</w:t>
            </w:r>
          </w:p>
          <w:p>
            <w:pPr>
              <w:spacing w:line="360" w:lineRule="auto"/>
              <w:rPr>
                <w:sz w:val="24"/>
                <w:szCs w:val="24"/>
              </w:rPr>
            </w:pPr>
            <w:r>
              <w:rPr>
                <w:sz w:val="24"/>
                <w:szCs w:val="24"/>
              </w:rPr>
              <w:t>⑶建设地点：</w:t>
            </w:r>
            <w:r>
              <w:rPr>
                <w:rFonts w:hint="eastAsia"/>
                <w:sz w:val="24"/>
                <w:szCs w:val="24"/>
              </w:rPr>
              <w:t>岳阳县鹿角码头</w:t>
            </w:r>
          </w:p>
          <w:p>
            <w:pPr>
              <w:spacing w:line="360" w:lineRule="auto"/>
              <w:rPr>
                <w:sz w:val="24"/>
                <w:szCs w:val="24"/>
              </w:rPr>
            </w:pPr>
            <w:r>
              <w:rPr>
                <w:sz w:val="24"/>
                <w:szCs w:val="24"/>
              </w:rPr>
              <w:t>⑷建设性质：</w:t>
            </w:r>
            <w:r>
              <w:rPr>
                <w:rFonts w:hint="eastAsia"/>
                <w:sz w:val="24"/>
                <w:szCs w:val="24"/>
              </w:rPr>
              <w:t>扩建</w:t>
            </w:r>
          </w:p>
          <w:p>
            <w:pPr>
              <w:spacing w:line="360" w:lineRule="auto"/>
              <w:rPr>
                <w:sz w:val="24"/>
                <w:szCs w:val="24"/>
              </w:rPr>
            </w:pPr>
            <w:r>
              <w:rPr>
                <w:sz w:val="24"/>
                <w:szCs w:val="24"/>
              </w:rPr>
              <w:t>⑸项目投资：</w:t>
            </w:r>
            <w:r>
              <w:rPr>
                <w:rFonts w:hint="eastAsia"/>
                <w:sz w:val="24"/>
                <w:szCs w:val="24"/>
              </w:rPr>
              <w:t>900万元</w:t>
            </w:r>
          </w:p>
          <w:p>
            <w:pPr>
              <w:spacing w:line="360" w:lineRule="auto"/>
              <w:rPr>
                <w:sz w:val="24"/>
                <w:szCs w:val="24"/>
              </w:rPr>
            </w:pPr>
            <w:r>
              <w:rPr>
                <w:sz w:val="24"/>
                <w:szCs w:val="24"/>
              </w:rPr>
              <w:t>⑹生产规模：</w:t>
            </w:r>
            <w:r>
              <w:rPr>
                <w:rFonts w:hint="eastAsia"/>
                <w:sz w:val="24"/>
                <w:szCs w:val="24"/>
              </w:rPr>
              <w:t>扩</w:t>
            </w:r>
            <w:r>
              <w:rPr>
                <w:sz w:val="24"/>
                <w:szCs w:val="24"/>
              </w:rPr>
              <w:t>建前：</w:t>
            </w:r>
            <w:r>
              <w:rPr>
                <w:rFonts w:hint="eastAsia"/>
                <w:sz w:val="24"/>
                <w:szCs w:val="24"/>
              </w:rPr>
              <w:t>年回收废机油200吨，专用船一艘（湘岳阳1129）。</w:t>
            </w:r>
          </w:p>
          <w:p>
            <w:pPr>
              <w:spacing w:line="360" w:lineRule="auto"/>
              <w:ind w:firstLine="480" w:firstLineChars="200"/>
              <w:rPr>
                <w:sz w:val="24"/>
                <w:szCs w:val="24"/>
              </w:rPr>
            </w:pPr>
            <w:r>
              <w:rPr>
                <w:rFonts w:hint="eastAsia"/>
                <w:sz w:val="24"/>
                <w:szCs w:val="24"/>
              </w:rPr>
              <w:t xml:space="preserve">扩建部分：项目分两期建设，一期建设完成后，船舶数量为5条，完成后的年收集生活污水量6000吨，年收集含油废水量6000吨（包含油水分离后的废机油400吨），年收集废机油300吨，年收集生活垃圾300吨，二期（2023年建设完成）建设完成后，船只为6条船（其中新增3条船舶，淘汰一期建成的2条船舶（应急库船、湘益阳1219）），二期建设完成后，年收集含油废水10000吨（包含油水分离后废机油量700吨），年收集生活污水10000吨，年收集生活垃圾600吨，年回收废机油300吨，本项目不包含项目污染物转运工程，生活垃圾、油水分离后的废水、生活污水转运工作交由岳阳缘立清洁服务有限公司进行，废机油转运交由临湘市湘北水陆物流有限公司（协议见附件5）。 </w:t>
            </w:r>
          </w:p>
          <w:p>
            <w:pPr>
              <w:autoSpaceDE w:val="0"/>
              <w:autoSpaceDN w:val="0"/>
              <w:adjustRightInd w:val="0"/>
              <w:spacing w:line="360" w:lineRule="auto"/>
              <w:ind w:firstLine="482" w:firstLineChars="200"/>
              <w:rPr>
                <w:sz w:val="24"/>
                <w:szCs w:val="24"/>
              </w:rPr>
            </w:pPr>
            <w:r>
              <w:rPr>
                <w:rFonts w:hint="eastAsia"/>
                <w:b/>
                <w:bCs/>
                <w:sz w:val="24"/>
                <w:szCs w:val="24"/>
              </w:rPr>
              <w:t>4、扩建项目基本情况</w:t>
            </w:r>
          </w:p>
          <w:p>
            <w:pPr>
              <w:autoSpaceDE w:val="0"/>
              <w:autoSpaceDN w:val="0"/>
              <w:adjustRightInd w:val="0"/>
              <w:spacing w:line="360" w:lineRule="auto"/>
              <w:rPr>
                <w:b/>
                <w:bCs/>
                <w:sz w:val="28"/>
                <w:szCs w:val="28"/>
              </w:rPr>
            </w:pPr>
            <w:r>
              <w:rPr>
                <w:rFonts w:hint="eastAsia"/>
                <w:b/>
                <w:bCs/>
                <w:sz w:val="24"/>
                <w:szCs w:val="24"/>
              </w:rPr>
              <w:t>一期项目基本情况</w:t>
            </w:r>
            <w:r>
              <w:rPr>
                <w:rFonts w:hint="eastAsia"/>
                <w:b/>
                <w:bCs/>
                <w:sz w:val="28"/>
                <w:szCs w:val="28"/>
              </w:rPr>
              <w:t>：</w:t>
            </w:r>
          </w:p>
          <w:p>
            <w:pPr>
              <w:numPr>
                <w:ilvl w:val="0"/>
                <w:numId w:val="6"/>
              </w:numPr>
              <w:autoSpaceDE w:val="0"/>
              <w:autoSpaceDN w:val="0"/>
              <w:adjustRightInd w:val="0"/>
              <w:spacing w:line="360" w:lineRule="auto"/>
              <w:ind w:firstLine="480" w:firstLineChars="200"/>
              <w:rPr>
                <w:sz w:val="24"/>
                <w:szCs w:val="24"/>
                <w:u w:val="single"/>
              </w:rPr>
            </w:pPr>
            <w:r>
              <w:rPr>
                <w:rFonts w:hint="eastAsia"/>
                <w:sz w:val="24"/>
                <w:szCs w:val="24"/>
                <w:u w:val="single"/>
              </w:rPr>
              <w:t>项目内容</w:t>
            </w:r>
          </w:p>
          <w:p>
            <w:pPr>
              <w:autoSpaceDE w:val="0"/>
              <w:autoSpaceDN w:val="0"/>
              <w:adjustRightInd w:val="0"/>
              <w:spacing w:line="360" w:lineRule="auto"/>
              <w:ind w:firstLine="480" w:firstLineChars="200"/>
              <w:rPr>
                <w:sz w:val="24"/>
                <w:szCs w:val="24"/>
                <w:u w:val="single"/>
              </w:rPr>
            </w:pPr>
            <w:r>
              <w:rPr>
                <w:rFonts w:hint="eastAsia"/>
                <w:sz w:val="24"/>
                <w:szCs w:val="24"/>
                <w:u w:val="single"/>
              </w:rPr>
              <w:t>本项目船舶分两期建设，一期主要建设内容组成详见表</w:t>
            </w:r>
            <w:r>
              <w:rPr>
                <w:sz w:val="24"/>
                <w:szCs w:val="24"/>
                <w:u w:val="single"/>
              </w:rPr>
              <w:t>2</w:t>
            </w:r>
            <w:r>
              <w:rPr>
                <w:rFonts w:hint="eastAsia"/>
                <w:sz w:val="24"/>
                <w:szCs w:val="24"/>
                <w:u w:val="single"/>
              </w:rPr>
              <w:t>-1。</w:t>
            </w:r>
          </w:p>
          <w:p>
            <w:pPr>
              <w:pStyle w:val="16"/>
              <w:jc w:val="center"/>
              <w:rPr>
                <w:sz w:val="24"/>
                <w:szCs w:val="24"/>
                <w:u w:val="single"/>
              </w:rPr>
            </w:pPr>
            <w:r>
              <w:rPr>
                <w:b/>
                <w:spacing w:val="10"/>
                <w:kern w:val="24"/>
                <w:sz w:val="21"/>
                <w:szCs w:val="21"/>
                <w:u w:val="single"/>
              </w:rPr>
              <w:t>表</w:t>
            </w:r>
            <w:r>
              <w:rPr>
                <w:rFonts w:hint="eastAsia"/>
                <w:b/>
                <w:spacing w:val="10"/>
                <w:kern w:val="24"/>
                <w:sz w:val="21"/>
                <w:szCs w:val="21"/>
                <w:u w:val="single"/>
              </w:rPr>
              <w:t>2-1</w:t>
            </w:r>
            <w:r>
              <w:rPr>
                <w:b/>
                <w:spacing w:val="10"/>
                <w:kern w:val="24"/>
                <w:sz w:val="21"/>
                <w:szCs w:val="21"/>
                <w:u w:val="single"/>
              </w:rPr>
              <w:t>项目</w:t>
            </w:r>
            <w:r>
              <w:rPr>
                <w:rFonts w:hint="eastAsia"/>
                <w:b/>
                <w:spacing w:val="10"/>
                <w:kern w:val="24"/>
                <w:sz w:val="21"/>
                <w:szCs w:val="21"/>
                <w:u w:val="single"/>
              </w:rPr>
              <w:t>一期建设完成后</w:t>
            </w:r>
            <w:r>
              <w:rPr>
                <w:b/>
                <w:spacing w:val="10"/>
                <w:kern w:val="24"/>
                <w:sz w:val="21"/>
                <w:szCs w:val="21"/>
                <w:u w:val="single"/>
              </w:rPr>
              <w:t>主要建设内容</w:t>
            </w:r>
          </w:p>
          <w:tbl>
            <w:tblPr>
              <w:tblStyle w:val="24"/>
              <w:tblpPr w:leftFromText="180" w:rightFromText="180" w:vertAnchor="text" w:horzAnchor="page" w:tblpXSpec="center" w:tblpY="113"/>
              <w:tblOverlap w:val="never"/>
              <w:tblW w:w="785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22"/>
              <w:gridCol w:w="529"/>
              <w:gridCol w:w="1538"/>
              <w:gridCol w:w="1850"/>
              <w:gridCol w:w="1530"/>
              <w:gridCol w:w="158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822" w:type="dxa"/>
                  <w:tcBorders>
                    <w:tl2br w:val="nil"/>
                    <w:tr2bl w:val="nil"/>
                  </w:tcBorders>
                  <w:noWrap/>
                  <w:vAlign w:val="center"/>
                </w:tcPr>
                <w:p>
                  <w:pPr>
                    <w:autoSpaceDE w:val="0"/>
                    <w:autoSpaceDN w:val="0"/>
                    <w:adjustRightInd w:val="0"/>
                    <w:jc w:val="center"/>
                    <w:rPr>
                      <w:kern w:val="24"/>
                      <w:szCs w:val="21"/>
                      <w:u w:val="single"/>
                    </w:rPr>
                  </w:pPr>
                  <w:r>
                    <w:rPr>
                      <w:kern w:val="24"/>
                      <w:szCs w:val="21"/>
                      <w:u w:val="single"/>
                    </w:rPr>
                    <w:t>项目组成</w:t>
                  </w:r>
                </w:p>
              </w:tc>
              <w:tc>
                <w:tcPr>
                  <w:tcW w:w="5447" w:type="dxa"/>
                  <w:gridSpan w:val="4"/>
                  <w:tcBorders>
                    <w:tl2br w:val="nil"/>
                    <w:tr2bl w:val="nil"/>
                  </w:tcBorders>
                  <w:noWrap/>
                  <w:vAlign w:val="center"/>
                </w:tcPr>
                <w:p>
                  <w:pPr>
                    <w:autoSpaceDE w:val="0"/>
                    <w:autoSpaceDN w:val="0"/>
                    <w:adjustRightInd w:val="0"/>
                    <w:jc w:val="center"/>
                    <w:rPr>
                      <w:kern w:val="24"/>
                      <w:szCs w:val="21"/>
                      <w:u w:val="single"/>
                    </w:rPr>
                  </w:pPr>
                  <w:r>
                    <w:rPr>
                      <w:rFonts w:hint="eastAsia"/>
                      <w:kern w:val="24"/>
                      <w:szCs w:val="21"/>
                      <w:u w:val="single"/>
                    </w:rPr>
                    <w:t>一期扩建完成后项目内容</w:t>
                  </w:r>
                </w:p>
              </w:tc>
              <w:tc>
                <w:tcPr>
                  <w:tcW w:w="1589" w:type="dxa"/>
                  <w:vMerge w:val="restart"/>
                  <w:tcBorders>
                    <w:tl2br w:val="nil"/>
                    <w:tr2bl w:val="nil"/>
                  </w:tcBorders>
                  <w:noWrap/>
                  <w:vAlign w:val="center"/>
                </w:tcPr>
                <w:p>
                  <w:pPr>
                    <w:autoSpaceDE w:val="0"/>
                    <w:autoSpaceDN w:val="0"/>
                    <w:adjustRightInd w:val="0"/>
                    <w:jc w:val="center"/>
                    <w:rPr>
                      <w:kern w:val="24"/>
                      <w:szCs w:val="21"/>
                      <w:u w:val="single"/>
                    </w:rPr>
                  </w:pPr>
                  <w:r>
                    <w:rPr>
                      <w:rFonts w:hint="eastAsia"/>
                      <w:kern w:val="24"/>
                      <w:szCs w:val="21"/>
                      <w:u w:val="single"/>
                    </w:rPr>
                    <w:t>依托工程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822" w:type="dxa"/>
                  <w:vMerge w:val="restart"/>
                  <w:tcBorders>
                    <w:tl2br w:val="nil"/>
                    <w:tr2bl w:val="nil"/>
                  </w:tcBorders>
                  <w:noWrap/>
                  <w:vAlign w:val="center"/>
                </w:tcPr>
                <w:p>
                  <w:pPr>
                    <w:jc w:val="center"/>
                    <w:rPr>
                      <w:szCs w:val="21"/>
                      <w:u w:val="single"/>
                    </w:rPr>
                  </w:pPr>
                  <w:r>
                    <w:rPr>
                      <w:szCs w:val="21"/>
                      <w:u w:val="single"/>
                    </w:rPr>
                    <w:t>主体工程</w:t>
                  </w:r>
                </w:p>
                <w:p>
                  <w:pPr>
                    <w:jc w:val="center"/>
                    <w:rPr>
                      <w:szCs w:val="21"/>
                      <w:u w:val="single"/>
                    </w:rPr>
                  </w:pPr>
                </w:p>
              </w:tc>
              <w:tc>
                <w:tcPr>
                  <w:tcW w:w="529" w:type="dxa"/>
                  <w:vMerge w:val="restart"/>
                  <w:tcBorders>
                    <w:tl2br w:val="nil"/>
                    <w:tr2bl w:val="nil"/>
                  </w:tcBorders>
                  <w:noWrap/>
                  <w:vAlign w:val="center"/>
                </w:tcPr>
                <w:p>
                  <w:pPr>
                    <w:autoSpaceDE w:val="0"/>
                    <w:autoSpaceDN w:val="0"/>
                    <w:adjustRightInd w:val="0"/>
                    <w:jc w:val="center"/>
                    <w:rPr>
                      <w:kern w:val="24"/>
                      <w:szCs w:val="21"/>
                      <w:u w:val="single"/>
                    </w:rPr>
                  </w:pPr>
                  <w:r>
                    <w:rPr>
                      <w:rFonts w:hint="eastAsia"/>
                      <w:kern w:val="24"/>
                      <w:szCs w:val="21"/>
                      <w:u w:val="single"/>
                    </w:rPr>
                    <w:t>一期</w:t>
                  </w:r>
                </w:p>
              </w:tc>
              <w:tc>
                <w:tcPr>
                  <w:tcW w:w="1538" w:type="dxa"/>
                  <w:tcBorders>
                    <w:tl2br w:val="nil"/>
                    <w:tr2bl w:val="nil"/>
                  </w:tcBorders>
                  <w:noWrap/>
                  <w:vAlign w:val="center"/>
                </w:tcPr>
                <w:p>
                  <w:pPr>
                    <w:autoSpaceDE w:val="0"/>
                    <w:autoSpaceDN w:val="0"/>
                    <w:adjustRightInd w:val="0"/>
                    <w:jc w:val="center"/>
                    <w:rPr>
                      <w:kern w:val="24"/>
                      <w:szCs w:val="21"/>
                      <w:u w:val="single"/>
                    </w:rPr>
                  </w:pPr>
                  <w:r>
                    <w:rPr>
                      <w:rFonts w:hint="eastAsia"/>
                      <w:kern w:val="24"/>
                      <w:szCs w:val="21"/>
                      <w:u w:val="single"/>
                    </w:rPr>
                    <w:t>船舶</w:t>
                  </w:r>
                </w:p>
              </w:tc>
              <w:tc>
                <w:tcPr>
                  <w:tcW w:w="1850" w:type="dxa"/>
                  <w:tcBorders>
                    <w:tl2br w:val="nil"/>
                    <w:tr2bl w:val="nil"/>
                  </w:tcBorders>
                  <w:noWrap/>
                  <w:vAlign w:val="center"/>
                </w:tcPr>
                <w:p>
                  <w:pPr>
                    <w:autoSpaceDE w:val="0"/>
                    <w:autoSpaceDN w:val="0"/>
                    <w:adjustRightInd w:val="0"/>
                    <w:jc w:val="center"/>
                    <w:rPr>
                      <w:kern w:val="24"/>
                      <w:szCs w:val="21"/>
                      <w:u w:val="single"/>
                    </w:rPr>
                  </w:pPr>
                  <w:r>
                    <w:rPr>
                      <w:rFonts w:hint="eastAsia"/>
                      <w:kern w:val="24"/>
                      <w:szCs w:val="21"/>
                      <w:u w:val="single"/>
                    </w:rPr>
                    <w:t>用途</w:t>
                  </w:r>
                </w:p>
              </w:tc>
              <w:tc>
                <w:tcPr>
                  <w:tcW w:w="1530" w:type="dxa"/>
                  <w:tcBorders>
                    <w:tl2br w:val="nil"/>
                    <w:tr2bl w:val="nil"/>
                  </w:tcBorders>
                  <w:noWrap/>
                  <w:vAlign w:val="center"/>
                </w:tcPr>
                <w:p>
                  <w:pPr>
                    <w:autoSpaceDE w:val="0"/>
                    <w:autoSpaceDN w:val="0"/>
                    <w:adjustRightInd w:val="0"/>
                    <w:jc w:val="center"/>
                    <w:rPr>
                      <w:kern w:val="24"/>
                      <w:szCs w:val="21"/>
                      <w:u w:val="single"/>
                    </w:rPr>
                  </w:pPr>
                  <w:r>
                    <w:rPr>
                      <w:rFonts w:hint="eastAsia"/>
                      <w:kern w:val="24"/>
                      <w:szCs w:val="21"/>
                      <w:u w:val="single"/>
                    </w:rPr>
                    <w:t>收集能力</w:t>
                  </w:r>
                </w:p>
              </w:tc>
              <w:tc>
                <w:tcPr>
                  <w:tcW w:w="1589" w:type="dxa"/>
                  <w:vMerge w:val="continue"/>
                  <w:tcBorders>
                    <w:tl2br w:val="nil"/>
                    <w:tr2bl w:val="nil"/>
                  </w:tcBorders>
                  <w:noWrap/>
                  <w:vAlign w:val="center"/>
                </w:tcPr>
                <w:p>
                  <w:pPr>
                    <w:autoSpaceDE w:val="0"/>
                    <w:autoSpaceDN w:val="0"/>
                    <w:adjustRightInd w:val="0"/>
                    <w:jc w:val="center"/>
                    <w:rPr>
                      <w:kern w:val="24"/>
                      <w:szCs w:val="21"/>
                      <w:u w:val="singl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3" w:hRule="atLeast"/>
                <w:jc w:val="center"/>
              </w:trPr>
              <w:tc>
                <w:tcPr>
                  <w:tcW w:w="822" w:type="dxa"/>
                  <w:vMerge w:val="continue"/>
                  <w:tcBorders>
                    <w:tl2br w:val="nil"/>
                    <w:tr2bl w:val="nil"/>
                  </w:tcBorders>
                  <w:noWrap/>
                  <w:vAlign w:val="center"/>
                </w:tcPr>
                <w:p>
                  <w:pPr>
                    <w:jc w:val="center"/>
                    <w:rPr>
                      <w:szCs w:val="21"/>
                      <w:u w:val="single"/>
                    </w:rPr>
                  </w:pPr>
                </w:p>
              </w:tc>
              <w:tc>
                <w:tcPr>
                  <w:tcW w:w="529" w:type="dxa"/>
                  <w:vMerge w:val="continue"/>
                  <w:tcBorders>
                    <w:tl2br w:val="nil"/>
                    <w:tr2bl w:val="nil"/>
                  </w:tcBorders>
                  <w:noWrap/>
                  <w:vAlign w:val="center"/>
                </w:tcPr>
                <w:p>
                  <w:pPr>
                    <w:autoSpaceDE w:val="0"/>
                    <w:autoSpaceDN w:val="0"/>
                    <w:adjustRightInd w:val="0"/>
                    <w:jc w:val="center"/>
                    <w:rPr>
                      <w:kern w:val="24"/>
                      <w:szCs w:val="21"/>
                      <w:u w:val="single"/>
                    </w:rPr>
                  </w:pPr>
                </w:p>
              </w:tc>
              <w:tc>
                <w:tcPr>
                  <w:tcW w:w="1538" w:type="dxa"/>
                  <w:tcBorders>
                    <w:tl2br w:val="nil"/>
                    <w:tr2bl w:val="nil"/>
                  </w:tcBorders>
                  <w:noWrap/>
                  <w:vAlign w:val="center"/>
                </w:tcPr>
                <w:p>
                  <w:pPr>
                    <w:autoSpaceDE w:val="0"/>
                    <w:autoSpaceDN w:val="0"/>
                    <w:adjustRightInd w:val="0"/>
                    <w:jc w:val="center"/>
                    <w:rPr>
                      <w:kern w:val="24"/>
                      <w:szCs w:val="21"/>
                      <w:u w:val="single"/>
                    </w:rPr>
                  </w:pPr>
                  <w:r>
                    <w:rPr>
                      <w:rFonts w:hint="eastAsia"/>
                      <w:kern w:val="24"/>
                      <w:szCs w:val="21"/>
                      <w:u w:val="single"/>
                    </w:rPr>
                    <w:t>湘岳阳油1129</w:t>
                  </w:r>
                </w:p>
              </w:tc>
              <w:tc>
                <w:tcPr>
                  <w:tcW w:w="1850" w:type="dxa"/>
                  <w:tcBorders>
                    <w:tl2br w:val="nil"/>
                    <w:tr2bl w:val="nil"/>
                  </w:tcBorders>
                  <w:noWrap/>
                  <w:vAlign w:val="center"/>
                </w:tcPr>
                <w:p>
                  <w:pPr>
                    <w:autoSpaceDE w:val="0"/>
                    <w:autoSpaceDN w:val="0"/>
                    <w:adjustRightInd w:val="0"/>
                    <w:jc w:val="center"/>
                    <w:rPr>
                      <w:kern w:val="24"/>
                      <w:szCs w:val="21"/>
                      <w:u w:val="single"/>
                    </w:rPr>
                  </w:pPr>
                  <w:r>
                    <w:rPr>
                      <w:rFonts w:hint="eastAsia"/>
                      <w:kern w:val="24"/>
                      <w:szCs w:val="21"/>
                      <w:u w:val="single"/>
                    </w:rPr>
                    <w:t>用于污染物接收</w:t>
                  </w:r>
                </w:p>
              </w:tc>
              <w:tc>
                <w:tcPr>
                  <w:tcW w:w="1530" w:type="dxa"/>
                  <w:vMerge w:val="restart"/>
                  <w:tcBorders>
                    <w:tl2br w:val="nil"/>
                    <w:tr2bl w:val="nil"/>
                  </w:tcBorders>
                  <w:noWrap/>
                  <w:vAlign w:val="center"/>
                </w:tcPr>
                <w:p>
                  <w:pPr>
                    <w:autoSpaceDE w:val="0"/>
                    <w:autoSpaceDN w:val="0"/>
                    <w:adjustRightInd w:val="0"/>
                    <w:jc w:val="center"/>
                    <w:rPr>
                      <w:kern w:val="24"/>
                      <w:szCs w:val="21"/>
                      <w:u w:val="single"/>
                    </w:rPr>
                  </w:pPr>
                  <w:r>
                    <w:rPr>
                      <w:rFonts w:hint="eastAsia"/>
                      <w:kern w:val="24"/>
                      <w:szCs w:val="21"/>
                      <w:u w:val="single"/>
                    </w:rPr>
                    <w:t>年收集生活污水6000吨，年收含油废水6000吨（含油废水分离后废机油400吨），生活垃圾年收集300吨、年收集废机油200吨</w:t>
                  </w:r>
                </w:p>
              </w:tc>
              <w:tc>
                <w:tcPr>
                  <w:tcW w:w="1589" w:type="dxa"/>
                  <w:tcBorders>
                    <w:tl2br w:val="nil"/>
                    <w:tr2bl w:val="nil"/>
                  </w:tcBorders>
                  <w:noWrap/>
                  <w:vAlign w:val="center"/>
                </w:tcPr>
                <w:p>
                  <w:pPr>
                    <w:autoSpaceDE w:val="0"/>
                    <w:autoSpaceDN w:val="0"/>
                    <w:adjustRightInd w:val="0"/>
                    <w:jc w:val="center"/>
                    <w:rPr>
                      <w:kern w:val="24"/>
                      <w:szCs w:val="21"/>
                      <w:u w:val="single"/>
                    </w:rPr>
                  </w:pPr>
                  <w:r>
                    <w:rPr>
                      <w:rFonts w:hint="eastAsia"/>
                      <w:kern w:val="24"/>
                      <w:szCs w:val="21"/>
                      <w:u w:val="single"/>
                    </w:rPr>
                    <w:t>已建设的船舶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22" w:type="dxa"/>
                  <w:vMerge w:val="continue"/>
                  <w:tcBorders>
                    <w:tl2br w:val="nil"/>
                    <w:tr2bl w:val="nil"/>
                  </w:tcBorders>
                  <w:noWrap/>
                  <w:vAlign w:val="center"/>
                </w:tcPr>
                <w:p>
                  <w:pPr>
                    <w:jc w:val="center"/>
                    <w:rPr>
                      <w:szCs w:val="21"/>
                      <w:u w:val="single"/>
                    </w:rPr>
                  </w:pPr>
                </w:p>
              </w:tc>
              <w:tc>
                <w:tcPr>
                  <w:tcW w:w="529" w:type="dxa"/>
                  <w:vMerge w:val="continue"/>
                  <w:tcBorders>
                    <w:tl2br w:val="nil"/>
                    <w:tr2bl w:val="nil"/>
                  </w:tcBorders>
                  <w:noWrap/>
                  <w:vAlign w:val="center"/>
                </w:tcPr>
                <w:p>
                  <w:pPr>
                    <w:autoSpaceDE w:val="0"/>
                    <w:autoSpaceDN w:val="0"/>
                    <w:adjustRightInd w:val="0"/>
                    <w:jc w:val="center"/>
                    <w:rPr>
                      <w:kern w:val="24"/>
                      <w:szCs w:val="21"/>
                      <w:u w:val="single"/>
                    </w:rPr>
                  </w:pPr>
                </w:p>
              </w:tc>
              <w:tc>
                <w:tcPr>
                  <w:tcW w:w="1538" w:type="dxa"/>
                  <w:tcBorders>
                    <w:tl2br w:val="nil"/>
                    <w:tr2bl w:val="nil"/>
                  </w:tcBorders>
                  <w:noWrap/>
                  <w:vAlign w:val="center"/>
                </w:tcPr>
                <w:p>
                  <w:pPr>
                    <w:autoSpaceDE w:val="0"/>
                    <w:autoSpaceDN w:val="0"/>
                    <w:adjustRightInd w:val="0"/>
                    <w:jc w:val="center"/>
                    <w:rPr>
                      <w:kern w:val="24"/>
                      <w:szCs w:val="21"/>
                      <w:u w:val="single"/>
                    </w:rPr>
                  </w:pPr>
                  <w:r>
                    <w:rPr>
                      <w:rFonts w:hint="eastAsia"/>
                      <w:kern w:val="24"/>
                      <w:szCs w:val="21"/>
                      <w:u w:val="single"/>
                    </w:rPr>
                    <w:t>湘益阳机1219</w:t>
                  </w:r>
                </w:p>
              </w:tc>
              <w:tc>
                <w:tcPr>
                  <w:tcW w:w="1850" w:type="dxa"/>
                  <w:tcBorders>
                    <w:tl2br w:val="nil"/>
                    <w:tr2bl w:val="nil"/>
                  </w:tcBorders>
                  <w:noWrap/>
                  <w:vAlign w:val="center"/>
                </w:tcPr>
                <w:p>
                  <w:pPr>
                    <w:autoSpaceDE w:val="0"/>
                    <w:autoSpaceDN w:val="0"/>
                    <w:adjustRightInd w:val="0"/>
                    <w:jc w:val="center"/>
                    <w:rPr>
                      <w:kern w:val="24"/>
                      <w:szCs w:val="21"/>
                      <w:u w:val="single"/>
                    </w:rPr>
                  </w:pPr>
                  <w:r>
                    <w:rPr>
                      <w:rFonts w:hint="eastAsia"/>
                      <w:kern w:val="24"/>
                      <w:szCs w:val="21"/>
                      <w:u w:val="single"/>
                    </w:rPr>
                    <w:t>用于安装设备油水分离器</w:t>
                  </w:r>
                </w:p>
              </w:tc>
              <w:tc>
                <w:tcPr>
                  <w:tcW w:w="1530" w:type="dxa"/>
                  <w:vMerge w:val="continue"/>
                  <w:tcBorders>
                    <w:tl2br w:val="nil"/>
                    <w:tr2bl w:val="nil"/>
                  </w:tcBorders>
                  <w:noWrap/>
                  <w:vAlign w:val="center"/>
                </w:tcPr>
                <w:p>
                  <w:pPr>
                    <w:autoSpaceDE w:val="0"/>
                    <w:autoSpaceDN w:val="0"/>
                    <w:adjustRightInd w:val="0"/>
                    <w:jc w:val="center"/>
                    <w:rPr>
                      <w:kern w:val="24"/>
                      <w:szCs w:val="21"/>
                      <w:u w:val="single"/>
                    </w:rPr>
                  </w:pPr>
                </w:p>
              </w:tc>
              <w:tc>
                <w:tcPr>
                  <w:tcW w:w="1589" w:type="dxa"/>
                  <w:tcBorders>
                    <w:tl2br w:val="nil"/>
                    <w:tr2bl w:val="nil"/>
                  </w:tcBorders>
                  <w:noWrap/>
                  <w:vAlign w:val="center"/>
                </w:tcPr>
                <w:p>
                  <w:pPr>
                    <w:autoSpaceDE w:val="0"/>
                    <w:autoSpaceDN w:val="0"/>
                    <w:adjustRightInd w:val="0"/>
                    <w:jc w:val="center"/>
                    <w:rPr>
                      <w:kern w:val="24"/>
                      <w:szCs w:val="21"/>
                      <w:u w:val="single"/>
                    </w:rPr>
                  </w:pPr>
                  <w:r>
                    <w:rPr>
                      <w:rFonts w:hint="eastAsia"/>
                      <w:kern w:val="24"/>
                      <w:szCs w:val="21"/>
                      <w:u w:val="single"/>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822" w:type="dxa"/>
                  <w:vMerge w:val="continue"/>
                  <w:tcBorders>
                    <w:tl2br w:val="nil"/>
                    <w:tr2bl w:val="nil"/>
                  </w:tcBorders>
                  <w:noWrap/>
                  <w:vAlign w:val="center"/>
                </w:tcPr>
                <w:p>
                  <w:pPr>
                    <w:jc w:val="center"/>
                    <w:rPr>
                      <w:szCs w:val="21"/>
                      <w:u w:val="single"/>
                    </w:rPr>
                  </w:pPr>
                </w:p>
              </w:tc>
              <w:tc>
                <w:tcPr>
                  <w:tcW w:w="529" w:type="dxa"/>
                  <w:vMerge w:val="continue"/>
                  <w:tcBorders>
                    <w:tl2br w:val="nil"/>
                    <w:tr2bl w:val="nil"/>
                  </w:tcBorders>
                  <w:noWrap/>
                  <w:vAlign w:val="center"/>
                </w:tcPr>
                <w:p>
                  <w:pPr>
                    <w:autoSpaceDE w:val="0"/>
                    <w:autoSpaceDN w:val="0"/>
                    <w:adjustRightInd w:val="0"/>
                    <w:jc w:val="center"/>
                    <w:rPr>
                      <w:kern w:val="24"/>
                      <w:szCs w:val="21"/>
                      <w:u w:val="single"/>
                    </w:rPr>
                  </w:pPr>
                </w:p>
              </w:tc>
              <w:tc>
                <w:tcPr>
                  <w:tcW w:w="1538" w:type="dxa"/>
                  <w:tcBorders>
                    <w:tl2br w:val="nil"/>
                    <w:tr2bl w:val="nil"/>
                  </w:tcBorders>
                  <w:noWrap/>
                  <w:vAlign w:val="center"/>
                </w:tcPr>
                <w:p>
                  <w:pPr>
                    <w:autoSpaceDE w:val="0"/>
                    <w:autoSpaceDN w:val="0"/>
                    <w:adjustRightInd w:val="0"/>
                    <w:jc w:val="center"/>
                    <w:rPr>
                      <w:kern w:val="24"/>
                      <w:szCs w:val="21"/>
                      <w:u w:val="single"/>
                    </w:rPr>
                  </w:pPr>
                  <w:r>
                    <w:rPr>
                      <w:rFonts w:hint="eastAsia"/>
                      <w:kern w:val="24"/>
                      <w:szCs w:val="21"/>
                      <w:u w:val="single"/>
                    </w:rPr>
                    <w:t>清源2号</w:t>
                  </w:r>
                </w:p>
              </w:tc>
              <w:tc>
                <w:tcPr>
                  <w:tcW w:w="1850" w:type="dxa"/>
                  <w:tcBorders>
                    <w:tl2br w:val="nil"/>
                    <w:tr2bl w:val="nil"/>
                  </w:tcBorders>
                  <w:noWrap/>
                  <w:vAlign w:val="center"/>
                </w:tcPr>
                <w:p>
                  <w:pPr>
                    <w:autoSpaceDE w:val="0"/>
                    <w:autoSpaceDN w:val="0"/>
                    <w:adjustRightInd w:val="0"/>
                    <w:jc w:val="center"/>
                    <w:rPr>
                      <w:kern w:val="24"/>
                      <w:szCs w:val="21"/>
                      <w:u w:val="single"/>
                    </w:rPr>
                  </w:pPr>
                  <w:r>
                    <w:rPr>
                      <w:rFonts w:hint="eastAsia"/>
                      <w:kern w:val="24"/>
                      <w:szCs w:val="21"/>
                      <w:u w:val="single"/>
                    </w:rPr>
                    <w:t>用于污染物接收</w:t>
                  </w:r>
                </w:p>
              </w:tc>
              <w:tc>
                <w:tcPr>
                  <w:tcW w:w="1530" w:type="dxa"/>
                  <w:vMerge w:val="continue"/>
                  <w:tcBorders>
                    <w:tl2br w:val="nil"/>
                    <w:tr2bl w:val="nil"/>
                  </w:tcBorders>
                  <w:noWrap/>
                  <w:vAlign w:val="center"/>
                </w:tcPr>
                <w:p>
                  <w:pPr>
                    <w:autoSpaceDE w:val="0"/>
                    <w:autoSpaceDN w:val="0"/>
                    <w:adjustRightInd w:val="0"/>
                    <w:jc w:val="center"/>
                    <w:rPr>
                      <w:kern w:val="24"/>
                      <w:szCs w:val="21"/>
                      <w:u w:val="single"/>
                    </w:rPr>
                  </w:pPr>
                </w:p>
              </w:tc>
              <w:tc>
                <w:tcPr>
                  <w:tcW w:w="1589" w:type="dxa"/>
                  <w:tcBorders>
                    <w:tl2br w:val="nil"/>
                    <w:tr2bl w:val="nil"/>
                  </w:tcBorders>
                  <w:noWrap/>
                  <w:vAlign w:val="center"/>
                </w:tcPr>
                <w:p>
                  <w:pPr>
                    <w:autoSpaceDE w:val="0"/>
                    <w:autoSpaceDN w:val="0"/>
                    <w:adjustRightInd w:val="0"/>
                    <w:jc w:val="center"/>
                    <w:rPr>
                      <w:kern w:val="24"/>
                      <w:szCs w:val="21"/>
                      <w:u w:val="single"/>
                    </w:rPr>
                  </w:pPr>
                  <w:r>
                    <w:rPr>
                      <w:rFonts w:hint="eastAsia"/>
                      <w:kern w:val="24"/>
                      <w:szCs w:val="21"/>
                      <w:u w:val="single"/>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22" w:type="dxa"/>
                  <w:vMerge w:val="continue"/>
                  <w:tcBorders>
                    <w:tl2br w:val="nil"/>
                    <w:tr2bl w:val="nil"/>
                  </w:tcBorders>
                  <w:noWrap/>
                  <w:vAlign w:val="center"/>
                </w:tcPr>
                <w:p>
                  <w:pPr>
                    <w:jc w:val="center"/>
                    <w:rPr>
                      <w:szCs w:val="21"/>
                      <w:u w:val="single"/>
                    </w:rPr>
                  </w:pPr>
                </w:p>
              </w:tc>
              <w:tc>
                <w:tcPr>
                  <w:tcW w:w="529" w:type="dxa"/>
                  <w:vMerge w:val="continue"/>
                  <w:tcBorders>
                    <w:tl2br w:val="nil"/>
                    <w:tr2bl w:val="nil"/>
                  </w:tcBorders>
                  <w:noWrap/>
                  <w:vAlign w:val="center"/>
                </w:tcPr>
                <w:p>
                  <w:pPr>
                    <w:autoSpaceDE w:val="0"/>
                    <w:autoSpaceDN w:val="0"/>
                    <w:adjustRightInd w:val="0"/>
                    <w:jc w:val="center"/>
                    <w:rPr>
                      <w:kern w:val="24"/>
                      <w:szCs w:val="21"/>
                      <w:u w:val="single"/>
                    </w:rPr>
                  </w:pPr>
                </w:p>
              </w:tc>
              <w:tc>
                <w:tcPr>
                  <w:tcW w:w="1538" w:type="dxa"/>
                  <w:tcBorders>
                    <w:tl2br w:val="nil"/>
                    <w:tr2bl w:val="nil"/>
                  </w:tcBorders>
                  <w:noWrap/>
                  <w:vAlign w:val="center"/>
                </w:tcPr>
                <w:p>
                  <w:pPr>
                    <w:autoSpaceDE w:val="0"/>
                    <w:autoSpaceDN w:val="0"/>
                    <w:adjustRightInd w:val="0"/>
                    <w:jc w:val="center"/>
                    <w:rPr>
                      <w:kern w:val="24"/>
                      <w:szCs w:val="21"/>
                      <w:u w:val="single"/>
                    </w:rPr>
                  </w:pPr>
                  <w:r>
                    <w:rPr>
                      <w:rFonts w:hint="eastAsia"/>
                      <w:kern w:val="24"/>
                      <w:szCs w:val="21"/>
                      <w:u w:val="single"/>
                    </w:rPr>
                    <w:t>交通6号</w:t>
                  </w:r>
                </w:p>
              </w:tc>
              <w:tc>
                <w:tcPr>
                  <w:tcW w:w="1850" w:type="dxa"/>
                  <w:tcBorders>
                    <w:tl2br w:val="nil"/>
                    <w:tr2bl w:val="nil"/>
                  </w:tcBorders>
                  <w:noWrap/>
                  <w:vAlign w:val="center"/>
                </w:tcPr>
                <w:p>
                  <w:pPr>
                    <w:autoSpaceDE w:val="0"/>
                    <w:autoSpaceDN w:val="0"/>
                    <w:adjustRightInd w:val="0"/>
                    <w:jc w:val="center"/>
                    <w:rPr>
                      <w:kern w:val="24"/>
                      <w:szCs w:val="21"/>
                      <w:u w:val="single"/>
                    </w:rPr>
                  </w:pPr>
                  <w:r>
                    <w:rPr>
                      <w:rFonts w:hint="eastAsia"/>
                      <w:kern w:val="24"/>
                      <w:szCs w:val="21"/>
                      <w:u w:val="single"/>
                    </w:rPr>
                    <w:t>用于污染物接收</w:t>
                  </w:r>
                </w:p>
              </w:tc>
              <w:tc>
                <w:tcPr>
                  <w:tcW w:w="1530" w:type="dxa"/>
                  <w:vMerge w:val="continue"/>
                  <w:tcBorders>
                    <w:tl2br w:val="nil"/>
                    <w:tr2bl w:val="nil"/>
                  </w:tcBorders>
                  <w:noWrap/>
                  <w:vAlign w:val="center"/>
                </w:tcPr>
                <w:p>
                  <w:pPr>
                    <w:autoSpaceDE w:val="0"/>
                    <w:autoSpaceDN w:val="0"/>
                    <w:adjustRightInd w:val="0"/>
                    <w:jc w:val="center"/>
                    <w:rPr>
                      <w:kern w:val="24"/>
                      <w:szCs w:val="21"/>
                      <w:u w:val="single"/>
                    </w:rPr>
                  </w:pPr>
                </w:p>
              </w:tc>
              <w:tc>
                <w:tcPr>
                  <w:tcW w:w="1589" w:type="dxa"/>
                  <w:tcBorders>
                    <w:tl2br w:val="nil"/>
                    <w:tr2bl w:val="nil"/>
                  </w:tcBorders>
                  <w:noWrap/>
                  <w:vAlign w:val="center"/>
                </w:tcPr>
                <w:p>
                  <w:pPr>
                    <w:autoSpaceDE w:val="0"/>
                    <w:autoSpaceDN w:val="0"/>
                    <w:adjustRightInd w:val="0"/>
                    <w:jc w:val="center"/>
                    <w:rPr>
                      <w:kern w:val="24"/>
                      <w:szCs w:val="21"/>
                      <w:u w:val="single"/>
                    </w:rPr>
                  </w:pPr>
                  <w:r>
                    <w:rPr>
                      <w:rFonts w:hint="eastAsia"/>
                      <w:kern w:val="24"/>
                      <w:szCs w:val="21"/>
                      <w:u w:val="single"/>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822" w:type="dxa"/>
                  <w:vMerge w:val="continue"/>
                  <w:tcBorders>
                    <w:tl2br w:val="nil"/>
                    <w:tr2bl w:val="nil"/>
                  </w:tcBorders>
                  <w:noWrap/>
                  <w:vAlign w:val="center"/>
                </w:tcPr>
                <w:p>
                  <w:pPr>
                    <w:jc w:val="center"/>
                    <w:rPr>
                      <w:szCs w:val="21"/>
                      <w:u w:val="single"/>
                    </w:rPr>
                  </w:pPr>
                </w:p>
              </w:tc>
              <w:tc>
                <w:tcPr>
                  <w:tcW w:w="529" w:type="dxa"/>
                  <w:vMerge w:val="continue"/>
                  <w:tcBorders>
                    <w:tl2br w:val="nil"/>
                    <w:tr2bl w:val="nil"/>
                  </w:tcBorders>
                  <w:noWrap/>
                  <w:vAlign w:val="center"/>
                </w:tcPr>
                <w:p>
                  <w:pPr>
                    <w:autoSpaceDE w:val="0"/>
                    <w:autoSpaceDN w:val="0"/>
                    <w:adjustRightInd w:val="0"/>
                    <w:jc w:val="center"/>
                    <w:rPr>
                      <w:kern w:val="24"/>
                      <w:szCs w:val="21"/>
                      <w:u w:val="single"/>
                    </w:rPr>
                  </w:pPr>
                </w:p>
              </w:tc>
              <w:tc>
                <w:tcPr>
                  <w:tcW w:w="1538" w:type="dxa"/>
                  <w:tcBorders>
                    <w:tl2br w:val="nil"/>
                    <w:tr2bl w:val="nil"/>
                  </w:tcBorders>
                  <w:noWrap/>
                  <w:vAlign w:val="center"/>
                </w:tcPr>
                <w:p>
                  <w:pPr>
                    <w:autoSpaceDE w:val="0"/>
                    <w:autoSpaceDN w:val="0"/>
                    <w:adjustRightInd w:val="0"/>
                    <w:jc w:val="center"/>
                    <w:rPr>
                      <w:kern w:val="24"/>
                      <w:szCs w:val="21"/>
                      <w:u w:val="single"/>
                    </w:rPr>
                  </w:pPr>
                  <w:r>
                    <w:rPr>
                      <w:rFonts w:hint="eastAsia"/>
                      <w:kern w:val="24"/>
                      <w:szCs w:val="21"/>
                      <w:u w:val="single"/>
                    </w:rPr>
                    <w:t>应急定船</w:t>
                  </w:r>
                </w:p>
              </w:tc>
              <w:tc>
                <w:tcPr>
                  <w:tcW w:w="1850" w:type="dxa"/>
                  <w:tcBorders>
                    <w:tl2br w:val="nil"/>
                    <w:tr2bl w:val="nil"/>
                  </w:tcBorders>
                  <w:noWrap/>
                  <w:vAlign w:val="center"/>
                </w:tcPr>
                <w:p>
                  <w:pPr>
                    <w:autoSpaceDE w:val="0"/>
                    <w:autoSpaceDN w:val="0"/>
                    <w:adjustRightInd w:val="0"/>
                    <w:jc w:val="center"/>
                    <w:rPr>
                      <w:kern w:val="24"/>
                      <w:szCs w:val="21"/>
                      <w:u w:val="single"/>
                    </w:rPr>
                  </w:pPr>
                  <w:r>
                    <w:rPr>
                      <w:rFonts w:hint="eastAsia"/>
                      <w:kern w:val="24"/>
                      <w:szCs w:val="21"/>
                      <w:u w:val="single"/>
                    </w:rPr>
                    <w:t>用于应急贮存</w:t>
                  </w:r>
                </w:p>
              </w:tc>
              <w:tc>
                <w:tcPr>
                  <w:tcW w:w="1530" w:type="dxa"/>
                  <w:tcBorders>
                    <w:tl2br w:val="nil"/>
                    <w:tr2bl w:val="nil"/>
                  </w:tcBorders>
                  <w:noWrap/>
                  <w:vAlign w:val="center"/>
                </w:tcPr>
                <w:p>
                  <w:pPr>
                    <w:autoSpaceDE w:val="0"/>
                    <w:autoSpaceDN w:val="0"/>
                    <w:adjustRightInd w:val="0"/>
                    <w:jc w:val="center"/>
                    <w:rPr>
                      <w:kern w:val="24"/>
                      <w:szCs w:val="21"/>
                      <w:u w:val="single"/>
                    </w:rPr>
                  </w:pPr>
                  <w:r>
                    <w:rPr>
                      <w:rFonts w:hint="eastAsia"/>
                      <w:kern w:val="24"/>
                      <w:szCs w:val="21"/>
                      <w:u w:val="single"/>
                    </w:rPr>
                    <w:t>2个贮存油罐</w:t>
                  </w:r>
                </w:p>
              </w:tc>
              <w:tc>
                <w:tcPr>
                  <w:tcW w:w="1589" w:type="dxa"/>
                  <w:tcBorders>
                    <w:tl2br w:val="nil"/>
                    <w:tr2bl w:val="nil"/>
                  </w:tcBorders>
                  <w:noWrap/>
                  <w:vAlign w:val="center"/>
                </w:tcPr>
                <w:p>
                  <w:pPr>
                    <w:autoSpaceDE w:val="0"/>
                    <w:autoSpaceDN w:val="0"/>
                    <w:adjustRightInd w:val="0"/>
                    <w:jc w:val="center"/>
                    <w:rPr>
                      <w:kern w:val="24"/>
                      <w:szCs w:val="21"/>
                      <w:u w:val="single"/>
                    </w:rPr>
                  </w:pPr>
                  <w:r>
                    <w:rPr>
                      <w:rFonts w:hint="eastAsia"/>
                      <w:kern w:val="24"/>
                      <w:szCs w:val="21"/>
                      <w:u w:val="single"/>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822" w:type="dxa"/>
                  <w:vMerge w:val="restart"/>
                  <w:tcBorders>
                    <w:tl2br w:val="nil"/>
                    <w:tr2bl w:val="nil"/>
                  </w:tcBorders>
                  <w:noWrap/>
                  <w:vAlign w:val="center"/>
                </w:tcPr>
                <w:p>
                  <w:pPr>
                    <w:autoSpaceDE w:val="0"/>
                    <w:autoSpaceDN w:val="0"/>
                    <w:adjustRightInd w:val="0"/>
                    <w:jc w:val="center"/>
                    <w:rPr>
                      <w:kern w:val="24"/>
                      <w:szCs w:val="21"/>
                      <w:u w:val="single"/>
                    </w:rPr>
                  </w:pPr>
                  <w:r>
                    <w:rPr>
                      <w:kern w:val="24"/>
                      <w:szCs w:val="21"/>
                      <w:u w:val="single"/>
                    </w:rPr>
                    <w:t>辅助工程</w:t>
                  </w:r>
                </w:p>
              </w:tc>
              <w:tc>
                <w:tcPr>
                  <w:tcW w:w="5447" w:type="dxa"/>
                  <w:gridSpan w:val="4"/>
                  <w:tcBorders>
                    <w:tl2br w:val="nil"/>
                    <w:tr2bl w:val="nil"/>
                  </w:tcBorders>
                  <w:noWrap/>
                  <w:vAlign w:val="center"/>
                </w:tcPr>
                <w:p>
                  <w:pPr>
                    <w:autoSpaceDE w:val="0"/>
                    <w:autoSpaceDN w:val="0"/>
                    <w:adjustRightInd w:val="0"/>
                    <w:jc w:val="center"/>
                    <w:rPr>
                      <w:kern w:val="24"/>
                      <w:szCs w:val="21"/>
                      <w:u w:val="single"/>
                    </w:rPr>
                  </w:pPr>
                  <w:r>
                    <w:rPr>
                      <w:rFonts w:hint="eastAsia"/>
                      <w:kern w:val="24"/>
                      <w:szCs w:val="21"/>
                      <w:u w:val="single"/>
                    </w:rPr>
                    <w:t>回收范围：收集重点水域为东洞庭湖，北至扁山、南至湘阴铁角嘴船厂、西至东湖码头。</w:t>
                  </w:r>
                </w:p>
              </w:tc>
              <w:tc>
                <w:tcPr>
                  <w:tcW w:w="1589" w:type="dxa"/>
                  <w:tcBorders>
                    <w:tl2br w:val="nil"/>
                    <w:tr2bl w:val="nil"/>
                  </w:tcBorders>
                  <w:noWrap/>
                  <w:vAlign w:val="center"/>
                </w:tcPr>
                <w:p>
                  <w:pPr>
                    <w:autoSpaceDE w:val="0"/>
                    <w:autoSpaceDN w:val="0"/>
                    <w:adjustRightInd w:val="0"/>
                    <w:jc w:val="center"/>
                    <w:rPr>
                      <w:kern w:val="24"/>
                      <w:szCs w:val="21"/>
                      <w:u w:val="single"/>
                    </w:rPr>
                  </w:pPr>
                  <w:r>
                    <w:rPr>
                      <w:rFonts w:hint="eastAsia"/>
                      <w:kern w:val="24"/>
                      <w:szCs w:val="21"/>
                      <w:u w:val="single"/>
                    </w:rPr>
                    <w:t>依托现有回收范围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822" w:type="dxa"/>
                  <w:vMerge w:val="continue"/>
                  <w:tcBorders>
                    <w:tl2br w:val="nil"/>
                    <w:tr2bl w:val="nil"/>
                  </w:tcBorders>
                  <w:noWrap/>
                  <w:vAlign w:val="center"/>
                </w:tcPr>
                <w:p>
                  <w:pPr>
                    <w:autoSpaceDE w:val="0"/>
                    <w:autoSpaceDN w:val="0"/>
                    <w:adjustRightInd w:val="0"/>
                    <w:jc w:val="center"/>
                    <w:rPr>
                      <w:kern w:val="24"/>
                      <w:szCs w:val="21"/>
                      <w:u w:val="single"/>
                    </w:rPr>
                  </w:pPr>
                </w:p>
              </w:tc>
              <w:tc>
                <w:tcPr>
                  <w:tcW w:w="5447" w:type="dxa"/>
                  <w:gridSpan w:val="4"/>
                  <w:tcBorders>
                    <w:tl2br w:val="nil"/>
                    <w:tr2bl w:val="nil"/>
                  </w:tcBorders>
                  <w:noWrap/>
                  <w:vAlign w:val="center"/>
                </w:tcPr>
                <w:p>
                  <w:pPr>
                    <w:autoSpaceDE w:val="0"/>
                    <w:autoSpaceDN w:val="0"/>
                    <w:adjustRightInd w:val="0"/>
                    <w:jc w:val="center"/>
                    <w:rPr>
                      <w:kern w:val="24"/>
                      <w:szCs w:val="21"/>
                      <w:u w:val="single"/>
                    </w:rPr>
                  </w:pPr>
                  <w:r>
                    <w:rPr>
                      <w:rFonts w:hint="eastAsia"/>
                      <w:kern w:val="24"/>
                      <w:szCs w:val="21"/>
                      <w:u w:val="single"/>
                    </w:rPr>
                    <w:t>岸上工程：主要为应急仓库和员工宿舍楼，占地面积为208平方米，共两层</w:t>
                  </w:r>
                </w:p>
              </w:tc>
              <w:tc>
                <w:tcPr>
                  <w:tcW w:w="1589" w:type="dxa"/>
                  <w:tcBorders>
                    <w:tl2br w:val="nil"/>
                    <w:tr2bl w:val="nil"/>
                  </w:tcBorders>
                  <w:noWrap/>
                  <w:vAlign w:val="center"/>
                </w:tcPr>
                <w:p>
                  <w:pPr>
                    <w:autoSpaceDE w:val="0"/>
                    <w:autoSpaceDN w:val="0"/>
                    <w:adjustRightInd w:val="0"/>
                    <w:jc w:val="center"/>
                    <w:rPr>
                      <w:kern w:val="24"/>
                      <w:szCs w:val="21"/>
                      <w:u w:val="single"/>
                    </w:rPr>
                  </w:pPr>
                  <w:r>
                    <w:rPr>
                      <w:rFonts w:hint="eastAsia"/>
                      <w:kern w:val="24"/>
                      <w:szCs w:val="21"/>
                      <w:u w:val="single"/>
                    </w:rPr>
                    <w:t>依托现有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31" w:hRule="atLeast"/>
                <w:jc w:val="center"/>
              </w:trPr>
              <w:tc>
                <w:tcPr>
                  <w:tcW w:w="822" w:type="dxa"/>
                  <w:vMerge w:val="continue"/>
                  <w:tcBorders>
                    <w:tl2br w:val="nil"/>
                    <w:tr2bl w:val="nil"/>
                  </w:tcBorders>
                  <w:noWrap/>
                  <w:vAlign w:val="center"/>
                </w:tcPr>
                <w:p>
                  <w:pPr>
                    <w:autoSpaceDE w:val="0"/>
                    <w:autoSpaceDN w:val="0"/>
                    <w:adjustRightInd w:val="0"/>
                    <w:jc w:val="center"/>
                    <w:rPr>
                      <w:kern w:val="24"/>
                      <w:szCs w:val="21"/>
                      <w:u w:val="single"/>
                    </w:rPr>
                  </w:pPr>
                </w:p>
              </w:tc>
              <w:tc>
                <w:tcPr>
                  <w:tcW w:w="5447" w:type="dxa"/>
                  <w:gridSpan w:val="4"/>
                  <w:tcBorders>
                    <w:tl2br w:val="nil"/>
                    <w:tr2bl w:val="nil"/>
                  </w:tcBorders>
                  <w:noWrap/>
                  <w:vAlign w:val="center"/>
                </w:tcPr>
                <w:p>
                  <w:pPr>
                    <w:autoSpaceDE w:val="0"/>
                    <w:autoSpaceDN w:val="0"/>
                    <w:adjustRightInd w:val="0"/>
                    <w:jc w:val="center"/>
                    <w:rPr>
                      <w:szCs w:val="21"/>
                      <w:u w:val="single"/>
                    </w:rPr>
                  </w:pPr>
                  <w:r>
                    <w:rPr>
                      <w:rFonts w:hint="eastAsia"/>
                      <w:szCs w:val="21"/>
                      <w:u w:val="single"/>
                    </w:rPr>
                    <w:t>转运工程：生活垃圾：垃圾采用塑料垃圾箱从船上转运至垃圾暂存区由岳阳缘立清洁服务有限公司转运交由岳阳县市容环境卫生服务中心处理。</w:t>
                  </w:r>
                  <w:r>
                    <w:rPr>
                      <w:rFonts w:hint="eastAsia"/>
                      <w:szCs w:val="21"/>
                      <w:u w:val="single"/>
                    </w:rPr>
                    <w:br w:type="textWrapping"/>
                  </w:r>
                  <w:r>
                    <w:rPr>
                      <w:rFonts w:hint="eastAsia"/>
                      <w:szCs w:val="21"/>
                      <w:u w:val="single"/>
                    </w:rPr>
                    <w:t>生活污水：生活污水、油水分离处理后的废水经船舱收集后交由岳阳缘立清洁服务有限公司转运交由葛洲坝水务（岳阳）有限公司（岳阳县污水处理厂）处理。</w:t>
                  </w:r>
                </w:p>
                <w:p>
                  <w:pPr>
                    <w:pStyle w:val="23"/>
                    <w:ind w:left="0" w:leftChars="0" w:firstLine="0" w:firstLineChars="0"/>
                    <w:jc w:val="center"/>
                    <w:rPr>
                      <w:szCs w:val="21"/>
                      <w:u w:val="single"/>
                    </w:rPr>
                  </w:pPr>
                  <w:r>
                    <w:rPr>
                      <w:rFonts w:hint="eastAsia"/>
                      <w:szCs w:val="21"/>
                      <w:u w:val="single"/>
                    </w:rPr>
                    <w:t>废机油：分离的废机油与收集的废机油一起收集后经临湘市湘北水陆物流有限公司转运交由远大（湖南）再生燃油股份有限公司处理</w:t>
                  </w:r>
                </w:p>
              </w:tc>
              <w:tc>
                <w:tcPr>
                  <w:tcW w:w="1589" w:type="dxa"/>
                  <w:tcBorders>
                    <w:tl2br w:val="nil"/>
                    <w:tr2bl w:val="nil"/>
                  </w:tcBorders>
                  <w:noWrap/>
                  <w:vAlign w:val="center"/>
                </w:tcPr>
                <w:p>
                  <w:pPr>
                    <w:pStyle w:val="23"/>
                    <w:ind w:left="0" w:leftChars="0" w:firstLine="0" w:firstLineChars="0"/>
                    <w:jc w:val="center"/>
                    <w:rPr>
                      <w:szCs w:val="21"/>
                      <w:u w:val="single"/>
                    </w:rPr>
                  </w:pPr>
                  <w:r>
                    <w:rPr>
                      <w:rFonts w:hint="eastAsia"/>
                      <w:szCs w:val="21"/>
                      <w:u w:val="single"/>
                    </w:rPr>
                    <w:t>项目废机油依托现有的转运工程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822" w:type="dxa"/>
                  <w:tcBorders>
                    <w:tl2br w:val="nil"/>
                    <w:tr2bl w:val="nil"/>
                  </w:tcBorders>
                  <w:noWrap/>
                  <w:vAlign w:val="center"/>
                </w:tcPr>
                <w:p>
                  <w:pPr>
                    <w:autoSpaceDE w:val="0"/>
                    <w:autoSpaceDN w:val="0"/>
                    <w:adjustRightInd w:val="0"/>
                    <w:jc w:val="center"/>
                    <w:rPr>
                      <w:kern w:val="24"/>
                      <w:szCs w:val="21"/>
                      <w:u w:val="single"/>
                    </w:rPr>
                  </w:pPr>
                  <w:r>
                    <w:rPr>
                      <w:rFonts w:hint="eastAsia"/>
                      <w:kern w:val="24"/>
                      <w:szCs w:val="21"/>
                      <w:u w:val="single"/>
                    </w:rPr>
                    <w:t>公用工程</w:t>
                  </w:r>
                </w:p>
              </w:tc>
              <w:tc>
                <w:tcPr>
                  <w:tcW w:w="5447" w:type="dxa"/>
                  <w:gridSpan w:val="4"/>
                  <w:tcBorders>
                    <w:tl2br w:val="nil"/>
                    <w:tr2bl w:val="nil"/>
                  </w:tcBorders>
                  <w:noWrap/>
                  <w:vAlign w:val="center"/>
                </w:tcPr>
                <w:p>
                  <w:pPr>
                    <w:autoSpaceDE w:val="0"/>
                    <w:autoSpaceDN w:val="0"/>
                    <w:adjustRightInd w:val="0"/>
                    <w:jc w:val="center"/>
                    <w:rPr>
                      <w:kern w:val="24"/>
                      <w:szCs w:val="21"/>
                      <w:u w:val="single"/>
                    </w:rPr>
                  </w:pPr>
                  <w:r>
                    <w:rPr>
                      <w:rFonts w:hint="eastAsia"/>
                      <w:kern w:val="24"/>
                      <w:szCs w:val="21"/>
                      <w:u w:val="single"/>
                    </w:rPr>
                    <w:t>船舶运行采取柴油发电机，油水分离设备采用岸电，停电时采用柴油发电机</w:t>
                  </w:r>
                </w:p>
              </w:tc>
              <w:tc>
                <w:tcPr>
                  <w:tcW w:w="1589" w:type="dxa"/>
                  <w:tcBorders>
                    <w:tl2br w:val="nil"/>
                    <w:tr2bl w:val="nil"/>
                  </w:tcBorders>
                  <w:noWrap/>
                  <w:vAlign w:val="center"/>
                </w:tcPr>
                <w:p>
                  <w:pPr>
                    <w:autoSpaceDE w:val="0"/>
                    <w:autoSpaceDN w:val="0"/>
                    <w:adjustRightInd w:val="0"/>
                    <w:jc w:val="center"/>
                    <w:rPr>
                      <w:kern w:val="24"/>
                      <w:szCs w:val="21"/>
                      <w:u w:val="single"/>
                    </w:rPr>
                  </w:pPr>
                  <w:r>
                    <w:rPr>
                      <w:rFonts w:hint="eastAsia"/>
                      <w:kern w:val="24"/>
                      <w:szCs w:val="21"/>
                      <w:u w:val="single"/>
                    </w:rPr>
                    <w:t>将油水分离设备用电经原有采用柴油发电机发电改为岸电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87" w:hRule="atLeast"/>
                <w:jc w:val="center"/>
              </w:trPr>
              <w:tc>
                <w:tcPr>
                  <w:tcW w:w="822" w:type="dxa"/>
                  <w:vMerge w:val="restart"/>
                  <w:tcBorders>
                    <w:tl2br w:val="nil"/>
                    <w:tr2bl w:val="nil"/>
                  </w:tcBorders>
                  <w:noWrap/>
                  <w:vAlign w:val="center"/>
                </w:tcPr>
                <w:p>
                  <w:pPr>
                    <w:autoSpaceDE w:val="0"/>
                    <w:autoSpaceDN w:val="0"/>
                    <w:adjustRightInd w:val="0"/>
                    <w:jc w:val="center"/>
                    <w:rPr>
                      <w:kern w:val="24"/>
                      <w:szCs w:val="21"/>
                      <w:u w:val="single"/>
                    </w:rPr>
                  </w:pPr>
                  <w:r>
                    <w:rPr>
                      <w:rFonts w:hint="eastAsia"/>
                      <w:kern w:val="24"/>
                      <w:szCs w:val="21"/>
                      <w:u w:val="single"/>
                    </w:rPr>
                    <w:t>环保工程</w:t>
                  </w:r>
                </w:p>
              </w:tc>
              <w:tc>
                <w:tcPr>
                  <w:tcW w:w="529" w:type="dxa"/>
                  <w:tcBorders>
                    <w:tl2br w:val="nil"/>
                    <w:tr2bl w:val="nil"/>
                  </w:tcBorders>
                  <w:noWrap/>
                  <w:vAlign w:val="center"/>
                </w:tcPr>
                <w:p>
                  <w:pPr>
                    <w:autoSpaceDE w:val="0"/>
                    <w:autoSpaceDN w:val="0"/>
                    <w:adjustRightInd w:val="0"/>
                    <w:jc w:val="center"/>
                    <w:rPr>
                      <w:kern w:val="24"/>
                      <w:szCs w:val="21"/>
                      <w:u w:val="single"/>
                    </w:rPr>
                  </w:pPr>
                  <w:r>
                    <w:rPr>
                      <w:rFonts w:hint="eastAsia"/>
                      <w:kern w:val="24"/>
                      <w:szCs w:val="21"/>
                      <w:u w:val="single"/>
                    </w:rPr>
                    <w:t>废水</w:t>
                  </w:r>
                </w:p>
              </w:tc>
              <w:tc>
                <w:tcPr>
                  <w:tcW w:w="4918" w:type="dxa"/>
                  <w:gridSpan w:val="3"/>
                  <w:tcBorders>
                    <w:tl2br w:val="nil"/>
                    <w:tr2bl w:val="nil"/>
                  </w:tcBorders>
                  <w:noWrap/>
                  <w:vAlign w:val="center"/>
                </w:tcPr>
                <w:p>
                  <w:pPr>
                    <w:autoSpaceDE w:val="0"/>
                    <w:autoSpaceDN w:val="0"/>
                    <w:adjustRightInd w:val="0"/>
                    <w:jc w:val="center"/>
                    <w:rPr>
                      <w:kern w:val="24"/>
                      <w:szCs w:val="21"/>
                      <w:u w:val="single"/>
                    </w:rPr>
                  </w:pPr>
                  <w:r>
                    <w:rPr>
                      <w:rFonts w:hint="eastAsia"/>
                      <w:kern w:val="24"/>
                      <w:szCs w:val="21"/>
                      <w:u w:val="single"/>
                    </w:rPr>
                    <w:t>主要为收集的生活污水、含油废水，生活污水、油水分离后的污水经船舱收集后由岳阳缘立清洁服务有限公司转运交由</w:t>
                  </w:r>
                  <w:r>
                    <w:rPr>
                      <w:rFonts w:hint="eastAsia"/>
                      <w:szCs w:val="21"/>
                      <w:u w:val="single"/>
                    </w:rPr>
                    <w:t>葛洲坝水务（岳阳）有限公司处理</w:t>
                  </w:r>
                </w:p>
              </w:tc>
              <w:tc>
                <w:tcPr>
                  <w:tcW w:w="1589" w:type="dxa"/>
                  <w:tcBorders>
                    <w:tl2br w:val="nil"/>
                    <w:tr2bl w:val="nil"/>
                  </w:tcBorders>
                  <w:noWrap/>
                  <w:vAlign w:val="center"/>
                </w:tcPr>
                <w:p>
                  <w:pPr>
                    <w:autoSpaceDE w:val="0"/>
                    <w:autoSpaceDN w:val="0"/>
                    <w:adjustRightInd w:val="0"/>
                    <w:jc w:val="center"/>
                    <w:rPr>
                      <w:kern w:val="24"/>
                      <w:szCs w:val="21"/>
                      <w:u w:val="single"/>
                    </w:rPr>
                  </w:pPr>
                  <w:r>
                    <w:rPr>
                      <w:rFonts w:hint="eastAsia"/>
                      <w:kern w:val="24"/>
                      <w:szCs w:val="21"/>
                      <w:u w:val="singl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822" w:type="dxa"/>
                  <w:vMerge w:val="continue"/>
                  <w:tcBorders>
                    <w:tl2br w:val="nil"/>
                    <w:tr2bl w:val="nil"/>
                  </w:tcBorders>
                  <w:noWrap/>
                  <w:vAlign w:val="center"/>
                </w:tcPr>
                <w:p>
                  <w:pPr>
                    <w:autoSpaceDE w:val="0"/>
                    <w:autoSpaceDN w:val="0"/>
                    <w:adjustRightInd w:val="0"/>
                    <w:jc w:val="center"/>
                    <w:rPr>
                      <w:kern w:val="24"/>
                      <w:szCs w:val="21"/>
                      <w:u w:val="single"/>
                    </w:rPr>
                  </w:pPr>
                </w:p>
              </w:tc>
              <w:tc>
                <w:tcPr>
                  <w:tcW w:w="529" w:type="dxa"/>
                  <w:tcBorders>
                    <w:tl2br w:val="nil"/>
                    <w:tr2bl w:val="nil"/>
                  </w:tcBorders>
                  <w:noWrap/>
                  <w:vAlign w:val="center"/>
                </w:tcPr>
                <w:p>
                  <w:pPr>
                    <w:autoSpaceDE w:val="0"/>
                    <w:autoSpaceDN w:val="0"/>
                    <w:adjustRightInd w:val="0"/>
                    <w:jc w:val="center"/>
                    <w:rPr>
                      <w:kern w:val="24"/>
                      <w:szCs w:val="21"/>
                      <w:u w:val="single"/>
                    </w:rPr>
                  </w:pPr>
                  <w:r>
                    <w:rPr>
                      <w:rFonts w:hint="eastAsia"/>
                      <w:kern w:val="24"/>
                      <w:szCs w:val="21"/>
                      <w:u w:val="single"/>
                    </w:rPr>
                    <w:t>废气</w:t>
                  </w:r>
                </w:p>
              </w:tc>
              <w:tc>
                <w:tcPr>
                  <w:tcW w:w="4918" w:type="dxa"/>
                  <w:gridSpan w:val="3"/>
                  <w:tcBorders>
                    <w:tl2br w:val="nil"/>
                    <w:tr2bl w:val="nil"/>
                  </w:tcBorders>
                  <w:noWrap/>
                  <w:vAlign w:val="center"/>
                </w:tcPr>
                <w:p>
                  <w:pPr>
                    <w:autoSpaceDE w:val="0"/>
                    <w:autoSpaceDN w:val="0"/>
                    <w:adjustRightInd w:val="0"/>
                    <w:jc w:val="center"/>
                    <w:rPr>
                      <w:kern w:val="24"/>
                      <w:szCs w:val="21"/>
                      <w:u w:val="single"/>
                    </w:rPr>
                  </w:pPr>
                  <w:r>
                    <w:rPr>
                      <w:rFonts w:hint="eastAsia"/>
                      <w:kern w:val="24"/>
                      <w:szCs w:val="21"/>
                      <w:u w:val="single"/>
                    </w:rPr>
                    <w:t>回收废油过程中产生的非甲烷总烃采取全封闭、负压操作等方式，有效避免挥发性有机废气泄漏和散逸，回收船上柴油发电机工作产生烟气通过烟气管排放。</w:t>
                  </w:r>
                </w:p>
              </w:tc>
              <w:tc>
                <w:tcPr>
                  <w:tcW w:w="1589" w:type="dxa"/>
                  <w:tcBorders>
                    <w:tl2br w:val="nil"/>
                    <w:tr2bl w:val="nil"/>
                  </w:tcBorders>
                  <w:noWrap/>
                  <w:vAlign w:val="center"/>
                </w:tcPr>
                <w:p>
                  <w:pPr>
                    <w:autoSpaceDE w:val="0"/>
                    <w:autoSpaceDN w:val="0"/>
                    <w:adjustRightInd w:val="0"/>
                    <w:jc w:val="center"/>
                    <w:rPr>
                      <w:kern w:val="24"/>
                      <w:szCs w:val="21"/>
                      <w:u w:val="single"/>
                    </w:rPr>
                  </w:pPr>
                  <w:r>
                    <w:rPr>
                      <w:rFonts w:hint="eastAsia"/>
                      <w:kern w:val="24"/>
                      <w:szCs w:val="21"/>
                      <w:u w:val="single"/>
                    </w:rPr>
                    <w:t>依托项目现有的柴油发电机和油水分离器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822" w:type="dxa"/>
                  <w:vMerge w:val="continue"/>
                  <w:tcBorders>
                    <w:tl2br w:val="nil"/>
                    <w:tr2bl w:val="nil"/>
                  </w:tcBorders>
                  <w:noWrap/>
                  <w:vAlign w:val="center"/>
                </w:tcPr>
                <w:p>
                  <w:pPr>
                    <w:autoSpaceDE w:val="0"/>
                    <w:autoSpaceDN w:val="0"/>
                    <w:adjustRightInd w:val="0"/>
                    <w:jc w:val="center"/>
                    <w:rPr>
                      <w:kern w:val="24"/>
                      <w:szCs w:val="21"/>
                      <w:u w:val="single"/>
                    </w:rPr>
                  </w:pPr>
                </w:p>
              </w:tc>
              <w:tc>
                <w:tcPr>
                  <w:tcW w:w="529" w:type="dxa"/>
                  <w:tcBorders>
                    <w:tl2br w:val="nil"/>
                    <w:tr2bl w:val="nil"/>
                  </w:tcBorders>
                  <w:noWrap/>
                  <w:vAlign w:val="center"/>
                </w:tcPr>
                <w:p>
                  <w:pPr>
                    <w:autoSpaceDE w:val="0"/>
                    <w:autoSpaceDN w:val="0"/>
                    <w:adjustRightInd w:val="0"/>
                    <w:jc w:val="center"/>
                    <w:rPr>
                      <w:kern w:val="24"/>
                      <w:szCs w:val="21"/>
                      <w:u w:val="single"/>
                    </w:rPr>
                  </w:pPr>
                  <w:r>
                    <w:rPr>
                      <w:rFonts w:hint="eastAsia"/>
                      <w:kern w:val="24"/>
                      <w:szCs w:val="21"/>
                      <w:u w:val="single"/>
                    </w:rPr>
                    <w:t>噪声</w:t>
                  </w:r>
                </w:p>
              </w:tc>
              <w:tc>
                <w:tcPr>
                  <w:tcW w:w="4918" w:type="dxa"/>
                  <w:gridSpan w:val="3"/>
                  <w:tcBorders>
                    <w:tl2br w:val="nil"/>
                    <w:tr2bl w:val="nil"/>
                  </w:tcBorders>
                  <w:noWrap/>
                  <w:vAlign w:val="center"/>
                </w:tcPr>
                <w:p>
                  <w:pPr>
                    <w:autoSpaceDE w:val="0"/>
                    <w:autoSpaceDN w:val="0"/>
                    <w:adjustRightInd w:val="0"/>
                    <w:jc w:val="center"/>
                    <w:rPr>
                      <w:bCs/>
                      <w:szCs w:val="21"/>
                      <w:u w:val="single"/>
                    </w:rPr>
                  </w:pPr>
                  <w:r>
                    <w:rPr>
                      <w:rFonts w:hint="eastAsia"/>
                      <w:bCs/>
                      <w:szCs w:val="21"/>
                      <w:u w:val="single"/>
                    </w:rPr>
                    <w:t>对产生的噪声的设备加强管理，产生噪声的设备采取基座减振，消声等措施</w:t>
                  </w:r>
                </w:p>
              </w:tc>
              <w:tc>
                <w:tcPr>
                  <w:tcW w:w="1589" w:type="dxa"/>
                  <w:tcBorders>
                    <w:tl2br w:val="nil"/>
                    <w:tr2bl w:val="nil"/>
                  </w:tcBorders>
                  <w:noWrap/>
                  <w:vAlign w:val="center"/>
                </w:tcPr>
                <w:p>
                  <w:pPr>
                    <w:autoSpaceDE w:val="0"/>
                    <w:autoSpaceDN w:val="0"/>
                    <w:adjustRightInd w:val="0"/>
                    <w:jc w:val="center"/>
                    <w:rPr>
                      <w:bCs/>
                      <w:szCs w:val="21"/>
                      <w:u w:val="single"/>
                    </w:rPr>
                  </w:pPr>
                  <w:r>
                    <w:rPr>
                      <w:rFonts w:hint="eastAsia"/>
                      <w:bCs/>
                      <w:szCs w:val="21"/>
                      <w:u w:val="singl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822" w:type="dxa"/>
                  <w:vMerge w:val="continue"/>
                  <w:tcBorders>
                    <w:tl2br w:val="nil"/>
                    <w:tr2bl w:val="nil"/>
                  </w:tcBorders>
                  <w:noWrap/>
                  <w:vAlign w:val="center"/>
                </w:tcPr>
                <w:p>
                  <w:pPr>
                    <w:autoSpaceDE w:val="0"/>
                    <w:autoSpaceDN w:val="0"/>
                    <w:adjustRightInd w:val="0"/>
                    <w:jc w:val="center"/>
                    <w:rPr>
                      <w:kern w:val="24"/>
                      <w:szCs w:val="21"/>
                      <w:u w:val="single"/>
                    </w:rPr>
                  </w:pPr>
                </w:p>
              </w:tc>
              <w:tc>
                <w:tcPr>
                  <w:tcW w:w="529" w:type="dxa"/>
                  <w:tcBorders>
                    <w:tl2br w:val="nil"/>
                    <w:tr2bl w:val="nil"/>
                  </w:tcBorders>
                  <w:noWrap/>
                  <w:vAlign w:val="center"/>
                </w:tcPr>
                <w:p>
                  <w:pPr>
                    <w:autoSpaceDE w:val="0"/>
                    <w:autoSpaceDN w:val="0"/>
                    <w:adjustRightInd w:val="0"/>
                    <w:jc w:val="center"/>
                    <w:rPr>
                      <w:kern w:val="24"/>
                      <w:szCs w:val="21"/>
                      <w:u w:val="single"/>
                    </w:rPr>
                  </w:pPr>
                  <w:r>
                    <w:rPr>
                      <w:rFonts w:hint="eastAsia"/>
                      <w:kern w:val="24"/>
                      <w:szCs w:val="21"/>
                      <w:u w:val="single"/>
                    </w:rPr>
                    <w:t>固废</w:t>
                  </w:r>
                </w:p>
              </w:tc>
              <w:tc>
                <w:tcPr>
                  <w:tcW w:w="4918" w:type="dxa"/>
                  <w:gridSpan w:val="3"/>
                  <w:tcBorders>
                    <w:tl2br w:val="nil"/>
                    <w:tr2bl w:val="nil"/>
                  </w:tcBorders>
                  <w:noWrap/>
                  <w:vAlign w:val="center"/>
                </w:tcPr>
                <w:p>
                  <w:pPr>
                    <w:autoSpaceDE w:val="0"/>
                    <w:autoSpaceDN w:val="0"/>
                    <w:adjustRightInd w:val="0"/>
                    <w:jc w:val="center"/>
                    <w:rPr>
                      <w:bCs/>
                      <w:szCs w:val="21"/>
                      <w:u w:val="single"/>
                    </w:rPr>
                  </w:pPr>
                  <w:r>
                    <w:rPr>
                      <w:rFonts w:hint="eastAsia"/>
                      <w:bCs/>
                      <w:szCs w:val="21"/>
                      <w:u w:val="single"/>
                    </w:rPr>
                    <w:t>员工的生活垃圾和收集的生活垃圾均交由</w:t>
                  </w:r>
                  <w:r>
                    <w:rPr>
                      <w:rFonts w:hint="eastAsia"/>
                      <w:kern w:val="24"/>
                      <w:szCs w:val="21"/>
                      <w:u w:val="single"/>
                    </w:rPr>
                    <w:t>岳阳缘立清洁服务有限公司转运</w:t>
                  </w:r>
                  <w:r>
                    <w:rPr>
                      <w:rFonts w:hint="eastAsia"/>
                      <w:bCs/>
                      <w:szCs w:val="21"/>
                      <w:u w:val="single"/>
                    </w:rPr>
                    <w:t>岳阳县市容环境卫生服务中心处理，废机油交由临湘市湘北水陆物流有限公司转运</w:t>
                  </w:r>
                </w:p>
              </w:tc>
              <w:tc>
                <w:tcPr>
                  <w:tcW w:w="1589" w:type="dxa"/>
                  <w:tcBorders>
                    <w:tl2br w:val="nil"/>
                    <w:tr2bl w:val="nil"/>
                  </w:tcBorders>
                  <w:noWrap/>
                  <w:vAlign w:val="center"/>
                </w:tcPr>
                <w:p>
                  <w:pPr>
                    <w:autoSpaceDE w:val="0"/>
                    <w:autoSpaceDN w:val="0"/>
                    <w:adjustRightInd w:val="0"/>
                    <w:jc w:val="center"/>
                    <w:rPr>
                      <w:bCs/>
                      <w:szCs w:val="21"/>
                      <w:u w:val="single"/>
                    </w:rPr>
                  </w:pPr>
                  <w:r>
                    <w:rPr>
                      <w:rFonts w:hint="eastAsia"/>
                      <w:bCs/>
                      <w:szCs w:val="21"/>
                      <w:u w:val="single"/>
                    </w:rPr>
                    <w:t>/</w:t>
                  </w:r>
                </w:p>
              </w:tc>
            </w:tr>
          </w:tbl>
          <w:p>
            <w:pPr>
              <w:spacing w:line="360" w:lineRule="auto"/>
              <w:ind w:firstLine="420" w:firstLineChars="200"/>
            </w:pPr>
            <w:r>
              <w:rPr>
                <w:rFonts w:hint="eastAsia"/>
              </w:rPr>
              <w:t>（2）项目设备情况</w:t>
            </w:r>
          </w:p>
          <w:p>
            <w:pPr>
              <w:spacing w:line="360" w:lineRule="auto"/>
              <w:ind w:firstLine="420" w:firstLineChars="200"/>
            </w:pPr>
            <w:r>
              <w:t>项目主要生产设备见表</w:t>
            </w:r>
            <w:r>
              <w:rPr>
                <w:rFonts w:hint="eastAsia"/>
              </w:rPr>
              <w:t>2-2</w:t>
            </w:r>
            <w:r>
              <w:t>：</w:t>
            </w:r>
          </w:p>
          <w:p>
            <w:pPr>
              <w:spacing w:line="360" w:lineRule="auto"/>
              <w:ind w:firstLine="422" w:firstLineChars="200"/>
              <w:jc w:val="center"/>
              <w:rPr>
                <w:b/>
                <w:bCs/>
              </w:rPr>
            </w:pPr>
            <w:r>
              <w:rPr>
                <w:rFonts w:hint="eastAsia"/>
                <w:b/>
                <w:bCs/>
              </w:rPr>
              <w:t>表2-2项目一期扩建完成后设备情况</w:t>
            </w:r>
          </w:p>
          <w:tbl>
            <w:tblPr>
              <w:tblStyle w:val="25"/>
              <w:tblW w:w="782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56"/>
              <w:gridCol w:w="1156"/>
              <w:gridCol w:w="925"/>
              <w:gridCol w:w="749"/>
              <w:gridCol w:w="1668"/>
              <w:gridCol w:w="237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56" w:type="dxa"/>
                  <w:tcBorders>
                    <w:tl2br w:val="nil"/>
                    <w:tr2bl w:val="nil"/>
                  </w:tcBorders>
                  <w:vAlign w:val="center"/>
                </w:tcPr>
                <w:p>
                  <w:pPr>
                    <w:adjustRightInd w:val="0"/>
                    <w:snapToGrid w:val="0"/>
                    <w:spacing w:line="360" w:lineRule="auto"/>
                    <w:jc w:val="center"/>
                    <w:rPr>
                      <w:b/>
                      <w:bCs/>
                      <w:szCs w:val="21"/>
                    </w:rPr>
                  </w:pPr>
                  <w:r>
                    <w:rPr>
                      <w:rFonts w:hint="eastAsia"/>
                      <w:b/>
                      <w:bCs/>
                      <w:szCs w:val="21"/>
                    </w:rPr>
                    <w:t>名称</w:t>
                  </w:r>
                </w:p>
              </w:tc>
              <w:tc>
                <w:tcPr>
                  <w:tcW w:w="1156" w:type="dxa"/>
                  <w:tcBorders>
                    <w:tl2br w:val="nil"/>
                    <w:tr2bl w:val="nil"/>
                  </w:tcBorders>
                  <w:vAlign w:val="center"/>
                </w:tcPr>
                <w:p>
                  <w:pPr>
                    <w:adjustRightInd w:val="0"/>
                    <w:snapToGrid w:val="0"/>
                    <w:spacing w:line="360" w:lineRule="auto"/>
                    <w:jc w:val="center"/>
                    <w:rPr>
                      <w:b/>
                      <w:bCs/>
                      <w:szCs w:val="21"/>
                    </w:rPr>
                  </w:pPr>
                  <w:r>
                    <w:rPr>
                      <w:rFonts w:hint="eastAsia"/>
                      <w:b/>
                      <w:bCs/>
                      <w:szCs w:val="21"/>
                    </w:rPr>
                    <w:t>船舶类型</w:t>
                  </w:r>
                </w:p>
              </w:tc>
              <w:tc>
                <w:tcPr>
                  <w:tcW w:w="925" w:type="dxa"/>
                  <w:tcBorders>
                    <w:tl2br w:val="nil"/>
                    <w:tr2bl w:val="nil"/>
                  </w:tcBorders>
                  <w:vAlign w:val="center"/>
                </w:tcPr>
                <w:p>
                  <w:pPr>
                    <w:adjustRightInd w:val="0"/>
                    <w:snapToGrid w:val="0"/>
                    <w:spacing w:line="360" w:lineRule="auto"/>
                    <w:jc w:val="center"/>
                    <w:rPr>
                      <w:b/>
                      <w:bCs/>
                      <w:szCs w:val="21"/>
                    </w:rPr>
                  </w:pPr>
                  <w:r>
                    <w:rPr>
                      <w:rFonts w:hint="eastAsia"/>
                      <w:b/>
                      <w:bCs/>
                      <w:szCs w:val="21"/>
                    </w:rPr>
                    <w:t>总吨位</w:t>
                  </w:r>
                </w:p>
              </w:tc>
              <w:tc>
                <w:tcPr>
                  <w:tcW w:w="749" w:type="dxa"/>
                  <w:tcBorders>
                    <w:tl2br w:val="nil"/>
                    <w:tr2bl w:val="nil"/>
                  </w:tcBorders>
                  <w:vAlign w:val="center"/>
                </w:tcPr>
                <w:p>
                  <w:pPr>
                    <w:adjustRightInd w:val="0"/>
                    <w:snapToGrid w:val="0"/>
                    <w:spacing w:line="360" w:lineRule="auto"/>
                    <w:jc w:val="center"/>
                    <w:rPr>
                      <w:b/>
                      <w:bCs/>
                      <w:szCs w:val="21"/>
                    </w:rPr>
                  </w:pPr>
                  <w:r>
                    <w:rPr>
                      <w:rFonts w:hint="eastAsia"/>
                      <w:b/>
                      <w:bCs/>
                      <w:szCs w:val="21"/>
                    </w:rPr>
                    <w:t>净吨</w:t>
                  </w:r>
                </w:p>
              </w:tc>
              <w:tc>
                <w:tcPr>
                  <w:tcW w:w="1668" w:type="dxa"/>
                  <w:tcBorders>
                    <w:tl2br w:val="nil"/>
                    <w:tr2bl w:val="nil"/>
                  </w:tcBorders>
                  <w:vAlign w:val="center"/>
                </w:tcPr>
                <w:p>
                  <w:pPr>
                    <w:adjustRightInd w:val="0"/>
                    <w:snapToGrid w:val="0"/>
                    <w:spacing w:line="360" w:lineRule="auto"/>
                    <w:jc w:val="center"/>
                    <w:rPr>
                      <w:b/>
                      <w:bCs/>
                      <w:szCs w:val="21"/>
                    </w:rPr>
                  </w:pPr>
                  <w:r>
                    <w:rPr>
                      <w:rFonts w:hint="eastAsia"/>
                      <w:b/>
                      <w:bCs/>
                      <w:szCs w:val="21"/>
                    </w:rPr>
                    <w:t>船长、宽、深（m）</w:t>
                  </w:r>
                </w:p>
              </w:tc>
              <w:tc>
                <w:tcPr>
                  <w:tcW w:w="2372" w:type="dxa"/>
                  <w:tcBorders>
                    <w:tl2br w:val="nil"/>
                    <w:tr2bl w:val="nil"/>
                  </w:tcBorders>
                  <w:vAlign w:val="center"/>
                </w:tcPr>
                <w:p>
                  <w:pPr>
                    <w:adjustRightInd w:val="0"/>
                    <w:snapToGrid w:val="0"/>
                    <w:spacing w:line="360" w:lineRule="auto"/>
                    <w:jc w:val="center"/>
                    <w:rPr>
                      <w:b/>
                      <w:bCs/>
                      <w:szCs w:val="21"/>
                    </w:rPr>
                  </w:pPr>
                  <w:r>
                    <w:rPr>
                      <w:rFonts w:hint="eastAsia"/>
                      <w:b/>
                      <w:bCs/>
                      <w:szCs w:val="21"/>
                    </w:rPr>
                    <w:t>主要功能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826" w:type="dxa"/>
                  <w:gridSpan w:val="6"/>
                  <w:tcBorders>
                    <w:tl2br w:val="nil"/>
                    <w:tr2bl w:val="nil"/>
                  </w:tcBorders>
                  <w:vAlign w:val="center"/>
                </w:tcPr>
                <w:p>
                  <w:pPr>
                    <w:adjustRightInd w:val="0"/>
                    <w:snapToGrid w:val="0"/>
                    <w:spacing w:line="360" w:lineRule="auto"/>
                    <w:jc w:val="center"/>
                    <w:rPr>
                      <w:b/>
                      <w:bCs/>
                      <w:szCs w:val="21"/>
                    </w:rPr>
                  </w:pPr>
                  <w:r>
                    <w:rPr>
                      <w:rFonts w:hint="eastAsia"/>
                      <w:b/>
                      <w:bCs/>
                      <w:szCs w:val="21"/>
                    </w:rPr>
                    <w:t>现有部分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3" w:hRule="atLeast"/>
              </w:trPr>
              <w:tc>
                <w:tcPr>
                  <w:tcW w:w="956" w:type="dxa"/>
                  <w:tcBorders>
                    <w:tl2br w:val="nil"/>
                    <w:tr2bl w:val="nil"/>
                  </w:tcBorders>
                  <w:vAlign w:val="center"/>
                </w:tcPr>
                <w:p>
                  <w:pPr>
                    <w:adjustRightInd w:val="0"/>
                    <w:snapToGrid w:val="0"/>
                    <w:spacing w:line="360" w:lineRule="auto"/>
                    <w:jc w:val="center"/>
                    <w:rPr>
                      <w:szCs w:val="21"/>
                    </w:rPr>
                  </w:pPr>
                  <w:r>
                    <w:rPr>
                      <w:szCs w:val="21"/>
                    </w:rPr>
                    <w:t>湘岳阳油1129</w:t>
                  </w:r>
                </w:p>
              </w:tc>
              <w:tc>
                <w:tcPr>
                  <w:tcW w:w="1156" w:type="dxa"/>
                  <w:tcBorders>
                    <w:tl2br w:val="nil"/>
                    <w:tr2bl w:val="nil"/>
                  </w:tcBorders>
                  <w:vAlign w:val="center"/>
                </w:tcPr>
                <w:p>
                  <w:pPr>
                    <w:adjustRightInd w:val="0"/>
                    <w:snapToGrid w:val="0"/>
                    <w:spacing w:line="360" w:lineRule="auto"/>
                    <w:jc w:val="center"/>
                    <w:rPr>
                      <w:szCs w:val="21"/>
                    </w:rPr>
                  </w:pPr>
                  <w:r>
                    <w:rPr>
                      <w:szCs w:val="21"/>
                    </w:rPr>
                    <w:t>液货船</w:t>
                  </w:r>
                </w:p>
              </w:tc>
              <w:tc>
                <w:tcPr>
                  <w:tcW w:w="925" w:type="dxa"/>
                  <w:tcBorders>
                    <w:tl2br w:val="nil"/>
                    <w:tr2bl w:val="nil"/>
                  </w:tcBorders>
                  <w:vAlign w:val="center"/>
                </w:tcPr>
                <w:p>
                  <w:pPr>
                    <w:adjustRightInd w:val="0"/>
                    <w:snapToGrid w:val="0"/>
                    <w:spacing w:line="360" w:lineRule="auto"/>
                    <w:jc w:val="center"/>
                    <w:rPr>
                      <w:szCs w:val="21"/>
                    </w:rPr>
                  </w:pPr>
                  <w:r>
                    <w:rPr>
                      <w:szCs w:val="21"/>
                    </w:rPr>
                    <w:t>53</w:t>
                  </w:r>
                </w:p>
              </w:tc>
              <w:tc>
                <w:tcPr>
                  <w:tcW w:w="749" w:type="dxa"/>
                  <w:tcBorders>
                    <w:tl2br w:val="nil"/>
                    <w:tr2bl w:val="nil"/>
                  </w:tcBorders>
                  <w:vAlign w:val="center"/>
                </w:tcPr>
                <w:p>
                  <w:pPr>
                    <w:adjustRightInd w:val="0"/>
                    <w:snapToGrid w:val="0"/>
                    <w:spacing w:line="360" w:lineRule="auto"/>
                    <w:jc w:val="center"/>
                    <w:rPr>
                      <w:szCs w:val="21"/>
                    </w:rPr>
                  </w:pPr>
                  <w:r>
                    <w:rPr>
                      <w:szCs w:val="21"/>
                    </w:rPr>
                    <w:t>29</w:t>
                  </w:r>
                </w:p>
              </w:tc>
              <w:tc>
                <w:tcPr>
                  <w:tcW w:w="1668" w:type="dxa"/>
                  <w:tcBorders>
                    <w:tl2br w:val="nil"/>
                    <w:tr2bl w:val="nil"/>
                  </w:tcBorders>
                  <w:vAlign w:val="center"/>
                </w:tcPr>
                <w:p>
                  <w:pPr>
                    <w:adjustRightInd w:val="0"/>
                    <w:snapToGrid w:val="0"/>
                    <w:spacing w:line="360" w:lineRule="auto"/>
                    <w:jc w:val="center"/>
                    <w:rPr>
                      <w:szCs w:val="21"/>
                    </w:rPr>
                  </w:pPr>
                  <w:r>
                    <w:rPr>
                      <w:rFonts w:hint="eastAsia"/>
                      <w:szCs w:val="21"/>
                    </w:rPr>
                    <w:t>24.8</w:t>
                  </w:r>
                  <w:r>
                    <w:rPr>
                      <w:szCs w:val="21"/>
                    </w:rPr>
                    <w:t>×4.</w:t>
                  </w:r>
                  <w:r>
                    <w:rPr>
                      <w:rFonts w:hint="eastAsia"/>
                      <w:szCs w:val="21"/>
                    </w:rPr>
                    <w:t>8</w:t>
                  </w:r>
                  <w:r>
                    <w:rPr>
                      <w:szCs w:val="21"/>
                    </w:rPr>
                    <w:t>×1.2</w:t>
                  </w:r>
                </w:p>
              </w:tc>
              <w:tc>
                <w:tcPr>
                  <w:tcW w:w="2372" w:type="dxa"/>
                  <w:tcBorders>
                    <w:tl2br w:val="nil"/>
                    <w:tr2bl w:val="nil"/>
                  </w:tcBorders>
                  <w:vAlign w:val="center"/>
                </w:tcPr>
                <w:p>
                  <w:pPr>
                    <w:adjustRightInd w:val="0"/>
                    <w:snapToGrid w:val="0"/>
                    <w:spacing w:line="360" w:lineRule="auto"/>
                    <w:jc w:val="center"/>
                    <w:rPr>
                      <w:szCs w:val="21"/>
                    </w:rPr>
                  </w:pPr>
                  <w:r>
                    <w:rPr>
                      <w:szCs w:val="21"/>
                    </w:rPr>
                    <w:t>用于</w:t>
                  </w:r>
                  <w:r>
                    <w:rPr>
                      <w:rFonts w:hint="eastAsia"/>
                      <w:szCs w:val="21"/>
                    </w:rPr>
                    <w:t>接收</w:t>
                  </w:r>
                  <w:r>
                    <w:rPr>
                      <w:szCs w:val="21"/>
                    </w:rPr>
                    <w:t>暂存含油废水、</w:t>
                  </w:r>
                  <w:r>
                    <w:rPr>
                      <w:rFonts w:hint="eastAsia"/>
                      <w:szCs w:val="21"/>
                    </w:rPr>
                    <w:t>废矿物油、</w:t>
                  </w:r>
                  <w:r>
                    <w:rPr>
                      <w:szCs w:val="21"/>
                    </w:rPr>
                    <w:t>生活污水、生活垃圾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826" w:type="dxa"/>
                  <w:gridSpan w:val="6"/>
                  <w:tcBorders>
                    <w:tl2br w:val="nil"/>
                    <w:tr2bl w:val="nil"/>
                  </w:tcBorders>
                  <w:vAlign w:val="center"/>
                </w:tcPr>
                <w:p>
                  <w:pPr>
                    <w:adjustRightInd w:val="0"/>
                    <w:snapToGrid w:val="0"/>
                    <w:spacing w:line="360" w:lineRule="auto"/>
                    <w:jc w:val="center"/>
                    <w:rPr>
                      <w:szCs w:val="21"/>
                    </w:rPr>
                  </w:pPr>
                  <w:r>
                    <w:rPr>
                      <w:rFonts w:hint="eastAsia"/>
                      <w:b/>
                      <w:bCs/>
                      <w:szCs w:val="21"/>
                    </w:rPr>
                    <w:t>一期新增部分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956" w:type="dxa"/>
                  <w:tcBorders>
                    <w:tl2br w:val="nil"/>
                    <w:tr2bl w:val="nil"/>
                  </w:tcBorders>
                  <w:vAlign w:val="center"/>
                </w:tcPr>
                <w:p>
                  <w:pPr>
                    <w:adjustRightInd w:val="0"/>
                    <w:snapToGrid w:val="0"/>
                    <w:spacing w:line="360" w:lineRule="auto"/>
                    <w:jc w:val="center"/>
                    <w:rPr>
                      <w:szCs w:val="21"/>
                    </w:rPr>
                  </w:pPr>
                  <w:r>
                    <w:rPr>
                      <w:szCs w:val="21"/>
                    </w:rPr>
                    <w:t>清源2号</w:t>
                  </w:r>
                </w:p>
              </w:tc>
              <w:tc>
                <w:tcPr>
                  <w:tcW w:w="1156" w:type="dxa"/>
                  <w:tcBorders>
                    <w:tl2br w:val="nil"/>
                    <w:tr2bl w:val="nil"/>
                  </w:tcBorders>
                  <w:vAlign w:val="center"/>
                </w:tcPr>
                <w:p>
                  <w:pPr>
                    <w:adjustRightInd w:val="0"/>
                    <w:snapToGrid w:val="0"/>
                    <w:spacing w:line="360" w:lineRule="auto"/>
                    <w:jc w:val="center"/>
                    <w:rPr>
                      <w:szCs w:val="21"/>
                    </w:rPr>
                  </w:pPr>
                  <w:r>
                    <w:rPr>
                      <w:rFonts w:hint="eastAsia"/>
                      <w:szCs w:val="21"/>
                    </w:rPr>
                    <w:t>污染物接收</w:t>
                  </w:r>
                  <w:r>
                    <w:rPr>
                      <w:szCs w:val="21"/>
                    </w:rPr>
                    <w:t>船</w:t>
                  </w:r>
                </w:p>
              </w:tc>
              <w:tc>
                <w:tcPr>
                  <w:tcW w:w="925" w:type="dxa"/>
                  <w:tcBorders>
                    <w:tl2br w:val="nil"/>
                    <w:tr2bl w:val="nil"/>
                  </w:tcBorders>
                  <w:vAlign w:val="center"/>
                </w:tcPr>
                <w:p>
                  <w:pPr>
                    <w:adjustRightInd w:val="0"/>
                    <w:snapToGrid w:val="0"/>
                    <w:spacing w:line="360" w:lineRule="auto"/>
                    <w:jc w:val="center"/>
                    <w:rPr>
                      <w:szCs w:val="21"/>
                    </w:rPr>
                  </w:pPr>
                  <w:r>
                    <w:rPr>
                      <w:szCs w:val="21"/>
                    </w:rPr>
                    <w:t>107</w:t>
                  </w:r>
                </w:p>
              </w:tc>
              <w:tc>
                <w:tcPr>
                  <w:tcW w:w="749" w:type="dxa"/>
                  <w:tcBorders>
                    <w:tl2br w:val="nil"/>
                    <w:tr2bl w:val="nil"/>
                  </w:tcBorders>
                  <w:vAlign w:val="center"/>
                </w:tcPr>
                <w:p>
                  <w:pPr>
                    <w:adjustRightInd w:val="0"/>
                    <w:snapToGrid w:val="0"/>
                    <w:spacing w:line="360" w:lineRule="auto"/>
                    <w:jc w:val="center"/>
                    <w:rPr>
                      <w:szCs w:val="21"/>
                    </w:rPr>
                  </w:pPr>
                  <w:r>
                    <w:rPr>
                      <w:szCs w:val="21"/>
                    </w:rPr>
                    <w:t>59</w:t>
                  </w:r>
                </w:p>
              </w:tc>
              <w:tc>
                <w:tcPr>
                  <w:tcW w:w="1668" w:type="dxa"/>
                  <w:tcBorders>
                    <w:tl2br w:val="nil"/>
                    <w:tr2bl w:val="nil"/>
                  </w:tcBorders>
                  <w:vAlign w:val="center"/>
                </w:tcPr>
                <w:p>
                  <w:pPr>
                    <w:adjustRightInd w:val="0"/>
                    <w:snapToGrid w:val="0"/>
                    <w:spacing w:line="360" w:lineRule="auto"/>
                    <w:jc w:val="center"/>
                    <w:rPr>
                      <w:szCs w:val="21"/>
                    </w:rPr>
                  </w:pPr>
                  <w:r>
                    <w:rPr>
                      <w:szCs w:val="21"/>
                    </w:rPr>
                    <w:t>29.8×5.8×1.8</w:t>
                  </w:r>
                </w:p>
              </w:tc>
              <w:tc>
                <w:tcPr>
                  <w:tcW w:w="2372" w:type="dxa"/>
                  <w:tcBorders>
                    <w:tl2br w:val="nil"/>
                    <w:tr2bl w:val="nil"/>
                  </w:tcBorders>
                  <w:vAlign w:val="center"/>
                </w:tcPr>
                <w:p>
                  <w:pPr>
                    <w:adjustRightInd w:val="0"/>
                    <w:snapToGrid w:val="0"/>
                    <w:spacing w:line="360" w:lineRule="auto"/>
                    <w:jc w:val="center"/>
                    <w:rPr>
                      <w:szCs w:val="21"/>
                    </w:rPr>
                  </w:pPr>
                  <w:r>
                    <w:rPr>
                      <w:szCs w:val="21"/>
                    </w:rPr>
                    <w:t>用于</w:t>
                  </w:r>
                  <w:r>
                    <w:rPr>
                      <w:rFonts w:hint="eastAsia"/>
                      <w:szCs w:val="21"/>
                    </w:rPr>
                    <w:t>接收</w:t>
                  </w:r>
                  <w:r>
                    <w:rPr>
                      <w:szCs w:val="21"/>
                    </w:rPr>
                    <w:t>暂存含油废水、</w:t>
                  </w:r>
                  <w:r>
                    <w:rPr>
                      <w:rFonts w:hint="eastAsia"/>
                      <w:szCs w:val="21"/>
                    </w:rPr>
                    <w:t>废矿物油、</w:t>
                  </w:r>
                  <w:r>
                    <w:rPr>
                      <w:szCs w:val="21"/>
                    </w:rPr>
                    <w:t>生活污水、生活垃圾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56" w:type="dxa"/>
                  <w:tcBorders>
                    <w:tl2br w:val="nil"/>
                    <w:tr2bl w:val="nil"/>
                  </w:tcBorders>
                  <w:vAlign w:val="center"/>
                </w:tcPr>
                <w:p>
                  <w:pPr>
                    <w:adjustRightInd w:val="0"/>
                    <w:snapToGrid w:val="0"/>
                    <w:spacing w:line="360" w:lineRule="auto"/>
                    <w:jc w:val="center"/>
                    <w:rPr>
                      <w:szCs w:val="21"/>
                    </w:rPr>
                  </w:pPr>
                  <w:r>
                    <w:rPr>
                      <w:szCs w:val="21"/>
                    </w:rPr>
                    <w:t>交通06</w:t>
                  </w:r>
                </w:p>
              </w:tc>
              <w:tc>
                <w:tcPr>
                  <w:tcW w:w="1156" w:type="dxa"/>
                  <w:tcBorders>
                    <w:tl2br w:val="nil"/>
                    <w:tr2bl w:val="nil"/>
                  </w:tcBorders>
                  <w:vAlign w:val="center"/>
                </w:tcPr>
                <w:p>
                  <w:pPr>
                    <w:adjustRightInd w:val="0"/>
                    <w:snapToGrid w:val="0"/>
                    <w:spacing w:line="360" w:lineRule="auto"/>
                    <w:jc w:val="center"/>
                    <w:rPr>
                      <w:szCs w:val="21"/>
                    </w:rPr>
                  </w:pPr>
                  <w:r>
                    <w:rPr>
                      <w:szCs w:val="21"/>
                    </w:rPr>
                    <w:t>交通艇</w:t>
                  </w:r>
                </w:p>
              </w:tc>
              <w:tc>
                <w:tcPr>
                  <w:tcW w:w="925" w:type="dxa"/>
                  <w:tcBorders>
                    <w:tl2br w:val="nil"/>
                    <w:tr2bl w:val="nil"/>
                  </w:tcBorders>
                  <w:vAlign w:val="center"/>
                </w:tcPr>
                <w:p>
                  <w:pPr>
                    <w:adjustRightInd w:val="0"/>
                    <w:snapToGrid w:val="0"/>
                    <w:spacing w:line="360" w:lineRule="auto"/>
                    <w:jc w:val="center"/>
                    <w:rPr>
                      <w:szCs w:val="21"/>
                    </w:rPr>
                  </w:pPr>
                  <w:r>
                    <w:rPr>
                      <w:szCs w:val="21"/>
                    </w:rPr>
                    <w:t>27</w:t>
                  </w:r>
                </w:p>
              </w:tc>
              <w:tc>
                <w:tcPr>
                  <w:tcW w:w="749" w:type="dxa"/>
                  <w:tcBorders>
                    <w:tl2br w:val="nil"/>
                    <w:tr2bl w:val="nil"/>
                  </w:tcBorders>
                  <w:vAlign w:val="center"/>
                </w:tcPr>
                <w:p>
                  <w:pPr>
                    <w:adjustRightInd w:val="0"/>
                    <w:snapToGrid w:val="0"/>
                    <w:spacing w:line="360" w:lineRule="auto"/>
                    <w:jc w:val="center"/>
                    <w:rPr>
                      <w:szCs w:val="21"/>
                    </w:rPr>
                  </w:pPr>
                  <w:r>
                    <w:rPr>
                      <w:szCs w:val="21"/>
                    </w:rPr>
                    <w:t>16</w:t>
                  </w:r>
                </w:p>
              </w:tc>
              <w:tc>
                <w:tcPr>
                  <w:tcW w:w="1668" w:type="dxa"/>
                  <w:tcBorders>
                    <w:tl2br w:val="nil"/>
                    <w:tr2bl w:val="nil"/>
                  </w:tcBorders>
                  <w:vAlign w:val="center"/>
                </w:tcPr>
                <w:p>
                  <w:pPr>
                    <w:adjustRightInd w:val="0"/>
                    <w:snapToGrid w:val="0"/>
                    <w:spacing w:line="360" w:lineRule="auto"/>
                    <w:jc w:val="center"/>
                    <w:rPr>
                      <w:szCs w:val="21"/>
                    </w:rPr>
                  </w:pPr>
                  <w:r>
                    <w:rPr>
                      <w:szCs w:val="21"/>
                    </w:rPr>
                    <w:t>14.98×3.8×0.5</w:t>
                  </w:r>
                </w:p>
              </w:tc>
              <w:tc>
                <w:tcPr>
                  <w:tcW w:w="2372" w:type="dxa"/>
                  <w:tcBorders>
                    <w:tl2br w:val="nil"/>
                    <w:tr2bl w:val="nil"/>
                  </w:tcBorders>
                  <w:vAlign w:val="center"/>
                </w:tcPr>
                <w:p>
                  <w:pPr>
                    <w:adjustRightInd w:val="0"/>
                    <w:snapToGrid w:val="0"/>
                    <w:spacing w:line="360" w:lineRule="auto"/>
                    <w:jc w:val="center"/>
                    <w:rPr>
                      <w:szCs w:val="21"/>
                    </w:rPr>
                  </w:pPr>
                  <w:r>
                    <w:rPr>
                      <w:rFonts w:hint="eastAsia"/>
                      <w:szCs w:val="21"/>
                    </w:rPr>
                    <w:t>用于污染物转运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56" w:type="dxa"/>
                  <w:tcBorders>
                    <w:tl2br w:val="nil"/>
                    <w:tr2bl w:val="nil"/>
                  </w:tcBorders>
                  <w:vAlign w:val="center"/>
                </w:tcPr>
                <w:p>
                  <w:pPr>
                    <w:adjustRightInd w:val="0"/>
                    <w:snapToGrid w:val="0"/>
                    <w:spacing w:line="360" w:lineRule="auto"/>
                    <w:jc w:val="center"/>
                    <w:rPr>
                      <w:szCs w:val="21"/>
                    </w:rPr>
                  </w:pPr>
                  <w:r>
                    <w:rPr>
                      <w:szCs w:val="21"/>
                    </w:rPr>
                    <w:t>应急</w:t>
                  </w:r>
                  <w:r>
                    <w:rPr>
                      <w:rFonts w:hint="eastAsia"/>
                      <w:szCs w:val="21"/>
                    </w:rPr>
                    <w:t>库</w:t>
                  </w:r>
                  <w:r>
                    <w:rPr>
                      <w:szCs w:val="21"/>
                    </w:rPr>
                    <w:t>船</w:t>
                  </w:r>
                </w:p>
              </w:tc>
              <w:tc>
                <w:tcPr>
                  <w:tcW w:w="1156" w:type="dxa"/>
                  <w:tcBorders>
                    <w:tl2br w:val="nil"/>
                    <w:tr2bl w:val="nil"/>
                  </w:tcBorders>
                  <w:vAlign w:val="center"/>
                </w:tcPr>
                <w:p>
                  <w:pPr>
                    <w:adjustRightInd w:val="0"/>
                    <w:snapToGrid w:val="0"/>
                    <w:spacing w:line="360" w:lineRule="auto"/>
                    <w:jc w:val="center"/>
                    <w:rPr>
                      <w:szCs w:val="21"/>
                    </w:rPr>
                  </w:pPr>
                  <w:r>
                    <w:rPr>
                      <w:szCs w:val="21"/>
                    </w:rPr>
                    <w:t>应急船</w:t>
                  </w:r>
                </w:p>
              </w:tc>
              <w:tc>
                <w:tcPr>
                  <w:tcW w:w="925" w:type="dxa"/>
                  <w:tcBorders>
                    <w:tl2br w:val="nil"/>
                    <w:tr2bl w:val="nil"/>
                  </w:tcBorders>
                  <w:vAlign w:val="center"/>
                </w:tcPr>
                <w:p>
                  <w:pPr>
                    <w:adjustRightInd w:val="0"/>
                    <w:snapToGrid w:val="0"/>
                    <w:spacing w:line="360" w:lineRule="auto"/>
                    <w:jc w:val="center"/>
                    <w:rPr>
                      <w:szCs w:val="21"/>
                    </w:rPr>
                  </w:pPr>
                  <w:r>
                    <w:rPr>
                      <w:szCs w:val="21"/>
                    </w:rPr>
                    <w:t>120</w:t>
                  </w:r>
                </w:p>
              </w:tc>
              <w:tc>
                <w:tcPr>
                  <w:tcW w:w="749" w:type="dxa"/>
                  <w:tcBorders>
                    <w:tl2br w:val="nil"/>
                    <w:tr2bl w:val="nil"/>
                  </w:tcBorders>
                  <w:vAlign w:val="center"/>
                </w:tcPr>
                <w:p>
                  <w:pPr>
                    <w:adjustRightInd w:val="0"/>
                    <w:snapToGrid w:val="0"/>
                    <w:spacing w:line="360" w:lineRule="auto"/>
                    <w:jc w:val="center"/>
                    <w:rPr>
                      <w:szCs w:val="21"/>
                    </w:rPr>
                  </w:pPr>
                  <w:r>
                    <w:rPr>
                      <w:rFonts w:hint="eastAsia"/>
                      <w:szCs w:val="21"/>
                    </w:rPr>
                    <w:t>100</w:t>
                  </w:r>
                </w:p>
              </w:tc>
              <w:tc>
                <w:tcPr>
                  <w:tcW w:w="1668" w:type="dxa"/>
                  <w:tcBorders>
                    <w:tl2br w:val="nil"/>
                    <w:tr2bl w:val="nil"/>
                  </w:tcBorders>
                  <w:vAlign w:val="center"/>
                </w:tcPr>
                <w:p>
                  <w:pPr>
                    <w:adjustRightInd w:val="0"/>
                    <w:snapToGrid w:val="0"/>
                    <w:spacing w:line="360" w:lineRule="auto"/>
                    <w:jc w:val="center"/>
                    <w:rPr>
                      <w:szCs w:val="21"/>
                    </w:rPr>
                  </w:pPr>
                  <w:r>
                    <w:rPr>
                      <w:szCs w:val="21"/>
                    </w:rPr>
                    <w:t>31×7.2×2</w:t>
                  </w:r>
                </w:p>
              </w:tc>
              <w:tc>
                <w:tcPr>
                  <w:tcW w:w="2372" w:type="dxa"/>
                  <w:tcBorders>
                    <w:tl2br w:val="nil"/>
                    <w:tr2bl w:val="nil"/>
                  </w:tcBorders>
                  <w:vAlign w:val="center"/>
                </w:tcPr>
                <w:p>
                  <w:pPr>
                    <w:adjustRightInd w:val="0"/>
                    <w:snapToGrid w:val="0"/>
                    <w:spacing w:line="360" w:lineRule="auto"/>
                    <w:jc w:val="center"/>
                    <w:rPr>
                      <w:szCs w:val="21"/>
                    </w:rPr>
                  </w:pPr>
                  <w:r>
                    <w:rPr>
                      <w:szCs w:val="21"/>
                    </w:rPr>
                    <w:t>用于项目应急处理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6" w:type="dxa"/>
                  <w:tcBorders>
                    <w:tl2br w:val="nil"/>
                    <w:tr2bl w:val="nil"/>
                  </w:tcBorders>
                  <w:vAlign w:val="center"/>
                </w:tcPr>
                <w:p>
                  <w:pPr>
                    <w:adjustRightInd w:val="0"/>
                    <w:snapToGrid w:val="0"/>
                    <w:spacing w:line="360" w:lineRule="auto"/>
                    <w:jc w:val="center"/>
                    <w:rPr>
                      <w:szCs w:val="21"/>
                    </w:rPr>
                  </w:pPr>
                  <w:r>
                    <w:rPr>
                      <w:szCs w:val="21"/>
                    </w:rPr>
                    <w:t>湘益阳机1219</w:t>
                  </w:r>
                </w:p>
              </w:tc>
              <w:tc>
                <w:tcPr>
                  <w:tcW w:w="1156" w:type="dxa"/>
                  <w:tcBorders>
                    <w:tl2br w:val="nil"/>
                    <w:tr2bl w:val="nil"/>
                  </w:tcBorders>
                  <w:vAlign w:val="center"/>
                </w:tcPr>
                <w:p>
                  <w:pPr>
                    <w:adjustRightInd w:val="0"/>
                    <w:snapToGrid w:val="0"/>
                    <w:spacing w:line="360" w:lineRule="auto"/>
                    <w:jc w:val="center"/>
                    <w:rPr>
                      <w:szCs w:val="21"/>
                    </w:rPr>
                  </w:pPr>
                  <w:r>
                    <w:rPr>
                      <w:szCs w:val="21"/>
                    </w:rPr>
                    <w:t>干货船</w:t>
                  </w:r>
                </w:p>
              </w:tc>
              <w:tc>
                <w:tcPr>
                  <w:tcW w:w="925" w:type="dxa"/>
                  <w:tcBorders>
                    <w:tl2br w:val="nil"/>
                    <w:tr2bl w:val="nil"/>
                  </w:tcBorders>
                  <w:vAlign w:val="center"/>
                </w:tcPr>
                <w:p>
                  <w:pPr>
                    <w:adjustRightInd w:val="0"/>
                    <w:snapToGrid w:val="0"/>
                    <w:spacing w:line="360" w:lineRule="auto"/>
                    <w:jc w:val="center"/>
                    <w:rPr>
                      <w:szCs w:val="21"/>
                    </w:rPr>
                  </w:pPr>
                  <w:r>
                    <w:rPr>
                      <w:szCs w:val="21"/>
                    </w:rPr>
                    <w:t>77</w:t>
                  </w:r>
                </w:p>
              </w:tc>
              <w:tc>
                <w:tcPr>
                  <w:tcW w:w="749" w:type="dxa"/>
                  <w:tcBorders>
                    <w:tl2br w:val="nil"/>
                    <w:tr2bl w:val="nil"/>
                  </w:tcBorders>
                  <w:vAlign w:val="center"/>
                </w:tcPr>
                <w:p>
                  <w:pPr>
                    <w:adjustRightInd w:val="0"/>
                    <w:snapToGrid w:val="0"/>
                    <w:spacing w:line="360" w:lineRule="auto"/>
                    <w:jc w:val="center"/>
                    <w:rPr>
                      <w:szCs w:val="21"/>
                    </w:rPr>
                  </w:pPr>
                  <w:r>
                    <w:rPr>
                      <w:szCs w:val="21"/>
                    </w:rPr>
                    <w:t>43</w:t>
                  </w:r>
                </w:p>
              </w:tc>
              <w:tc>
                <w:tcPr>
                  <w:tcW w:w="1668" w:type="dxa"/>
                  <w:tcBorders>
                    <w:tl2br w:val="nil"/>
                    <w:tr2bl w:val="nil"/>
                  </w:tcBorders>
                  <w:vAlign w:val="center"/>
                </w:tcPr>
                <w:p>
                  <w:pPr>
                    <w:adjustRightInd w:val="0"/>
                    <w:snapToGrid w:val="0"/>
                    <w:spacing w:line="360" w:lineRule="auto"/>
                    <w:jc w:val="center"/>
                    <w:rPr>
                      <w:szCs w:val="21"/>
                    </w:rPr>
                  </w:pPr>
                  <w:r>
                    <w:rPr>
                      <w:szCs w:val="21"/>
                    </w:rPr>
                    <w:t>28.38×5.46×1.3</w:t>
                  </w:r>
                </w:p>
              </w:tc>
              <w:tc>
                <w:tcPr>
                  <w:tcW w:w="2372" w:type="dxa"/>
                  <w:tcBorders>
                    <w:tl2br w:val="nil"/>
                    <w:tr2bl w:val="nil"/>
                  </w:tcBorders>
                  <w:vAlign w:val="center"/>
                </w:tcPr>
                <w:p>
                  <w:pPr>
                    <w:adjustRightInd w:val="0"/>
                    <w:snapToGrid w:val="0"/>
                    <w:spacing w:line="360" w:lineRule="auto"/>
                    <w:jc w:val="center"/>
                    <w:rPr>
                      <w:color w:val="FF0000"/>
                      <w:szCs w:val="21"/>
                    </w:rPr>
                  </w:pPr>
                  <w:r>
                    <w:rPr>
                      <w:rFonts w:hint="eastAsia"/>
                      <w:kern w:val="24"/>
                      <w:szCs w:val="21"/>
                    </w:rPr>
                    <w:t>用于安装设备油水分离器</w:t>
                  </w:r>
                </w:p>
              </w:tc>
            </w:tr>
          </w:tbl>
          <w:p>
            <w:pPr>
              <w:spacing w:line="360" w:lineRule="auto"/>
              <w:jc w:val="center"/>
              <w:rPr>
                <w:rFonts w:cs="宋体"/>
                <w:b/>
                <w:szCs w:val="21"/>
              </w:rPr>
            </w:pPr>
          </w:p>
          <w:p>
            <w:pPr>
              <w:spacing w:line="360" w:lineRule="auto"/>
              <w:jc w:val="center"/>
              <w:rPr>
                <w:b/>
                <w:szCs w:val="21"/>
              </w:rPr>
            </w:pPr>
            <w:r>
              <w:rPr>
                <w:rFonts w:hint="eastAsia" w:cs="宋体"/>
                <w:b/>
                <w:szCs w:val="21"/>
              </w:rPr>
              <w:t>表</w:t>
            </w:r>
            <w:r>
              <w:rPr>
                <w:rFonts w:hint="eastAsia"/>
                <w:b/>
                <w:szCs w:val="21"/>
              </w:rPr>
              <w:t>2-3一期完成后</w:t>
            </w:r>
            <w:r>
              <w:rPr>
                <w:rFonts w:hint="eastAsia" w:cs="宋体"/>
                <w:b/>
                <w:szCs w:val="21"/>
              </w:rPr>
              <w:t>回收废机油专用船船舱吨位</w:t>
            </w:r>
          </w:p>
          <w:tbl>
            <w:tblPr>
              <w:tblStyle w:val="24"/>
              <w:tblW w:w="765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553"/>
              <w:gridCol w:w="2552"/>
              <w:gridCol w:w="255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sz w:val="21"/>
                      <w:szCs w:val="21"/>
                    </w:rPr>
                  </w:pPr>
                  <w:r>
                    <w:rPr>
                      <w:rFonts w:ascii="Times New Roman" w:hAnsi="Times New Roman" w:cs="Times New Roman"/>
                      <w:kern w:val="2"/>
                      <w:sz w:val="21"/>
                      <w:szCs w:val="21"/>
                    </w:rPr>
                    <w:t>舱型</w:t>
                  </w: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sz w:val="21"/>
                      <w:szCs w:val="21"/>
                    </w:rPr>
                  </w:pPr>
                  <w:r>
                    <w:rPr>
                      <w:rFonts w:ascii="Times New Roman" w:hAnsi="Times New Roman" w:cs="Times New Roman"/>
                      <w:kern w:val="2"/>
                      <w:sz w:val="21"/>
                      <w:szCs w:val="21"/>
                    </w:rPr>
                    <w:t>个数</w:t>
                  </w:r>
                  <w:r>
                    <w:rPr>
                      <w:rFonts w:hint="eastAsia" w:ascii="Times New Roman" w:hAnsi="Times New Roman" w:cs="Times New Roman"/>
                      <w:kern w:val="2"/>
                      <w:sz w:val="21"/>
                      <w:szCs w:val="21"/>
                    </w:rPr>
                    <w:t>（个）</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sz w:val="21"/>
                      <w:szCs w:val="21"/>
                    </w:rPr>
                  </w:pPr>
                  <w:r>
                    <w:rPr>
                      <w:rFonts w:ascii="Times New Roman" w:hAnsi="Times New Roman" w:cs="Times New Roman"/>
                      <w:kern w:val="2"/>
                      <w:sz w:val="21"/>
                      <w:szCs w:val="21"/>
                    </w:rPr>
                    <w:t>吨位</w:t>
                  </w:r>
                  <w:r>
                    <w:rPr>
                      <w:rFonts w:hint="eastAsia" w:ascii="Times New Roman" w:hAnsi="Times New Roman" w:cs="Times New Roman"/>
                      <w:kern w:val="2"/>
                      <w:sz w:val="21"/>
                      <w:szCs w:val="21"/>
                    </w:rPr>
                    <w:t>（t）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7658" w:type="dxa"/>
                  <w:gridSpan w:val="3"/>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hint="eastAsia" w:ascii="Times New Roman" w:hAnsi="Times New Roman" w:cs="Times New Roman"/>
                      <w:b/>
                      <w:bCs/>
                      <w:kern w:val="2"/>
                      <w:sz w:val="21"/>
                      <w:szCs w:val="21"/>
                    </w:rPr>
                    <w:t>现有部分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58" w:type="dxa"/>
                  <w:gridSpan w:val="3"/>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湘岳阳油1129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sz w:val="21"/>
                      <w:szCs w:val="21"/>
                    </w:rPr>
                  </w:pPr>
                  <w:r>
                    <w:rPr>
                      <w:rFonts w:ascii="Times New Roman" w:hAnsi="Times New Roman" w:cs="Times New Roman"/>
                      <w:kern w:val="2"/>
                      <w:sz w:val="21"/>
                      <w:szCs w:val="21"/>
                    </w:rPr>
                    <w:t>安全气舱</w:t>
                  </w: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sz w:val="21"/>
                      <w:szCs w:val="21"/>
                    </w:rPr>
                  </w:pPr>
                  <w:r>
                    <w:rPr>
                      <w:rFonts w:ascii="Times New Roman" w:hAnsi="Times New Roman" w:cs="Times New Roman"/>
                      <w:kern w:val="2"/>
                      <w:sz w:val="21"/>
                      <w:szCs w:val="21"/>
                    </w:rPr>
                    <w:t>8</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sz w:val="21"/>
                      <w:szCs w:val="21"/>
                    </w:rPr>
                  </w:pPr>
                  <w:r>
                    <w:rPr>
                      <w:rFonts w:ascii="Times New Roman" w:hAnsi="Times New Roman" w:cs="Times New Roman"/>
                      <w:kern w:val="2"/>
                      <w:sz w:val="21"/>
                      <w:szCs w:val="21"/>
                    </w:rPr>
                    <w:t>16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2553" w:type="dxa"/>
                  <w:vMerge w:val="restart"/>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sz w:val="21"/>
                      <w:szCs w:val="21"/>
                    </w:rPr>
                  </w:pPr>
                  <w:r>
                    <w:rPr>
                      <w:rFonts w:ascii="Times New Roman" w:hAnsi="Times New Roman" w:cs="Times New Roman"/>
                      <w:kern w:val="2"/>
                      <w:sz w:val="21"/>
                      <w:szCs w:val="21"/>
                    </w:rPr>
                    <w:t>油舱</w:t>
                  </w:r>
                </w:p>
                <w:p>
                  <w:pPr>
                    <w:jc w:val="center"/>
                    <w:rPr>
                      <w:szCs w:val="21"/>
                    </w:rPr>
                  </w:pP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sz w:val="21"/>
                      <w:szCs w:val="21"/>
                    </w:rPr>
                  </w:pPr>
                  <w:r>
                    <w:rPr>
                      <w:rFonts w:ascii="Times New Roman" w:hAnsi="Times New Roman" w:cs="Times New Roman"/>
                      <w:kern w:val="2"/>
                      <w:sz w:val="21"/>
                      <w:szCs w:val="21"/>
                    </w:rPr>
                    <w:t>1</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sz w:val="21"/>
                      <w:szCs w:val="21"/>
                    </w:rPr>
                  </w:pPr>
                  <w:r>
                    <w:rPr>
                      <w:rFonts w:ascii="Times New Roman" w:hAnsi="Times New Roman" w:cs="Times New Roman"/>
                      <w:kern w:val="2"/>
                      <w:sz w:val="21"/>
                      <w:szCs w:val="21"/>
                    </w:rPr>
                    <w:t>18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2553" w:type="dxa"/>
                  <w:vMerge w:val="continue"/>
                  <w:tcBorders>
                    <w:tl2br w:val="nil"/>
                    <w:tr2bl w:val="nil"/>
                  </w:tcBorders>
                  <w:noWrap/>
                  <w:vAlign w:val="center"/>
                </w:tcPr>
                <w:p>
                  <w:pPr>
                    <w:jc w:val="center"/>
                    <w:rPr>
                      <w:szCs w:val="21"/>
                    </w:rPr>
                  </w:pP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sz w:val="21"/>
                      <w:szCs w:val="21"/>
                    </w:rPr>
                  </w:pPr>
                  <w:r>
                    <w:rPr>
                      <w:rFonts w:ascii="Times New Roman" w:hAnsi="Times New Roman" w:cs="Times New Roman"/>
                      <w:kern w:val="2"/>
                      <w:sz w:val="21"/>
                      <w:szCs w:val="21"/>
                    </w:rPr>
                    <w:t>1</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sz w:val="21"/>
                      <w:szCs w:val="21"/>
                    </w:rPr>
                  </w:pPr>
                  <w:r>
                    <w:rPr>
                      <w:rFonts w:ascii="Times New Roman" w:hAnsi="Times New Roman" w:cs="Times New Roman"/>
                      <w:kern w:val="2"/>
                      <w:sz w:val="21"/>
                      <w:szCs w:val="21"/>
                    </w:rPr>
                    <w:t>17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2553" w:type="dxa"/>
                  <w:vMerge w:val="continue"/>
                  <w:tcBorders>
                    <w:tl2br w:val="nil"/>
                    <w:tr2bl w:val="nil"/>
                  </w:tcBorders>
                  <w:noWrap/>
                  <w:vAlign w:val="center"/>
                </w:tcPr>
                <w:p>
                  <w:pPr>
                    <w:jc w:val="center"/>
                    <w:rPr>
                      <w:szCs w:val="21"/>
                    </w:rPr>
                  </w:pP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sz w:val="21"/>
                      <w:szCs w:val="21"/>
                    </w:rPr>
                  </w:pPr>
                  <w:r>
                    <w:rPr>
                      <w:rFonts w:ascii="Times New Roman" w:hAnsi="Times New Roman" w:cs="Times New Roman"/>
                      <w:kern w:val="2"/>
                      <w:sz w:val="21"/>
                      <w:szCs w:val="21"/>
                    </w:rPr>
                    <w:t>4</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sz w:val="21"/>
                      <w:szCs w:val="21"/>
                    </w:rPr>
                  </w:pPr>
                  <w:r>
                    <w:rPr>
                      <w:rFonts w:ascii="Times New Roman" w:hAnsi="Times New Roman" w:cs="Times New Roman"/>
                      <w:kern w:val="2"/>
                      <w:sz w:val="21"/>
                      <w:szCs w:val="21"/>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7658" w:type="dxa"/>
                  <w:gridSpan w:val="3"/>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hint="eastAsia" w:ascii="Times New Roman" w:hAnsi="Times New Roman" w:cs="Times New Roman"/>
                      <w:b/>
                      <w:bCs/>
                      <w:kern w:val="2"/>
                      <w:sz w:val="21"/>
                      <w:szCs w:val="21"/>
                    </w:rPr>
                    <w:t>一期新增部分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02" w:hRule="atLeast"/>
                <w:jc w:val="center"/>
              </w:trPr>
              <w:tc>
                <w:tcPr>
                  <w:tcW w:w="7658" w:type="dxa"/>
                  <w:gridSpan w:val="3"/>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清源2号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2553" w:type="dxa"/>
                  <w:tcBorders>
                    <w:tl2br w:val="nil"/>
                    <w:tr2bl w:val="nil"/>
                  </w:tcBorders>
                  <w:noWrap/>
                  <w:vAlign w:val="center"/>
                </w:tcPr>
                <w:p>
                  <w:pPr>
                    <w:jc w:val="center"/>
                    <w:rPr>
                      <w:szCs w:val="21"/>
                    </w:rPr>
                  </w:pPr>
                  <w:r>
                    <w:rPr>
                      <w:szCs w:val="21"/>
                    </w:rPr>
                    <w:t>安全气仓</w:t>
                  </w: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8</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40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2553" w:type="dxa"/>
                  <w:tcBorders>
                    <w:tl2br w:val="nil"/>
                    <w:tr2bl w:val="nil"/>
                  </w:tcBorders>
                  <w:noWrap/>
                  <w:vAlign w:val="center"/>
                </w:tcPr>
                <w:p>
                  <w:pPr>
                    <w:jc w:val="center"/>
                    <w:rPr>
                      <w:szCs w:val="21"/>
                    </w:rPr>
                  </w:pPr>
                  <w:r>
                    <w:rPr>
                      <w:szCs w:val="21"/>
                    </w:rPr>
                    <w:t>油舱</w:t>
                  </w: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2</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35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2553" w:type="dxa"/>
                  <w:tcBorders>
                    <w:tl2br w:val="nil"/>
                    <w:tr2bl w:val="nil"/>
                  </w:tcBorders>
                  <w:noWrap/>
                  <w:vAlign w:val="center"/>
                </w:tcPr>
                <w:p>
                  <w:pPr>
                    <w:jc w:val="center"/>
                    <w:rPr>
                      <w:szCs w:val="21"/>
                    </w:rPr>
                  </w:pPr>
                  <w:r>
                    <w:rPr>
                      <w:szCs w:val="21"/>
                    </w:rPr>
                    <w:t>生活污水仓</w:t>
                  </w: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2</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60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2553" w:type="dxa"/>
                  <w:tcBorders>
                    <w:tl2br w:val="nil"/>
                    <w:tr2bl w:val="nil"/>
                  </w:tcBorders>
                  <w:noWrap/>
                  <w:vAlign w:val="center"/>
                </w:tcPr>
                <w:p>
                  <w:pPr>
                    <w:jc w:val="center"/>
                    <w:rPr>
                      <w:szCs w:val="21"/>
                    </w:rPr>
                  </w:pPr>
                  <w:r>
                    <w:rPr>
                      <w:szCs w:val="21"/>
                    </w:rPr>
                    <w:t>垃圾贮存箱</w:t>
                  </w: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3</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7658" w:type="dxa"/>
                  <w:gridSpan w:val="3"/>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湘益阳1219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2553" w:type="dxa"/>
                  <w:tcBorders>
                    <w:tl2br w:val="nil"/>
                    <w:tr2bl w:val="nil"/>
                  </w:tcBorders>
                  <w:noWrap/>
                  <w:vAlign w:val="center"/>
                </w:tcPr>
                <w:p>
                  <w:pPr>
                    <w:jc w:val="center"/>
                    <w:rPr>
                      <w:szCs w:val="21"/>
                    </w:rPr>
                  </w:pPr>
                  <w:r>
                    <w:rPr>
                      <w:szCs w:val="21"/>
                    </w:rPr>
                    <w:t>油污水贮存舱</w:t>
                  </w: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1</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35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2553" w:type="dxa"/>
                  <w:tcBorders>
                    <w:tl2br w:val="nil"/>
                    <w:tr2bl w:val="nil"/>
                  </w:tcBorders>
                  <w:noWrap/>
                  <w:vAlign w:val="center"/>
                </w:tcPr>
                <w:p>
                  <w:pPr>
                    <w:jc w:val="center"/>
                    <w:rPr>
                      <w:szCs w:val="21"/>
                    </w:rPr>
                  </w:pPr>
                  <w:r>
                    <w:rPr>
                      <w:szCs w:val="21"/>
                    </w:rPr>
                    <w:t>污水贮存舱</w:t>
                  </w: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1</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35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2553" w:type="dxa"/>
                  <w:tcBorders>
                    <w:tl2br w:val="nil"/>
                    <w:tr2bl w:val="nil"/>
                  </w:tcBorders>
                  <w:noWrap/>
                  <w:vAlign w:val="center"/>
                </w:tcPr>
                <w:p>
                  <w:pPr>
                    <w:jc w:val="center"/>
                    <w:rPr>
                      <w:szCs w:val="21"/>
                    </w:rPr>
                  </w:pPr>
                  <w:r>
                    <w:rPr>
                      <w:szCs w:val="21"/>
                    </w:rPr>
                    <w:t>残油贮存舱</w:t>
                  </w: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1</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2553" w:type="dxa"/>
                  <w:tcBorders>
                    <w:tl2br w:val="nil"/>
                    <w:tr2bl w:val="nil"/>
                  </w:tcBorders>
                  <w:noWrap/>
                  <w:vAlign w:val="center"/>
                </w:tcPr>
                <w:p>
                  <w:pPr>
                    <w:jc w:val="center"/>
                    <w:rPr>
                      <w:szCs w:val="21"/>
                    </w:rPr>
                  </w:pPr>
                  <w:r>
                    <w:rPr>
                      <w:szCs w:val="21"/>
                    </w:rPr>
                    <w:t>安全气舱</w:t>
                  </w: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1</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40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7658" w:type="dxa"/>
                  <w:gridSpan w:val="3"/>
                  <w:tcBorders>
                    <w:tl2br w:val="nil"/>
                    <w:tr2bl w:val="nil"/>
                  </w:tcBorders>
                  <w:noWrap/>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岳阳交通06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2553" w:type="dxa"/>
                  <w:tcBorders>
                    <w:tl2br w:val="nil"/>
                    <w:tr2bl w:val="nil"/>
                  </w:tcBorders>
                  <w:noWrap/>
                  <w:vAlign w:val="center"/>
                </w:tcPr>
                <w:p>
                  <w:pPr>
                    <w:jc w:val="center"/>
                    <w:rPr>
                      <w:szCs w:val="21"/>
                    </w:rPr>
                  </w:pPr>
                  <w:r>
                    <w:rPr>
                      <w:szCs w:val="21"/>
                    </w:rPr>
                    <w:t>安全气舱</w:t>
                  </w: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4</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12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2553" w:type="dxa"/>
                  <w:tcBorders>
                    <w:tl2br w:val="nil"/>
                    <w:tr2bl w:val="nil"/>
                  </w:tcBorders>
                  <w:noWrap/>
                  <w:vAlign w:val="center"/>
                </w:tcPr>
                <w:p>
                  <w:pPr>
                    <w:jc w:val="center"/>
                    <w:rPr>
                      <w:szCs w:val="21"/>
                    </w:rPr>
                  </w:pPr>
                  <w:r>
                    <w:rPr>
                      <w:szCs w:val="21"/>
                    </w:rPr>
                    <w:t>生活污水贮存舱</w:t>
                  </w: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1</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2553" w:type="dxa"/>
                  <w:tcBorders>
                    <w:tl2br w:val="nil"/>
                    <w:tr2bl w:val="nil"/>
                  </w:tcBorders>
                  <w:noWrap/>
                  <w:vAlign w:val="center"/>
                </w:tcPr>
                <w:p>
                  <w:pPr>
                    <w:jc w:val="center"/>
                    <w:rPr>
                      <w:szCs w:val="21"/>
                    </w:rPr>
                  </w:pPr>
                  <w:r>
                    <w:rPr>
                      <w:szCs w:val="21"/>
                    </w:rPr>
                    <w:t>生活垃圾贮存舱</w:t>
                  </w: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2</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02" w:hRule="atLeast"/>
                <w:jc w:val="center"/>
              </w:trPr>
              <w:tc>
                <w:tcPr>
                  <w:tcW w:w="7658" w:type="dxa"/>
                  <w:gridSpan w:val="3"/>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应急</w:t>
                  </w:r>
                  <w:r>
                    <w:rPr>
                      <w:rFonts w:hint="eastAsia" w:ascii="Times New Roman" w:hAnsi="Times New Roman" w:cs="Times New Roman"/>
                      <w:kern w:val="2"/>
                      <w:sz w:val="21"/>
                      <w:szCs w:val="21"/>
                    </w:rPr>
                    <w:t>库</w:t>
                  </w:r>
                  <w:r>
                    <w:rPr>
                      <w:rFonts w:ascii="Times New Roman" w:hAnsi="Times New Roman" w:cs="Times New Roman"/>
                      <w:kern w:val="2"/>
                      <w:sz w:val="21"/>
                      <w:szCs w:val="21"/>
                    </w:rPr>
                    <w:t>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2553" w:type="dxa"/>
                  <w:tcBorders>
                    <w:tl2br w:val="nil"/>
                    <w:tr2bl w:val="nil"/>
                  </w:tcBorders>
                  <w:noWrap/>
                  <w:vAlign w:val="center"/>
                </w:tcPr>
                <w:p>
                  <w:pPr>
                    <w:jc w:val="center"/>
                    <w:rPr>
                      <w:szCs w:val="21"/>
                    </w:rPr>
                  </w:pPr>
                  <w:r>
                    <w:rPr>
                      <w:szCs w:val="21"/>
                    </w:rPr>
                    <w:t>1号临时贮存罐</w:t>
                  </w: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4</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15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2553" w:type="dxa"/>
                  <w:tcBorders>
                    <w:tl2br w:val="nil"/>
                    <w:tr2bl w:val="nil"/>
                  </w:tcBorders>
                  <w:noWrap/>
                  <w:vAlign w:val="center"/>
                </w:tcPr>
                <w:p>
                  <w:pPr>
                    <w:jc w:val="center"/>
                    <w:rPr>
                      <w:szCs w:val="21"/>
                    </w:rPr>
                  </w:pPr>
                  <w:r>
                    <w:rPr>
                      <w:szCs w:val="21"/>
                    </w:rPr>
                    <w:t>2号临时贮存罐</w:t>
                  </w: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1</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2553" w:type="dxa"/>
                  <w:tcBorders>
                    <w:tl2br w:val="nil"/>
                    <w:tr2bl w:val="nil"/>
                  </w:tcBorders>
                  <w:noWrap/>
                  <w:vAlign w:val="center"/>
                </w:tcPr>
                <w:p>
                  <w:pPr>
                    <w:jc w:val="center"/>
                    <w:rPr>
                      <w:szCs w:val="21"/>
                    </w:rPr>
                  </w:pPr>
                  <w:r>
                    <w:rPr>
                      <w:szCs w:val="21"/>
                    </w:rPr>
                    <w:t>安全气舱</w:t>
                  </w: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4</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100</w:t>
                  </w:r>
                </w:p>
              </w:tc>
            </w:tr>
          </w:tbl>
          <w:p>
            <w:pPr>
              <w:pStyle w:val="23"/>
              <w:ind w:left="0" w:leftChars="0" w:firstLine="0" w:firstLineChars="0"/>
              <w:jc w:val="center"/>
              <w:rPr>
                <w:szCs w:val="21"/>
              </w:rPr>
            </w:pPr>
            <w:r>
              <w:rPr>
                <w:b/>
                <w:bCs/>
                <w:szCs w:val="21"/>
              </w:rPr>
              <w:t>表</w:t>
            </w:r>
            <w:r>
              <w:rPr>
                <w:rFonts w:hint="eastAsia"/>
                <w:b/>
                <w:bCs/>
                <w:szCs w:val="21"/>
              </w:rPr>
              <w:t>2-4  一期完成后其他设备一览表</w:t>
            </w:r>
          </w:p>
          <w:tbl>
            <w:tblPr>
              <w:tblStyle w:val="25"/>
              <w:tblW w:w="782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608"/>
              <w:gridCol w:w="4274"/>
              <w:gridCol w:w="94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2608" w:type="dxa"/>
                  <w:tcBorders>
                    <w:tl2br w:val="nil"/>
                    <w:tr2bl w:val="nil"/>
                  </w:tcBorders>
                  <w:vAlign w:val="center"/>
                </w:tcPr>
                <w:p>
                  <w:pPr>
                    <w:adjustRightInd w:val="0"/>
                    <w:snapToGrid w:val="0"/>
                    <w:spacing w:line="360" w:lineRule="auto"/>
                    <w:jc w:val="center"/>
                    <w:rPr>
                      <w:b/>
                      <w:bCs/>
                      <w:szCs w:val="21"/>
                    </w:rPr>
                  </w:pPr>
                  <w:r>
                    <w:rPr>
                      <w:rFonts w:hint="eastAsia"/>
                      <w:b/>
                      <w:bCs/>
                      <w:szCs w:val="21"/>
                    </w:rPr>
                    <w:t>名称</w:t>
                  </w:r>
                </w:p>
              </w:tc>
              <w:tc>
                <w:tcPr>
                  <w:tcW w:w="4274" w:type="dxa"/>
                  <w:tcBorders>
                    <w:tl2br w:val="nil"/>
                    <w:tr2bl w:val="nil"/>
                  </w:tcBorders>
                  <w:vAlign w:val="center"/>
                </w:tcPr>
                <w:p>
                  <w:pPr>
                    <w:adjustRightInd w:val="0"/>
                    <w:snapToGrid w:val="0"/>
                    <w:spacing w:line="360" w:lineRule="auto"/>
                    <w:jc w:val="center"/>
                    <w:rPr>
                      <w:b/>
                      <w:bCs/>
                      <w:szCs w:val="21"/>
                    </w:rPr>
                  </w:pPr>
                  <w:r>
                    <w:rPr>
                      <w:rFonts w:hint="eastAsia"/>
                      <w:b/>
                      <w:bCs/>
                      <w:szCs w:val="21"/>
                    </w:rPr>
                    <w:t>数量</w:t>
                  </w:r>
                </w:p>
              </w:tc>
              <w:tc>
                <w:tcPr>
                  <w:tcW w:w="944" w:type="dxa"/>
                  <w:tcBorders>
                    <w:tl2br w:val="nil"/>
                    <w:tr2bl w:val="nil"/>
                  </w:tcBorders>
                  <w:vAlign w:val="center"/>
                </w:tcPr>
                <w:p>
                  <w:pPr>
                    <w:adjustRightInd w:val="0"/>
                    <w:snapToGrid w:val="0"/>
                    <w:spacing w:line="360" w:lineRule="auto"/>
                    <w:jc w:val="center"/>
                    <w:rPr>
                      <w:b/>
                      <w:bCs/>
                      <w:szCs w:val="21"/>
                    </w:rPr>
                  </w:pPr>
                  <w:r>
                    <w:rPr>
                      <w:rFonts w:hint="eastAsia"/>
                      <w:b/>
                      <w:bCs/>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7826" w:type="dxa"/>
                  <w:gridSpan w:val="3"/>
                  <w:tcBorders>
                    <w:tl2br w:val="nil"/>
                    <w:tr2bl w:val="nil"/>
                  </w:tcBorders>
                  <w:vAlign w:val="center"/>
                </w:tcPr>
                <w:p>
                  <w:pPr>
                    <w:adjustRightInd w:val="0"/>
                    <w:snapToGrid w:val="0"/>
                    <w:spacing w:line="360" w:lineRule="auto"/>
                    <w:jc w:val="center"/>
                    <w:rPr>
                      <w:b/>
                      <w:bCs/>
                      <w:szCs w:val="21"/>
                    </w:rPr>
                  </w:pPr>
                  <w:r>
                    <w:rPr>
                      <w:rFonts w:hint="eastAsia"/>
                      <w:b/>
                      <w:bCs/>
                      <w:szCs w:val="21"/>
                    </w:rPr>
                    <w:t>现有部分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826" w:type="dxa"/>
                  <w:gridSpan w:val="3"/>
                  <w:tcBorders>
                    <w:tl2br w:val="nil"/>
                    <w:tr2bl w:val="nil"/>
                  </w:tcBorders>
                  <w:vAlign w:val="center"/>
                </w:tcPr>
                <w:p>
                  <w:pPr>
                    <w:adjustRightInd w:val="0"/>
                    <w:snapToGrid w:val="0"/>
                    <w:spacing w:line="360" w:lineRule="auto"/>
                    <w:jc w:val="center"/>
                    <w:rPr>
                      <w:szCs w:val="21"/>
                    </w:rPr>
                  </w:pPr>
                  <w:r>
                    <w:rPr>
                      <w:rFonts w:hint="eastAsia"/>
                      <w:szCs w:val="21"/>
                    </w:rPr>
                    <w:t>湘岳阳1129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szCs w:val="21"/>
                    </w:rPr>
                  </w:pPr>
                  <w:r>
                    <w:rPr>
                      <w:rFonts w:hint="eastAsia" w:cs="宋体"/>
                      <w:szCs w:val="21"/>
                    </w:rPr>
                    <w:t>锚设备</w:t>
                  </w:r>
                </w:p>
              </w:tc>
              <w:tc>
                <w:tcPr>
                  <w:tcW w:w="4274" w:type="dxa"/>
                  <w:tcBorders>
                    <w:tl2br w:val="nil"/>
                    <w:tr2bl w:val="nil"/>
                  </w:tcBorders>
                  <w:vAlign w:val="center"/>
                </w:tcPr>
                <w:p>
                  <w:pPr>
                    <w:autoSpaceDN w:val="0"/>
                    <w:jc w:val="center"/>
                    <w:textAlignment w:val="center"/>
                  </w:pPr>
                  <w:r>
                    <w:rPr>
                      <w:rFonts w:hint="eastAsia" w:cs="宋体"/>
                    </w:rPr>
                    <w:t>舾装数</w:t>
                  </w:r>
                  <w:r>
                    <w:t>128</w:t>
                  </w:r>
                  <w:r>
                    <w:rPr>
                      <w:rFonts w:hint="eastAsia" w:cs="宋体"/>
                    </w:rPr>
                    <w:t>个，锚数量</w:t>
                  </w:r>
                  <w:r>
                    <w:t>2</w:t>
                  </w:r>
                  <w:r>
                    <w:rPr>
                      <w:rFonts w:hint="eastAsia" w:cs="宋体"/>
                    </w:rPr>
                    <w:t>个，锚机数量</w:t>
                  </w:r>
                  <w:r>
                    <w:t>1</w:t>
                  </w:r>
                  <w:r>
                    <w:rPr>
                      <w:rFonts w:hint="eastAsia" w:cs="宋体"/>
                    </w:rPr>
                    <w:t>台</w:t>
                  </w:r>
                </w:p>
              </w:tc>
              <w:tc>
                <w:tcPr>
                  <w:tcW w:w="944" w:type="dxa"/>
                  <w:tcBorders>
                    <w:tl2br w:val="nil"/>
                    <w:tr2bl w:val="nil"/>
                  </w:tcBorders>
                  <w:vAlign w:val="center"/>
                </w:tcPr>
                <w:p>
                  <w:pPr>
                    <w:adjustRightInd w:val="0"/>
                    <w:snapToGrid w:val="0"/>
                    <w:spacing w:line="360" w:lineRule="auto"/>
                    <w:jc w:val="center"/>
                    <w:rPr>
                      <w:b/>
                      <w:bCs/>
                      <w:sz w:val="24"/>
                      <w:szCs w:val="24"/>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szCs w:val="21"/>
                    </w:rPr>
                  </w:pPr>
                  <w:r>
                    <w:rPr>
                      <w:rFonts w:hint="eastAsia" w:cs="宋体"/>
                      <w:szCs w:val="21"/>
                    </w:rPr>
                    <w:t>舵设备</w:t>
                  </w:r>
                </w:p>
              </w:tc>
              <w:tc>
                <w:tcPr>
                  <w:tcW w:w="4274" w:type="dxa"/>
                  <w:tcBorders>
                    <w:tl2br w:val="nil"/>
                    <w:tr2bl w:val="nil"/>
                  </w:tcBorders>
                  <w:vAlign w:val="center"/>
                </w:tcPr>
                <w:p>
                  <w:pPr>
                    <w:autoSpaceDN w:val="0"/>
                    <w:jc w:val="center"/>
                    <w:textAlignment w:val="center"/>
                  </w:pPr>
                  <w:r>
                    <w:rPr>
                      <w:rFonts w:hint="eastAsia" w:cs="宋体"/>
                    </w:rPr>
                    <w:t>舵数量</w:t>
                  </w:r>
                  <w:r>
                    <w:t>2</w:t>
                  </w:r>
                  <w:r>
                    <w:rPr>
                      <w:rFonts w:hint="eastAsia" w:cs="宋体"/>
                    </w:rPr>
                    <w:t>个</w:t>
                  </w:r>
                </w:p>
              </w:tc>
              <w:tc>
                <w:tcPr>
                  <w:tcW w:w="944" w:type="dxa"/>
                  <w:tcBorders>
                    <w:tl2br w:val="nil"/>
                    <w:tr2bl w:val="nil"/>
                  </w:tcBorders>
                  <w:vAlign w:val="center"/>
                </w:tcPr>
                <w:p>
                  <w:pPr>
                    <w:adjustRightInd w:val="0"/>
                    <w:snapToGrid w:val="0"/>
                    <w:spacing w:line="360" w:lineRule="auto"/>
                    <w:jc w:val="center"/>
                    <w:rPr>
                      <w:b/>
                      <w:bCs/>
                      <w:sz w:val="24"/>
                      <w:szCs w:val="24"/>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szCs w:val="21"/>
                    </w:rPr>
                  </w:pPr>
                  <w:r>
                    <w:rPr>
                      <w:rFonts w:hint="eastAsia" w:cs="宋体"/>
                      <w:szCs w:val="21"/>
                    </w:rPr>
                    <w:t>消防设备</w:t>
                  </w:r>
                </w:p>
              </w:tc>
              <w:tc>
                <w:tcPr>
                  <w:tcW w:w="4274" w:type="dxa"/>
                  <w:tcBorders>
                    <w:tl2br w:val="nil"/>
                    <w:tr2bl w:val="nil"/>
                  </w:tcBorders>
                  <w:vAlign w:val="center"/>
                </w:tcPr>
                <w:p>
                  <w:pPr>
                    <w:autoSpaceDN w:val="0"/>
                    <w:jc w:val="center"/>
                    <w:textAlignment w:val="center"/>
                  </w:pPr>
                  <w:r>
                    <w:rPr>
                      <w:rFonts w:hint="eastAsia" w:cs="宋体"/>
                    </w:rPr>
                    <w:t>水消防泵</w:t>
                  </w:r>
                  <w:r>
                    <w:t>1</w:t>
                  </w:r>
                  <w:r>
                    <w:rPr>
                      <w:rFonts w:hint="eastAsia" w:cs="宋体"/>
                    </w:rPr>
                    <w:t>台，消火栓</w:t>
                  </w:r>
                  <w:r>
                    <w:t>2</w:t>
                  </w:r>
                  <w:r>
                    <w:rPr>
                      <w:rFonts w:hint="eastAsia" w:cs="宋体"/>
                    </w:rPr>
                    <w:t>个，水枪</w:t>
                  </w:r>
                  <w:r>
                    <w:t>1</w:t>
                  </w:r>
                  <w:r>
                    <w:rPr>
                      <w:rFonts w:hint="eastAsia" w:cs="宋体"/>
                    </w:rPr>
                    <w:t>支</w:t>
                  </w:r>
                </w:p>
              </w:tc>
              <w:tc>
                <w:tcPr>
                  <w:tcW w:w="944" w:type="dxa"/>
                  <w:tcBorders>
                    <w:tl2br w:val="nil"/>
                    <w:tr2bl w:val="nil"/>
                  </w:tcBorders>
                  <w:vAlign w:val="center"/>
                </w:tcPr>
                <w:p>
                  <w:pPr>
                    <w:adjustRightInd w:val="0"/>
                    <w:snapToGrid w:val="0"/>
                    <w:spacing w:line="360" w:lineRule="auto"/>
                    <w:jc w:val="center"/>
                    <w:rPr>
                      <w:b/>
                      <w:bCs/>
                      <w:sz w:val="24"/>
                      <w:szCs w:val="24"/>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2608" w:type="dxa"/>
                  <w:tcBorders>
                    <w:tl2br w:val="nil"/>
                    <w:tr2bl w:val="nil"/>
                  </w:tcBorders>
                  <w:vAlign w:val="center"/>
                </w:tcPr>
                <w:p>
                  <w:pPr>
                    <w:autoSpaceDN w:val="0"/>
                    <w:jc w:val="center"/>
                    <w:textAlignment w:val="center"/>
                    <w:rPr>
                      <w:szCs w:val="21"/>
                    </w:rPr>
                  </w:pPr>
                  <w:r>
                    <w:rPr>
                      <w:rFonts w:hint="eastAsia" w:cs="宋体"/>
                      <w:szCs w:val="21"/>
                    </w:rPr>
                    <w:t>航行设备</w:t>
                  </w:r>
                </w:p>
              </w:tc>
              <w:tc>
                <w:tcPr>
                  <w:tcW w:w="4274" w:type="dxa"/>
                  <w:tcBorders>
                    <w:tl2br w:val="nil"/>
                    <w:tr2bl w:val="nil"/>
                  </w:tcBorders>
                  <w:vAlign w:val="center"/>
                </w:tcPr>
                <w:p>
                  <w:pPr>
                    <w:autoSpaceDN w:val="0"/>
                    <w:jc w:val="center"/>
                    <w:textAlignment w:val="center"/>
                  </w:pPr>
                  <w:r>
                    <w:rPr>
                      <w:rFonts w:hint="eastAsia" w:cs="宋体"/>
                    </w:rPr>
                    <w:t>测深杆</w:t>
                  </w:r>
                  <w:r>
                    <w:t>2</w:t>
                  </w:r>
                  <w:r>
                    <w:rPr>
                      <w:rFonts w:hint="eastAsia" w:cs="宋体"/>
                    </w:rPr>
                    <w:t>个，望远镜</w:t>
                  </w:r>
                  <w:r>
                    <w:t>1</w:t>
                  </w:r>
                  <w:r>
                    <w:rPr>
                      <w:rFonts w:hint="eastAsia" w:cs="宋体"/>
                    </w:rPr>
                    <w:t>个</w:t>
                  </w:r>
                </w:p>
              </w:tc>
              <w:tc>
                <w:tcPr>
                  <w:tcW w:w="944" w:type="dxa"/>
                  <w:tcBorders>
                    <w:tl2br w:val="nil"/>
                    <w:tr2bl w:val="nil"/>
                  </w:tcBorders>
                  <w:vAlign w:val="center"/>
                </w:tcPr>
                <w:p>
                  <w:pPr>
                    <w:adjustRightInd w:val="0"/>
                    <w:snapToGrid w:val="0"/>
                    <w:spacing w:line="360" w:lineRule="auto"/>
                    <w:jc w:val="center"/>
                    <w:rPr>
                      <w:b/>
                      <w:bCs/>
                      <w:sz w:val="24"/>
                      <w:szCs w:val="24"/>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2608" w:type="dxa"/>
                  <w:tcBorders>
                    <w:tl2br w:val="nil"/>
                    <w:tr2bl w:val="nil"/>
                  </w:tcBorders>
                  <w:vAlign w:val="center"/>
                </w:tcPr>
                <w:p>
                  <w:pPr>
                    <w:autoSpaceDN w:val="0"/>
                    <w:jc w:val="center"/>
                    <w:textAlignment w:val="center"/>
                    <w:rPr>
                      <w:szCs w:val="21"/>
                    </w:rPr>
                  </w:pPr>
                  <w:r>
                    <w:rPr>
                      <w:rFonts w:hint="eastAsia" w:cs="宋体"/>
                      <w:szCs w:val="21"/>
                    </w:rPr>
                    <w:t>信号设备</w:t>
                  </w:r>
                </w:p>
              </w:tc>
              <w:tc>
                <w:tcPr>
                  <w:tcW w:w="4274" w:type="dxa"/>
                  <w:tcBorders>
                    <w:tl2br w:val="nil"/>
                    <w:tr2bl w:val="nil"/>
                  </w:tcBorders>
                  <w:vAlign w:val="center"/>
                </w:tcPr>
                <w:p>
                  <w:pPr>
                    <w:autoSpaceDN w:val="0"/>
                    <w:jc w:val="center"/>
                    <w:textAlignment w:val="center"/>
                  </w:pPr>
                  <w:r>
                    <w:rPr>
                      <w:rFonts w:hint="eastAsia" w:cs="宋体"/>
                    </w:rPr>
                    <w:t>国旗、号笛、红旗、桅灯、尾灯、信号旗各</w:t>
                  </w:r>
                  <w:r>
                    <w:t>1</w:t>
                  </w:r>
                  <w:r>
                    <w:rPr>
                      <w:rFonts w:hint="eastAsia" w:cs="宋体"/>
                    </w:rPr>
                    <w:t>个，环照灯</w:t>
                  </w:r>
                  <w:r>
                    <w:t>4</w:t>
                  </w:r>
                  <w:r>
                    <w:rPr>
                      <w:rFonts w:hint="eastAsia" w:cs="宋体"/>
                    </w:rPr>
                    <w:t>个，闪光灯</w:t>
                  </w:r>
                  <w:r>
                    <w:t>3</w:t>
                  </w:r>
                  <w:r>
                    <w:rPr>
                      <w:rFonts w:hint="eastAsia" w:cs="宋体"/>
                    </w:rPr>
                    <w:t>个，舷灯</w:t>
                  </w:r>
                  <w:r>
                    <w:t>2</w:t>
                  </w:r>
                  <w:r>
                    <w:rPr>
                      <w:rFonts w:hint="eastAsia" w:cs="宋体"/>
                    </w:rPr>
                    <w:t>个</w:t>
                  </w:r>
                </w:p>
              </w:tc>
              <w:tc>
                <w:tcPr>
                  <w:tcW w:w="944" w:type="dxa"/>
                  <w:tcBorders>
                    <w:tl2br w:val="nil"/>
                    <w:tr2bl w:val="nil"/>
                  </w:tcBorders>
                  <w:vAlign w:val="center"/>
                </w:tcPr>
                <w:p>
                  <w:pPr>
                    <w:adjustRightInd w:val="0"/>
                    <w:snapToGrid w:val="0"/>
                    <w:spacing w:line="360" w:lineRule="auto"/>
                    <w:jc w:val="center"/>
                    <w:rPr>
                      <w:b/>
                      <w:bCs/>
                      <w:sz w:val="24"/>
                      <w:szCs w:val="24"/>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2608" w:type="dxa"/>
                  <w:tcBorders>
                    <w:tl2br w:val="nil"/>
                    <w:tr2bl w:val="nil"/>
                  </w:tcBorders>
                  <w:vAlign w:val="center"/>
                </w:tcPr>
                <w:p>
                  <w:pPr>
                    <w:autoSpaceDN w:val="0"/>
                    <w:jc w:val="center"/>
                    <w:textAlignment w:val="center"/>
                    <w:rPr>
                      <w:rFonts w:cs="宋体"/>
                      <w:szCs w:val="21"/>
                    </w:rPr>
                  </w:pPr>
                  <w:r>
                    <w:rPr>
                      <w:rFonts w:hint="eastAsia" w:cs="宋体"/>
                      <w:szCs w:val="21"/>
                    </w:rPr>
                    <w:t>柴油发电机</w:t>
                  </w:r>
                </w:p>
              </w:tc>
              <w:tc>
                <w:tcPr>
                  <w:tcW w:w="4274" w:type="dxa"/>
                  <w:tcBorders>
                    <w:tl2br w:val="nil"/>
                    <w:tr2bl w:val="nil"/>
                  </w:tcBorders>
                  <w:vAlign w:val="center"/>
                </w:tcPr>
                <w:p>
                  <w:pPr>
                    <w:autoSpaceDN w:val="0"/>
                    <w:jc w:val="center"/>
                    <w:textAlignment w:val="center"/>
                    <w:rPr>
                      <w:rFonts w:cs="宋体"/>
                      <w:szCs w:val="21"/>
                    </w:rPr>
                  </w:pPr>
                  <w:r>
                    <w:rPr>
                      <w:rFonts w:hint="eastAsia" w:cs="宋体"/>
                      <w:szCs w:val="21"/>
                    </w:rPr>
                    <w:t>2台（1台16KW、1台12KW）</w:t>
                  </w:r>
                </w:p>
              </w:tc>
              <w:tc>
                <w:tcPr>
                  <w:tcW w:w="944" w:type="dxa"/>
                  <w:tcBorders>
                    <w:tl2br w:val="nil"/>
                    <w:tr2bl w:val="nil"/>
                  </w:tcBorders>
                  <w:vAlign w:val="center"/>
                </w:tcPr>
                <w:p>
                  <w:pPr>
                    <w:adjustRightInd w:val="0"/>
                    <w:snapToGrid w:val="0"/>
                    <w:spacing w:line="360" w:lineRule="auto"/>
                    <w:jc w:val="center"/>
                    <w:rPr>
                      <w:rFonts w:cs="宋体"/>
                      <w:szCs w:val="21"/>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2608" w:type="dxa"/>
                  <w:tcBorders>
                    <w:tl2br w:val="nil"/>
                    <w:tr2bl w:val="nil"/>
                  </w:tcBorders>
                  <w:vAlign w:val="center"/>
                </w:tcPr>
                <w:p>
                  <w:pPr>
                    <w:autoSpaceDN w:val="0"/>
                    <w:jc w:val="center"/>
                    <w:textAlignment w:val="center"/>
                    <w:rPr>
                      <w:rFonts w:cs="宋体"/>
                      <w:szCs w:val="21"/>
                    </w:rPr>
                  </w:pPr>
                  <w:r>
                    <w:rPr>
                      <w:rFonts w:hint="eastAsia" w:cs="宋体"/>
                      <w:szCs w:val="21"/>
                    </w:rPr>
                    <w:t>油水分离器</w:t>
                  </w:r>
                </w:p>
              </w:tc>
              <w:tc>
                <w:tcPr>
                  <w:tcW w:w="4274" w:type="dxa"/>
                  <w:tcBorders>
                    <w:tl2br w:val="nil"/>
                    <w:tr2bl w:val="nil"/>
                  </w:tcBorders>
                  <w:vAlign w:val="center"/>
                </w:tcPr>
                <w:p>
                  <w:pPr>
                    <w:autoSpaceDN w:val="0"/>
                    <w:jc w:val="center"/>
                    <w:textAlignment w:val="center"/>
                    <w:rPr>
                      <w:rFonts w:cs="宋体"/>
                      <w:szCs w:val="21"/>
                    </w:rPr>
                  </w:pPr>
                  <w:r>
                    <w:rPr>
                      <w:rFonts w:hint="eastAsia" w:cs="宋体"/>
                      <w:szCs w:val="21"/>
                    </w:rPr>
                    <w:t>1套（YWC型油水分离装置）</w:t>
                  </w:r>
                </w:p>
              </w:tc>
              <w:tc>
                <w:tcPr>
                  <w:tcW w:w="944" w:type="dxa"/>
                  <w:tcBorders>
                    <w:tl2br w:val="nil"/>
                    <w:tr2bl w:val="nil"/>
                  </w:tcBorders>
                  <w:vAlign w:val="center"/>
                </w:tcPr>
                <w:p>
                  <w:pPr>
                    <w:adjustRightInd w:val="0"/>
                    <w:snapToGrid w:val="0"/>
                    <w:spacing w:line="360" w:lineRule="auto"/>
                    <w:jc w:val="center"/>
                    <w:rPr>
                      <w:rFonts w:cs="宋体"/>
                      <w:szCs w:val="21"/>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7826" w:type="dxa"/>
                  <w:gridSpan w:val="3"/>
                  <w:tcBorders>
                    <w:tl2br w:val="nil"/>
                    <w:tr2bl w:val="nil"/>
                  </w:tcBorders>
                  <w:vAlign w:val="center"/>
                </w:tcPr>
                <w:p>
                  <w:pPr>
                    <w:adjustRightInd w:val="0"/>
                    <w:snapToGrid w:val="0"/>
                    <w:spacing w:line="360" w:lineRule="auto"/>
                    <w:jc w:val="center"/>
                    <w:rPr>
                      <w:rFonts w:cs="宋体"/>
                      <w:szCs w:val="21"/>
                    </w:rPr>
                  </w:pPr>
                  <w:r>
                    <w:rPr>
                      <w:rFonts w:hint="eastAsia"/>
                      <w:b/>
                      <w:bCs/>
                      <w:szCs w:val="21"/>
                    </w:rPr>
                    <w:t>一期新增部分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826" w:type="dxa"/>
                  <w:gridSpan w:val="3"/>
                  <w:tcBorders>
                    <w:tl2br w:val="nil"/>
                    <w:tr2bl w:val="nil"/>
                  </w:tcBorders>
                  <w:vAlign w:val="center"/>
                </w:tcPr>
                <w:p>
                  <w:pPr>
                    <w:adjustRightInd w:val="0"/>
                    <w:snapToGrid w:val="0"/>
                    <w:spacing w:line="360" w:lineRule="auto"/>
                    <w:jc w:val="center"/>
                    <w:rPr>
                      <w:rFonts w:cs="宋体"/>
                      <w:szCs w:val="21"/>
                    </w:rPr>
                  </w:pPr>
                  <w:r>
                    <w:rPr>
                      <w:rFonts w:hint="eastAsia"/>
                      <w:szCs w:val="21"/>
                    </w:rPr>
                    <w:t>岳阳交通06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rFonts w:cs="宋体"/>
                      <w:szCs w:val="21"/>
                    </w:rPr>
                  </w:pPr>
                  <w:r>
                    <w:rPr>
                      <w:rFonts w:hint="eastAsia" w:cs="宋体"/>
                      <w:szCs w:val="21"/>
                    </w:rPr>
                    <w:t>锚设备</w:t>
                  </w:r>
                </w:p>
              </w:tc>
              <w:tc>
                <w:tcPr>
                  <w:tcW w:w="4274" w:type="dxa"/>
                  <w:tcBorders>
                    <w:tl2br w:val="nil"/>
                    <w:tr2bl w:val="nil"/>
                  </w:tcBorders>
                  <w:vAlign w:val="center"/>
                </w:tcPr>
                <w:p>
                  <w:pPr>
                    <w:autoSpaceDN w:val="0"/>
                    <w:jc w:val="center"/>
                    <w:textAlignment w:val="center"/>
                    <w:rPr>
                      <w:rFonts w:cs="宋体"/>
                    </w:rPr>
                  </w:pPr>
                  <w:r>
                    <w:rPr>
                      <w:rFonts w:hint="eastAsia" w:cs="宋体"/>
                    </w:rPr>
                    <w:t>20kg四爪锚1个、25m丙纶绳锚索1根，25m丙纶绳系船索2根</w:t>
                  </w:r>
                </w:p>
              </w:tc>
              <w:tc>
                <w:tcPr>
                  <w:tcW w:w="944" w:type="dxa"/>
                  <w:tcBorders>
                    <w:tl2br w:val="nil"/>
                    <w:tr2bl w:val="nil"/>
                  </w:tcBorders>
                  <w:vAlign w:val="center"/>
                </w:tcPr>
                <w:p>
                  <w:pPr>
                    <w:adjustRightInd w:val="0"/>
                    <w:snapToGrid w:val="0"/>
                    <w:spacing w:line="360" w:lineRule="auto"/>
                    <w:jc w:val="center"/>
                    <w:rPr>
                      <w:b/>
                      <w:bCs/>
                      <w:sz w:val="24"/>
                      <w:szCs w:val="24"/>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rFonts w:cs="宋体"/>
                      <w:szCs w:val="21"/>
                    </w:rPr>
                  </w:pPr>
                  <w:r>
                    <w:rPr>
                      <w:rFonts w:hint="eastAsia" w:cs="宋体"/>
                      <w:szCs w:val="21"/>
                    </w:rPr>
                    <w:t>消防设备</w:t>
                  </w:r>
                </w:p>
              </w:tc>
              <w:tc>
                <w:tcPr>
                  <w:tcW w:w="4274" w:type="dxa"/>
                  <w:tcBorders>
                    <w:tl2br w:val="nil"/>
                    <w:tr2bl w:val="nil"/>
                  </w:tcBorders>
                  <w:vAlign w:val="center"/>
                </w:tcPr>
                <w:p>
                  <w:pPr>
                    <w:autoSpaceDN w:val="0"/>
                    <w:jc w:val="center"/>
                    <w:textAlignment w:val="center"/>
                    <w:rPr>
                      <w:rFonts w:cs="宋体"/>
                    </w:rPr>
                  </w:pPr>
                  <w:r>
                    <w:rPr>
                      <w:rFonts w:hint="eastAsia" w:cs="宋体"/>
                    </w:rPr>
                    <w:t>灭火器4只、消防水桶2个</w:t>
                  </w:r>
                </w:p>
              </w:tc>
              <w:tc>
                <w:tcPr>
                  <w:tcW w:w="944" w:type="dxa"/>
                  <w:tcBorders>
                    <w:tl2br w:val="nil"/>
                    <w:tr2bl w:val="nil"/>
                  </w:tcBorders>
                  <w:vAlign w:val="center"/>
                </w:tcPr>
                <w:p>
                  <w:pPr>
                    <w:adjustRightInd w:val="0"/>
                    <w:snapToGrid w:val="0"/>
                    <w:spacing w:line="360" w:lineRule="auto"/>
                    <w:jc w:val="center"/>
                    <w:rPr>
                      <w:b/>
                      <w:bCs/>
                      <w:sz w:val="24"/>
                      <w:szCs w:val="24"/>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rFonts w:cs="宋体"/>
                      <w:szCs w:val="21"/>
                    </w:rPr>
                  </w:pPr>
                  <w:r>
                    <w:rPr>
                      <w:rFonts w:hint="eastAsia" w:cs="宋体"/>
                      <w:szCs w:val="21"/>
                    </w:rPr>
                    <w:t>信号设备</w:t>
                  </w:r>
                </w:p>
              </w:tc>
              <w:tc>
                <w:tcPr>
                  <w:tcW w:w="4274" w:type="dxa"/>
                  <w:tcBorders>
                    <w:tl2br w:val="nil"/>
                    <w:tr2bl w:val="nil"/>
                  </w:tcBorders>
                  <w:vAlign w:val="center"/>
                </w:tcPr>
                <w:p>
                  <w:pPr>
                    <w:autoSpaceDN w:val="0"/>
                    <w:jc w:val="center"/>
                    <w:textAlignment w:val="center"/>
                    <w:rPr>
                      <w:rFonts w:cs="宋体"/>
                    </w:rPr>
                  </w:pPr>
                  <w:r>
                    <w:rPr>
                      <w:rFonts w:hint="eastAsia" w:cs="宋体"/>
                    </w:rPr>
                    <w:t>手电筒1只、环照灯3盏，尾灯1盏，航灯2盏，黑球体1个，红旗、白旗、国旗各1面</w:t>
                  </w:r>
                </w:p>
              </w:tc>
              <w:tc>
                <w:tcPr>
                  <w:tcW w:w="944" w:type="dxa"/>
                  <w:tcBorders>
                    <w:tl2br w:val="nil"/>
                    <w:tr2bl w:val="nil"/>
                  </w:tcBorders>
                  <w:vAlign w:val="center"/>
                </w:tcPr>
                <w:p>
                  <w:pPr>
                    <w:adjustRightInd w:val="0"/>
                    <w:snapToGrid w:val="0"/>
                    <w:spacing w:line="360" w:lineRule="auto"/>
                    <w:jc w:val="center"/>
                    <w:rPr>
                      <w:b/>
                      <w:bCs/>
                      <w:sz w:val="24"/>
                      <w:szCs w:val="24"/>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7826" w:type="dxa"/>
                  <w:gridSpan w:val="3"/>
                  <w:tcBorders>
                    <w:tl2br w:val="nil"/>
                    <w:tr2bl w:val="nil"/>
                  </w:tcBorders>
                  <w:vAlign w:val="center"/>
                </w:tcPr>
                <w:p>
                  <w:pPr>
                    <w:adjustRightInd w:val="0"/>
                    <w:snapToGrid w:val="0"/>
                    <w:spacing w:line="360" w:lineRule="auto"/>
                    <w:jc w:val="center"/>
                    <w:rPr>
                      <w:b/>
                      <w:bCs/>
                      <w:sz w:val="24"/>
                      <w:szCs w:val="24"/>
                    </w:rPr>
                  </w:pPr>
                  <w:r>
                    <w:rPr>
                      <w:rFonts w:hint="eastAsia"/>
                      <w:szCs w:val="21"/>
                    </w:rPr>
                    <w:t>清源2号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rFonts w:cs="宋体"/>
                      <w:szCs w:val="21"/>
                    </w:rPr>
                  </w:pPr>
                  <w:r>
                    <w:rPr>
                      <w:rFonts w:hint="eastAsia" w:cs="宋体"/>
                      <w:szCs w:val="21"/>
                    </w:rPr>
                    <w:t>锚设备</w:t>
                  </w:r>
                </w:p>
              </w:tc>
              <w:tc>
                <w:tcPr>
                  <w:tcW w:w="4274" w:type="dxa"/>
                  <w:tcBorders>
                    <w:tl2br w:val="nil"/>
                    <w:tr2bl w:val="nil"/>
                  </w:tcBorders>
                  <w:vAlign w:val="center"/>
                </w:tcPr>
                <w:p>
                  <w:pPr>
                    <w:autoSpaceDN w:val="0"/>
                    <w:jc w:val="center"/>
                    <w:textAlignment w:val="center"/>
                    <w:rPr>
                      <w:rFonts w:cs="宋体"/>
                    </w:rPr>
                  </w:pPr>
                  <w:r>
                    <w:rPr>
                      <w:rFonts w:hint="eastAsia" w:cs="宋体"/>
                    </w:rPr>
                    <w:t>霍尔锚2个，锚链82.5m、锚机一台</w:t>
                  </w:r>
                </w:p>
              </w:tc>
              <w:tc>
                <w:tcPr>
                  <w:tcW w:w="944" w:type="dxa"/>
                  <w:tcBorders>
                    <w:tl2br w:val="nil"/>
                    <w:tr2bl w:val="nil"/>
                  </w:tcBorders>
                  <w:vAlign w:val="center"/>
                </w:tcPr>
                <w:p>
                  <w:pPr>
                    <w:adjustRightInd w:val="0"/>
                    <w:snapToGrid w:val="0"/>
                    <w:spacing w:line="360" w:lineRule="auto"/>
                    <w:jc w:val="center"/>
                    <w:rPr>
                      <w:b/>
                      <w:bCs/>
                      <w:sz w:val="24"/>
                      <w:szCs w:val="24"/>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rFonts w:cs="宋体"/>
                      <w:szCs w:val="21"/>
                    </w:rPr>
                  </w:pPr>
                  <w:r>
                    <w:rPr>
                      <w:rFonts w:hint="eastAsia" w:cs="宋体"/>
                      <w:szCs w:val="21"/>
                    </w:rPr>
                    <w:t>舵设备</w:t>
                  </w:r>
                </w:p>
              </w:tc>
              <w:tc>
                <w:tcPr>
                  <w:tcW w:w="4274" w:type="dxa"/>
                  <w:tcBorders>
                    <w:tl2br w:val="nil"/>
                    <w:tr2bl w:val="nil"/>
                  </w:tcBorders>
                  <w:vAlign w:val="center"/>
                </w:tcPr>
                <w:p>
                  <w:pPr>
                    <w:autoSpaceDN w:val="0"/>
                    <w:jc w:val="center"/>
                    <w:textAlignment w:val="center"/>
                    <w:rPr>
                      <w:rFonts w:cs="宋体"/>
                    </w:rPr>
                  </w:pPr>
                  <w:r>
                    <w:rPr>
                      <w:rFonts w:hint="eastAsia" w:cs="宋体"/>
                    </w:rPr>
                    <w:t>舵数量</w:t>
                  </w:r>
                  <w:r>
                    <w:t>2</w:t>
                  </w:r>
                  <w:r>
                    <w:rPr>
                      <w:rFonts w:hint="eastAsia" w:cs="宋体"/>
                    </w:rPr>
                    <w:t>个</w:t>
                  </w:r>
                </w:p>
              </w:tc>
              <w:tc>
                <w:tcPr>
                  <w:tcW w:w="944" w:type="dxa"/>
                  <w:tcBorders>
                    <w:tl2br w:val="nil"/>
                    <w:tr2bl w:val="nil"/>
                  </w:tcBorders>
                  <w:vAlign w:val="center"/>
                </w:tcPr>
                <w:p>
                  <w:pPr>
                    <w:adjustRightInd w:val="0"/>
                    <w:snapToGrid w:val="0"/>
                    <w:spacing w:line="360" w:lineRule="auto"/>
                    <w:jc w:val="center"/>
                    <w:rPr>
                      <w:b/>
                      <w:bCs/>
                      <w:sz w:val="24"/>
                      <w:szCs w:val="24"/>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rFonts w:cs="宋体"/>
                      <w:szCs w:val="21"/>
                    </w:rPr>
                  </w:pPr>
                  <w:r>
                    <w:rPr>
                      <w:rFonts w:hint="eastAsia" w:cs="宋体"/>
                      <w:szCs w:val="21"/>
                    </w:rPr>
                    <w:t>消防设备</w:t>
                  </w:r>
                </w:p>
              </w:tc>
              <w:tc>
                <w:tcPr>
                  <w:tcW w:w="4274" w:type="dxa"/>
                  <w:tcBorders>
                    <w:tl2br w:val="nil"/>
                    <w:tr2bl w:val="nil"/>
                  </w:tcBorders>
                  <w:vAlign w:val="center"/>
                </w:tcPr>
                <w:p>
                  <w:pPr>
                    <w:autoSpaceDN w:val="0"/>
                    <w:jc w:val="center"/>
                    <w:textAlignment w:val="center"/>
                    <w:rPr>
                      <w:rFonts w:cs="宋体"/>
                    </w:rPr>
                  </w:pPr>
                  <w:r>
                    <w:rPr>
                      <w:rFonts w:hint="eastAsia" w:cs="宋体"/>
                    </w:rPr>
                    <w:t>消防枪1支、黄沙箱2个、太平斧1把</w:t>
                  </w:r>
                </w:p>
              </w:tc>
              <w:tc>
                <w:tcPr>
                  <w:tcW w:w="944" w:type="dxa"/>
                  <w:tcBorders>
                    <w:tl2br w:val="nil"/>
                    <w:tr2bl w:val="nil"/>
                  </w:tcBorders>
                  <w:vAlign w:val="center"/>
                </w:tcPr>
                <w:p>
                  <w:pPr>
                    <w:adjustRightInd w:val="0"/>
                    <w:snapToGrid w:val="0"/>
                    <w:spacing w:line="360" w:lineRule="auto"/>
                    <w:jc w:val="center"/>
                    <w:rPr>
                      <w:b/>
                      <w:bCs/>
                      <w:sz w:val="24"/>
                      <w:szCs w:val="24"/>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2608" w:type="dxa"/>
                  <w:tcBorders>
                    <w:tl2br w:val="nil"/>
                    <w:tr2bl w:val="nil"/>
                  </w:tcBorders>
                  <w:vAlign w:val="center"/>
                </w:tcPr>
                <w:p>
                  <w:pPr>
                    <w:autoSpaceDN w:val="0"/>
                    <w:jc w:val="center"/>
                    <w:textAlignment w:val="center"/>
                    <w:rPr>
                      <w:rFonts w:cs="宋体"/>
                      <w:szCs w:val="21"/>
                    </w:rPr>
                  </w:pPr>
                  <w:r>
                    <w:rPr>
                      <w:rFonts w:hint="eastAsia" w:cs="宋体"/>
                      <w:szCs w:val="21"/>
                    </w:rPr>
                    <w:t>信号设备</w:t>
                  </w:r>
                </w:p>
              </w:tc>
              <w:tc>
                <w:tcPr>
                  <w:tcW w:w="4274" w:type="dxa"/>
                  <w:tcBorders>
                    <w:tl2br w:val="nil"/>
                    <w:tr2bl w:val="nil"/>
                  </w:tcBorders>
                  <w:vAlign w:val="center"/>
                </w:tcPr>
                <w:p>
                  <w:pPr>
                    <w:autoSpaceDN w:val="0"/>
                    <w:jc w:val="center"/>
                    <w:textAlignment w:val="center"/>
                    <w:rPr>
                      <w:rFonts w:cs="宋体"/>
                    </w:rPr>
                  </w:pPr>
                  <w:r>
                    <w:rPr>
                      <w:rFonts w:hint="eastAsia" w:cs="宋体"/>
                    </w:rPr>
                    <w:t>百环照灯1个、白栀灯1个、白尾灯1个、国际信号旗1面，号笛1个，红环照灯2个，红旗1面，航灯2个</w:t>
                  </w:r>
                </w:p>
              </w:tc>
              <w:tc>
                <w:tcPr>
                  <w:tcW w:w="944" w:type="dxa"/>
                  <w:tcBorders>
                    <w:tl2br w:val="nil"/>
                    <w:tr2bl w:val="nil"/>
                  </w:tcBorders>
                  <w:vAlign w:val="center"/>
                </w:tcPr>
                <w:p>
                  <w:pPr>
                    <w:adjustRightInd w:val="0"/>
                    <w:snapToGrid w:val="0"/>
                    <w:spacing w:line="360" w:lineRule="auto"/>
                    <w:jc w:val="center"/>
                    <w:rPr>
                      <w:b/>
                      <w:bCs/>
                      <w:sz w:val="24"/>
                      <w:szCs w:val="24"/>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7826" w:type="dxa"/>
                  <w:gridSpan w:val="3"/>
                  <w:tcBorders>
                    <w:tl2br w:val="nil"/>
                    <w:tr2bl w:val="nil"/>
                  </w:tcBorders>
                  <w:vAlign w:val="center"/>
                </w:tcPr>
                <w:p>
                  <w:pPr>
                    <w:adjustRightInd w:val="0"/>
                    <w:snapToGrid w:val="0"/>
                    <w:spacing w:line="360" w:lineRule="auto"/>
                    <w:jc w:val="center"/>
                    <w:rPr>
                      <w:b/>
                      <w:bCs/>
                      <w:sz w:val="24"/>
                      <w:szCs w:val="24"/>
                    </w:rPr>
                  </w:pPr>
                  <w:r>
                    <w:rPr>
                      <w:rFonts w:hint="eastAsia"/>
                      <w:szCs w:val="21"/>
                    </w:rPr>
                    <w:t>湘益阳机1219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rFonts w:cs="宋体"/>
                      <w:szCs w:val="21"/>
                    </w:rPr>
                  </w:pPr>
                  <w:r>
                    <w:rPr>
                      <w:rFonts w:hint="eastAsia" w:cs="宋体"/>
                      <w:szCs w:val="21"/>
                    </w:rPr>
                    <w:t>锚设备</w:t>
                  </w:r>
                </w:p>
              </w:tc>
              <w:tc>
                <w:tcPr>
                  <w:tcW w:w="4274" w:type="dxa"/>
                  <w:tcBorders>
                    <w:tl2br w:val="nil"/>
                    <w:tr2bl w:val="nil"/>
                  </w:tcBorders>
                  <w:vAlign w:val="center"/>
                </w:tcPr>
                <w:p>
                  <w:pPr>
                    <w:autoSpaceDN w:val="0"/>
                    <w:jc w:val="center"/>
                    <w:textAlignment w:val="center"/>
                    <w:rPr>
                      <w:rFonts w:cs="宋体"/>
                    </w:rPr>
                  </w:pPr>
                  <w:r>
                    <w:rPr>
                      <w:rFonts w:hint="eastAsia" w:cs="宋体"/>
                    </w:rPr>
                    <w:t>四爪锚2个、艏锚机1台、右艏锚链75m、左艏锚链75m</w:t>
                  </w:r>
                </w:p>
              </w:tc>
              <w:tc>
                <w:tcPr>
                  <w:tcW w:w="944" w:type="dxa"/>
                  <w:tcBorders>
                    <w:tl2br w:val="nil"/>
                    <w:tr2bl w:val="nil"/>
                  </w:tcBorders>
                  <w:vAlign w:val="center"/>
                </w:tcPr>
                <w:p>
                  <w:pPr>
                    <w:adjustRightInd w:val="0"/>
                    <w:snapToGrid w:val="0"/>
                    <w:spacing w:line="360" w:lineRule="auto"/>
                    <w:jc w:val="center"/>
                    <w:rPr>
                      <w:b/>
                      <w:bCs/>
                      <w:sz w:val="24"/>
                      <w:szCs w:val="24"/>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rFonts w:cs="宋体"/>
                      <w:szCs w:val="21"/>
                    </w:rPr>
                  </w:pPr>
                  <w:r>
                    <w:rPr>
                      <w:rFonts w:hint="eastAsia" w:cs="宋体"/>
                      <w:szCs w:val="21"/>
                    </w:rPr>
                    <w:t>舵设备</w:t>
                  </w:r>
                </w:p>
              </w:tc>
              <w:tc>
                <w:tcPr>
                  <w:tcW w:w="4274" w:type="dxa"/>
                  <w:tcBorders>
                    <w:tl2br w:val="nil"/>
                    <w:tr2bl w:val="nil"/>
                  </w:tcBorders>
                  <w:vAlign w:val="center"/>
                </w:tcPr>
                <w:p>
                  <w:pPr>
                    <w:autoSpaceDN w:val="0"/>
                    <w:jc w:val="center"/>
                    <w:textAlignment w:val="center"/>
                    <w:rPr>
                      <w:rFonts w:cs="宋体"/>
                    </w:rPr>
                  </w:pPr>
                  <w:r>
                    <w:rPr>
                      <w:rFonts w:hint="eastAsia" w:cs="宋体"/>
                    </w:rPr>
                    <w:t>舵数量</w:t>
                  </w:r>
                  <w:r>
                    <w:t>2</w:t>
                  </w:r>
                  <w:r>
                    <w:rPr>
                      <w:rFonts w:hint="eastAsia" w:cs="宋体"/>
                    </w:rPr>
                    <w:t>个</w:t>
                  </w:r>
                </w:p>
              </w:tc>
              <w:tc>
                <w:tcPr>
                  <w:tcW w:w="944" w:type="dxa"/>
                  <w:tcBorders>
                    <w:tl2br w:val="nil"/>
                    <w:tr2bl w:val="nil"/>
                  </w:tcBorders>
                  <w:vAlign w:val="center"/>
                </w:tcPr>
                <w:p>
                  <w:pPr>
                    <w:adjustRightInd w:val="0"/>
                    <w:snapToGrid w:val="0"/>
                    <w:spacing w:line="360" w:lineRule="auto"/>
                    <w:jc w:val="center"/>
                    <w:rPr>
                      <w:b/>
                      <w:bCs/>
                      <w:sz w:val="24"/>
                      <w:szCs w:val="24"/>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rFonts w:cs="宋体"/>
                      <w:szCs w:val="21"/>
                    </w:rPr>
                  </w:pPr>
                  <w:r>
                    <w:rPr>
                      <w:rFonts w:hint="eastAsia" w:cs="宋体"/>
                      <w:szCs w:val="21"/>
                    </w:rPr>
                    <w:t>消防设备</w:t>
                  </w:r>
                </w:p>
              </w:tc>
              <w:tc>
                <w:tcPr>
                  <w:tcW w:w="4274" w:type="dxa"/>
                  <w:tcBorders>
                    <w:tl2br w:val="nil"/>
                    <w:tr2bl w:val="nil"/>
                  </w:tcBorders>
                  <w:vAlign w:val="center"/>
                </w:tcPr>
                <w:p>
                  <w:pPr>
                    <w:autoSpaceDN w:val="0"/>
                    <w:jc w:val="center"/>
                    <w:textAlignment w:val="center"/>
                    <w:rPr>
                      <w:rFonts w:cs="宋体"/>
                    </w:rPr>
                  </w:pPr>
                  <w:r>
                    <w:rPr>
                      <w:rFonts w:hint="eastAsia" w:cs="宋体"/>
                    </w:rPr>
                    <w:t>主消防泵1个，消防1只、水枪1只</w:t>
                  </w:r>
                </w:p>
              </w:tc>
              <w:tc>
                <w:tcPr>
                  <w:tcW w:w="944" w:type="dxa"/>
                  <w:tcBorders>
                    <w:tl2br w:val="nil"/>
                    <w:tr2bl w:val="nil"/>
                  </w:tcBorders>
                  <w:vAlign w:val="center"/>
                </w:tcPr>
                <w:p>
                  <w:pPr>
                    <w:adjustRightInd w:val="0"/>
                    <w:snapToGrid w:val="0"/>
                    <w:spacing w:line="360" w:lineRule="auto"/>
                    <w:jc w:val="center"/>
                    <w:rPr>
                      <w:b/>
                      <w:bCs/>
                      <w:sz w:val="24"/>
                      <w:szCs w:val="24"/>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2608" w:type="dxa"/>
                  <w:tcBorders>
                    <w:tl2br w:val="nil"/>
                    <w:tr2bl w:val="nil"/>
                  </w:tcBorders>
                  <w:vAlign w:val="center"/>
                </w:tcPr>
                <w:p>
                  <w:pPr>
                    <w:autoSpaceDN w:val="0"/>
                    <w:jc w:val="center"/>
                    <w:textAlignment w:val="center"/>
                    <w:rPr>
                      <w:rFonts w:cs="宋体"/>
                      <w:szCs w:val="21"/>
                    </w:rPr>
                  </w:pPr>
                  <w:r>
                    <w:rPr>
                      <w:rFonts w:hint="eastAsia" w:cs="宋体"/>
                      <w:szCs w:val="21"/>
                    </w:rPr>
                    <w:t>信号设备</w:t>
                  </w:r>
                </w:p>
              </w:tc>
              <w:tc>
                <w:tcPr>
                  <w:tcW w:w="4274" w:type="dxa"/>
                  <w:tcBorders>
                    <w:tl2br w:val="nil"/>
                    <w:tr2bl w:val="nil"/>
                  </w:tcBorders>
                  <w:vAlign w:val="center"/>
                </w:tcPr>
                <w:p>
                  <w:pPr>
                    <w:autoSpaceDN w:val="0"/>
                    <w:jc w:val="center"/>
                    <w:textAlignment w:val="center"/>
                    <w:rPr>
                      <w:rFonts w:cs="宋体"/>
                    </w:rPr>
                  </w:pPr>
                  <w:r>
                    <w:rPr>
                      <w:rFonts w:hint="eastAsia" w:cs="宋体"/>
                    </w:rPr>
                    <w:t>国旗1面、号笛1个、环照灯6个，闪光灯2个等</w:t>
                  </w:r>
                </w:p>
              </w:tc>
              <w:tc>
                <w:tcPr>
                  <w:tcW w:w="944" w:type="dxa"/>
                  <w:tcBorders>
                    <w:tl2br w:val="nil"/>
                    <w:tr2bl w:val="nil"/>
                  </w:tcBorders>
                  <w:vAlign w:val="center"/>
                </w:tcPr>
                <w:p>
                  <w:pPr>
                    <w:adjustRightInd w:val="0"/>
                    <w:snapToGrid w:val="0"/>
                    <w:spacing w:line="360" w:lineRule="auto"/>
                    <w:jc w:val="center"/>
                    <w:rPr>
                      <w:b/>
                      <w:bCs/>
                      <w:sz w:val="24"/>
                      <w:szCs w:val="24"/>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7826" w:type="dxa"/>
                  <w:gridSpan w:val="3"/>
                  <w:tcBorders>
                    <w:tl2br w:val="nil"/>
                    <w:tr2bl w:val="nil"/>
                  </w:tcBorders>
                  <w:vAlign w:val="center"/>
                </w:tcPr>
                <w:p>
                  <w:pPr>
                    <w:autoSpaceDN w:val="0"/>
                    <w:jc w:val="center"/>
                    <w:textAlignment w:val="center"/>
                    <w:rPr>
                      <w:rFonts w:cs="宋体"/>
                      <w:szCs w:val="21"/>
                    </w:rPr>
                  </w:pPr>
                  <w:r>
                    <w:rPr>
                      <w:rFonts w:hint="eastAsia" w:cs="宋体"/>
                      <w:szCs w:val="21"/>
                    </w:rPr>
                    <w:t>应急定船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rFonts w:cs="宋体"/>
                      <w:szCs w:val="21"/>
                    </w:rPr>
                  </w:pPr>
                  <w:r>
                    <w:rPr>
                      <w:rFonts w:hint="eastAsia" w:cs="宋体"/>
                      <w:szCs w:val="21"/>
                    </w:rPr>
                    <w:t>锚设备</w:t>
                  </w:r>
                </w:p>
              </w:tc>
              <w:tc>
                <w:tcPr>
                  <w:tcW w:w="4274" w:type="dxa"/>
                  <w:tcBorders>
                    <w:tl2br w:val="nil"/>
                    <w:tr2bl w:val="nil"/>
                  </w:tcBorders>
                  <w:vAlign w:val="center"/>
                </w:tcPr>
                <w:p>
                  <w:pPr>
                    <w:autoSpaceDN w:val="0"/>
                    <w:jc w:val="center"/>
                    <w:textAlignment w:val="center"/>
                    <w:rPr>
                      <w:rFonts w:cs="宋体"/>
                      <w:szCs w:val="21"/>
                    </w:rPr>
                  </w:pPr>
                  <w:r>
                    <w:rPr>
                      <w:rFonts w:hint="eastAsia" w:cs="宋体"/>
                      <w:szCs w:val="21"/>
                    </w:rPr>
                    <w:t>霍尔锚2个，锚机一台</w:t>
                  </w:r>
                </w:p>
              </w:tc>
              <w:tc>
                <w:tcPr>
                  <w:tcW w:w="944" w:type="dxa"/>
                  <w:tcBorders>
                    <w:tl2br w:val="nil"/>
                    <w:tr2bl w:val="nil"/>
                  </w:tcBorders>
                  <w:vAlign w:val="center"/>
                </w:tcPr>
                <w:p>
                  <w:pPr>
                    <w:autoSpaceDN w:val="0"/>
                    <w:jc w:val="center"/>
                    <w:textAlignment w:val="center"/>
                    <w:rPr>
                      <w:rFonts w:cs="宋体"/>
                      <w:szCs w:val="21"/>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rFonts w:cs="宋体"/>
                      <w:szCs w:val="21"/>
                    </w:rPr>
                  </w:pPr>
                  <w:r>
                    <w:rPr>
                      <w:rFonts w:hint="eastAsia" w:cs="宋体"/>
                      <w:szCs w:val="21"/>
                    </w:rPr>
                    <w:t>舵设备</w:t>
                  </w:r>
                </w:p>
              </w:tc>
              <w:tc>
                <w:tcPr>
                  <w:tcW w:w="4274" w:type="dxa"/>
                  <w:tcBorders>
                    <w:tl2br w:val="nil"/>
                    <w:tr2bl w:val="nil"/>
                  </w:tcBorders>
                  <w:vAlign w:val="center"/>
                </w:tcPr>
                <w:p>
                  <w:pPr>
                    <w:autoSpaceDN w:val="0"/>
                    <w:jc w:val="center"/>
                    <w:textAlignment w:val="center"/>
                    <w:rPr>
                      <w:rFonts w:cs="宋体"/>
                      <w:szCs w:val="21"/>
                    </w:rPr>
                  </w:pPr>
                  <w:r>
                    <w:rPr>
                      <w:rFonts w:hint="eastAsia" w:cs="宋体"/>
                      <w:szCs w:val="21"/>
                    </w:rPr>
                    <w:t>舵数量</w:t>
                  </w:r>
                  <w:r>
                    <w:rPr>
                      <w:szCs w:val="21"/>
                    </w:rPr>
                    <w:t>2</w:t>
                  </w:r>
                  <w:r>
                    <w:rPr>
                      <w:rFonts w:hint="eastAsia" w:cs="宋体"/>
                      <w:szCs w:val="21"/>
                    </w:rPr>
                    <w:t>个</w:t>
                  </w:r>
                </w:p>
              </w:tc>
              <w:tc>
                <w:tcPr>
                  <w:tcW w:w="944" w:type="dxa"/>
                  <w:tcBorders>
                    <w:tl2br w:val="nil"/>
                    <w:tr2bl w:val="nil"/>
                  </w:tcBorders>
                  <w:vAlign w:val="center"/>
                </w:tcPr>
                <w:p>
                  <w:pPr>
                    <w:autoSpaceDN w:val="0"/>
                    <w:jc w:val="center"/>
                    <w:textAlignment w:val="center"/>
                    <w:rPr>
                      <w:rFonts w:cs="宋体"/>
                      <w:szCs w:val="21"/>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rFonts w:cs="宋体"/>
                      <w:szCs w:val="21"/>
                    </w:rPr>
                  </w:pPr>
                  <w:r>
                    <w:rPr>
                      <w:rFonts w:hint="eastAsia" w:cs="宋体"/>
                      <w:szCs w:val="21"/>
                    </w:rPr>
                    <w:t>消防设备</w:t>
                  </w:r>
                </w:p>
              </w:tc>
              <w:tc>
                <w:tcPr>
                  <w:tcW w:w="4274" w:type="dxa"/>
                  <w:tcBorders>
                    <w:tl2br w:val="nil"/>
                    <w:tr2bl w:val="nil"/>
                  </w:tcBorders>
                  <w:vAlign w:val="center"/>
                </w:tcPr>
                <w:p>
                  <w:pPr>
                    <w:autoSpaceDN w:val="0"/>
                    <w:jc w:val="center"/>
                    <w:textAlignment w:val="center"/>
                    <w:rPr>
                      <w:rFonts w:cs="宋体"/>
                      <w:szCs w:val="21"/>
                    </w:rPr>
                  </w:pPr>
                  <w:r>
                    <w:rPr>
                      <w:rFonts w:hint="eastAsia" w:cs="宋体"/>
                      <w:szCs w:val="21"/>
                    </w:rPr>
                    <w:t>消防泵1个、灭火器2个</w:t>
                  </w:r>
                </w:p>
              </w:tc>
              <w:tc>
                <w:tcPr>
                  <w:tcW w:w="944" w:type="dxa"/>
                  <w:tcBorders>
                    <w:tl2br w:val="nil"/>
                    <w:tr2bl w:val="nil"/>
                  </w:tcBorders>
                  <w:vAlign w:val="center"/>
                </w:tcPr>
                <w:p>
                  <w:pPr>
                    <w:autoSpaceDN w:val="0"/>
                    <w:jc w:val="center"/>
                    <w:textAlignment w:val="center"/>
                    <w:rPr>
                      <w:rFonts w:cs="宋体"/>
                      <w:szCs w:val="21"/>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2608" w:type="dxa"/>
                  <w:tcBorders>
                    <w:tl2br w:val="nil"/>
                    <w:tr2bl w:val="nil"/>
                  </w:tcBorders>
                  <w:vAlign w:val="center"/>
                </w:tcPr>
                <w:p>
                  <w:pPr>
                    <w:autoSpaceDN w:val="0"/>
                    <w:jc w:val="center"/>
                    <w:textAlignment w:val="center"/>
                    <w:rPr>
                      <w:rFonts w:cs="宋体"/>
                      <w:szCs w:val="21"/>
                    </w:rPr>
                  </w:pPr>
                  <w:r>
                    <w:rPr>
                      <w:rFonts w:hint="eastAsia" w:cs="宋体"/>
                      <w:szCs w:val="21"/>
                    </w:rPr>
                    <w:t>信号设备</w:t>
                  </w:r>
                </w:p>
              </w:tc>
              <w:tc>
                <w:tcPr>
                  <w:tcW w:w="4274" w:type="dxa"/>
                  <w:tcBorders>
                    <w:tl2br w:val="nil"/>
                    <w:tr2bl w:val="nil"/>
                  </w:tcBorders>
                  <w:vAlign w:val="center"/>
                </w:tcPr>
                <w:p>
                  <w:pPr>
                    <w:autoSpaceDN w:val="0"/>
                    <w:jc w:val="center"/>
                    <w:textAlignment w:val="center"/>
                    <w:rPr>
                      <w:rFonts w:cs="宋体"/>
                      <w:szCs w:val="21"/>
                    </w:rPr>
                  </w:pPr>
                  <w:r>
                    <w:rPr>
                      <w:rFonts w:hint="eastAsia" w:cs="宋体"/>
                      <w:szCs w:val="21"/>
                    </w:rPr>
                    <w:t>百环照灯1个、白栀灯1个、国际信号旗1面，号笛1个，红环照灯2个，红旗1面</w:t>
                  </w:r>
                </w:p>
              </w:tc>
              <w:tc>
                <w:tcPr>
                  <w:tcW w:w="944" w:type="dxa"/>
                  <w:tcBorders>
                    <w:tl2br w:val="nil"/>
                    <w:tr2bl w:val="nil"/>
                  </w:tcBorders>
                </w:tcPr>
                <w:p>
                  <w:pPr>
                    <w:autoSpaceDN w:val="0"/>
                    <w:jc w:val="center"/>
                    <w:textAlignment w:val="center"/>
                    <w:rPr>
                      <w:rFonts w:cs="宋体"/>
                      <w:szCs w:val="21"/>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7826" w:type="dxa"/>
                  <w:gridSpan w:val="3"/>
                  <w:tcBorders>
                    <w:tl2br w:val="nil"/>
                    <w:tr2bl w:val="nil"/>
                  </w:tcBorders>
                  <w:vAlign w:val="center"/>
                </w:tcPr>
                <w:p>
                  <w:pPr>
                    <w:autoSpaceDN w:val="0"/>
                    <w:jc w:val="center"/>
                    <w:textAlignment w:val="center"/>
                    <w:rPr>
                      <w:rFonts w:cs="宋体"/>
                      <w:szCs w:val="21"/>
                    </w:rPr>
                  </w:pPr>
                  <w:r>
                    <w:rPr>
                      <w:rFonts w:hint="eastAsia" w:cs="宋体"/>
                      <w:szCs w:val="21"/>
                    </w:rPr>
                    <w:t>救援设备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rFonts w:cs="宋体"/>
                      <w:szCs w:val="21"/>
                    </w:rPr>
                  </w:pPr>
                  <w:r>
                    <w:rPr>
                      <w:rFonts w:hint="eastAsia" w:cs="宋体"/>
                      <w:szCs w:val="21"/>
                    </w:rPr>
                    <w:t>围油栏</w:t>
                  </w:r>
                </w:p>
              </w:tc>
              <w:tc>
                <w:tcPr>
                  <w:tcW w:w="4274" w:type="dxa"/>
                  <w:tcBorders>
                    <w:tl2br w:val="nil"/>
                    <w:tr2bl w:val="nil"/>
                  </w:tcBorders>
                  <w:vAlign w:val="center"/>
                </w:tcPr>
                <w:p>
                  <w:pPr>
                    <w:autoSpaceDN w:val="0"/>
                    <w:jc w:val="center"/>
                    <w:textAlignment w:val="center"/>
                    <w:rPr>
                      <w:rFonts w:cs="宋体"/>
                      <w:szCs w:val="21"/>
                    </w:rPr>
                  </w:pPr>
                  <w:r>
                    <w:rPr>
                      <w:rFonts w:hint="eastAsia" w:cs="宋体"/>
                      <w:szCs w:val="21"/>
                    </w:rPr>
                    <w:t>PVC浮子式800m</w:t>
                  </w:r>
                </w:p>
              </w:tc>
              <w:tc>
                <w:tcPr>
                  <w:tcW w:w="944" w:type="dxa"/>
                  <w:tcBorders>
                    <w:tl2br w:val="nil"/>
                    <w:tr2bl w:val="nil"/>
                  </w:tcBorders>
                </w:tcPr>
                <w:p>
                  <w:pPr>
                    <w:autoSpaceDN w:val="0"/>
                    <w:jc w:val="center"/>
                    <w:textAlignment w:val="center"/>
                    <w:rPr>
                      <w:rFonts w:cs="宋体"/>
                      <w:szCs w:val="21"/>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rFonts w:cs="宋体"/>
                      <w:szCs w:val="21"/>
                    </w:rPr>
                  </w:pPr>
                  <w:r>
                    <w:rPr>
                      <w:rFonts w:hint="eastAsia" w:cs="宋体"/>
                      <w:szCs w:val="21"/>
                    </w:rPr>
                    <w:t>吸油棉</w:t>
                  </w:r>
                </w:p>
              </w:tc>
              <w:tc>
                <w:tcPr>
                  <w:tcW w:w="4274" w:type="dxa"/>
                  <w:tcBorders>
                    <w:tl2br w:val="nil"/>
                    <w:tr2bl w:val="nil"/>
                  </w:tcBorders>
                  <w:vAlign w:val="center"/>
                </w:tcPr>
                <w:p>
                  <w:pPr>
                    <w:autoSpaceDN w:val="0"/>
                    <w:jc w:val="center"/>
                    <w:textAlignment w:val="center"/>
                    <w:rPr>
                      <w:rFonts w:cs="宋体"/>
                      <w:szCs w:val="21"/>
                    </w:rPr>
                  </w:pPr>
                  <w:r>
                    <w:rPr>
                      <w:rFonts w:hint="eastAsia" w:cs="宋体"/>
                      <w:szCs w:val="21"/>
                    </w:rPr>
                    <w:t>500m</w:t>
                  </w:r>
                </w:p>
              </w:tc>
              <w:tc>
                <w:tcPr>
                  <w:tcW w:w="944" w:type="dxa"/>
                  <w:tcBorders>
                    <w:tl2br w:val="nil"/>
                    <w:tr2bl w:val="nil"/>
                  </w:tcBorders>
                </w:tcPr>
                <w:p>
                  <w:pPr>
                    <w:autoSpaceDN w:val="0"/>
                    <w:jc w:val="center"/>
                    <w:textAlignment w:val="center"/>
                    <w:rPr>
                      <w:rFonts w:cs="宋体"/>
                      <w:szCs w:val="21"/>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rFonts w:cs="宋体"/>
                      <w:szCs w:val="21"/>
                    </w:rPr>
                  </w:pPr>
                  <w:r>
                    <w:rPr>
                      <w:rFonts w:hint="eastAsia" w:cs="宋体"/>
                      <w:szCs w:val="21"/>
                    </w:rPr>
                    <w:t>吸油索</w:t>
                  </w:r>
                </w:p>
              </w:tc>
              <w:tc>
                <w:tcPr>
                  <w:tcW w:w="4274" w:type="dxa"/>
                  <w:tcBorders>
                    <w:tl2br w:val="nil"/>
                    <w:tr2bl w:val="nil"/>
                  </w:tcBorders>
                  <w:vAlign w:val="center"/>
                </w:tcPr>
                <w:p>
                  <w:pPr>
                    <w:autoSpaceDN w:val="0"/>
                    <w:jc w:val="center"/>
                    <w:textAlignment w:val="center"/>
                    <w:rPr>
                      <w:rFonts w:cs="宋体"/>
                      <w:szCs w:val="21"/>
                    </w:rPr>
                  </w:pPr>
                  <w:r>
                    <w:rPr>
                      <w:rFonts w:hint="eastAsia" w:cs="宋体"/>
                      <w:szCs w:val="21"/>
                    </w:rPr>
                    <w:t>300m</w:t>
                  </w:r>
                </w:p>
              </w:tc>
              <w:tc>
                <w:tcPr>
                  <w:tcW w:w="944" w:type="dxa"/>
                  <w:tcBorders>
                    <w:tl2br w:val="nil"/>
                    <w:tr2bl w:val="nil"/>
                  </w:tcBorders>
                </w:tcPr>
                <w:p>
                  <w:pPr>
                    <w:autoSpaceDN w:val="0"/>
                    <w:jc w:val="center"/>
                    <w:textAlignment w:val="center"/>
                    <w:rPr>
                      <w:rFonts w:cs="宋体"/>
                      <w:szCs w:val="21"/>
                    </w:rPr>
                  </w:pPr>
                  <w:r>
                    <w:rPr>
                      <w:rFonts w:hint="eastAsia" w:cs="宋体"/>
                      <w:szCs w:val="21"/>
                    </w:rPr>
                    <w:t>/</w:t>
                  </w:r>
                </w:p>
              </w:tc>
            </w:tr>
          </w:tbl>
          <w:p>
            <w:pPr>
              <w:adjustRightInd w:val="0"/>
              <w:snapToGrid w:val="0"/>
              <w:spacing w:line="360" w:lineRule="auto"/>
              <w:rPr>
                <w:sz w:val="24"/>
                <w:szCs w:val="24"/>
              </w:rPr>
            </w:pPr>
            <w:r>
              <w:rPr>
                <w:rFonts w:hint="eastAsia"/>
                <w:sz w:val="24"/>
                <w:szCs w:val="24"/>
              </w:rPr>
              <w:t>（3）一期项目原辅材料</w:t>
            </w:r>
          </w:p>
          <w:p>
            <w:pPr>
              <w:spacing w:line="360" w:lineRule="auto"/>
              <w:ind w:firstLine="480" w:firstLineChars="200"/>
              <w:jc w:val="center"/>
              <w:rPr>
                <w:b/>
                <w:szCs w:val="21"/>
              </w:rPr>
            </w:pPr>
            <w:r>
              <w:rPr>
                <w:sz w:val="24"/>
              </w:rPr>
              <w:t>根据建设方提供的资料，本项目主要原辅材料具体情况见表</w:t>
            </w:r>
            <w:r>
              <w:rPr>
                <w:rFonts w:hint="eastAsia"/>
                <w:sz w:val="24"/>
              </w:rPr>
              <w:t>2-5</w:t>
            </w:r>
            <w:r>
              <w:rPr>
                <w:sz w:val="24"/>
              </w:rPr>
              <w:t>。</w:t>
            </w:r>
            <w:r>
              <w:rPr>
                <w:b/>
                <w:szCs w:val="21"/>
              </w:rPr>
              <w:br w:type="textWrapping"/>
            </w:r>
            <w:r>
              <w:rPr>
                <w:b/>
                <w:szCs w:val="21"/>
              </w:rPr>
              <w:t>表</w:t>
            </w:r>
            <w:r>
              <w:rPr>
                <w:rFonts w:hint="eastAsia"/>
                <w:b/>
                <w:szCs w:val="21"/>
              </w:rPr>
              <w:t>2-5一期扩建完成后</w:t>
            </w:r>
            <w:r>
              <w:rPr>
                <w:b/>
                <w:szCs w:val="21"/>
              </w:rPr>
              <w:t>项目主要原辅材料表</w:t>
            </w:r>
          </w:p>
          <w:tbl>
            <w:tblPr>
              <w:tblStyle w:val="25"/>
              <w:tblpPr w:leftFromText="180" w:rightFromText="180" w:vertAnchor="text" w:horzAnchor="page" w:tblpX="132" w:tblpY="42"/>
              <w:tblOverlap w:val="never"/>
              <w:tblW w:w="755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97"/>
              <w:gridCol w:w="1745"/>
              <w:gridCol w:w="1510"/>
              <w:gridCol w:w="1511"/>
              <w:gridCol w:w="179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997" w:type="dxa"/>
                  <w:tcBorders>
                    <w:tl2br w:val="nil"/>
                    <w:tr2bl w:val="nil"/>
                  </w:tcBorders>
                  <w:noWrap/>
                  <w:vAlign w:val="center"/>
                </w:tcPr>
                <w:p>
                  <w:pPr>
                    <w:jc w:val="center"/>
                    <w:rPr>
                      <w:szCs w:val="21"/>
                    </w:rPr>
                  </w:pPr>
                  <w:r>
                    <w:rPr>
                      <w:szCs w:val="21"/>
                    </w:rPr>
                    <w:t>序号</w:t>
                  </w:r>
                </w:p>
              </w:tc>
              <w:tc>
                <w:tcPr>
                  <w:tcW w:w="1745" w:type="dxa"/>
                  <w:tcBorders>
                    <w:tl2br w:val="nil"/>
                    <w:tr2bl w:val="nil"/>
                  </w:tcBorders>
                  <w:noWrap/>
                  <w:vAlign w:val="center"/>
                </w:tcPr>
                <w:p>
                  <w:pPr>
                    <w:jc w:val="center"/>
                    <w:rPr>
                      <w:szCs w:val="21"/>
                    </w:rPr>
                  </w:pPr>
                  <w:r>
                    <w:rPr>
                      <w:szCs w:val="21"/>
                    </w:rPr>
                    <w:t>原辅材料名称</w:t>
                  </w:r>
                </w:p>
              </w:tc>
              <w:tc>
                <w:tcPr>
                  <w:tcW w:w="1510" w:type="dxa"/>
                  <w:tcBorders>
                    <w:tl2br w:val="nil"/>
                    <w:tr2bl w:val="nil"/>
                  </w:tcBorders>
                  <w:noWrap/>
                  <w:vAlign w:val="center"/>
                </w:tcPr>
                <w:p>
                  <w:pPr>
                    <w:jc w:val="center"/>
                    <w:rPr>
                      <w:szCs w:val="21"/>
                    </w:rPr>
                  </w:pPr>
                  <w:r>
                    <w:rPr>
                      <w:rFonts w:hint="eastAsia"/>
                      <w:szCs w:val="21"/>
                    </w:rPr>
                    <w:t>一期建设完成后</w:t>
                  </w:r>
                  <w:r>
                    <w:rPr>
                      <w:szCs w:val="21"/>
                    </w:rPr>
                    <w:t>年用量（t/a）</w:t>
                  </w:r>
                </w:p>
              </w:tc>
              <w:tc>
                <w:tcPr>
                  <w:tcW w:w="1511" w:type="dxa"/>
                  <w:tcBorders>
                    <w:tl2br w:val="nil"/>
                    <w:tr2bl w:val="nil"/>
                  </w:tcBorders>
                  <w:noWrap/>
                  <w:vAlign w:val="center"/>
                </w:tcPr>
                <w:p>
                  <w:pPr>
                    <w:jc w:val="center"/>
                    <w:rPr>
                      <w:szCs w:val="21"/>
                    </w:rPr>
                  </w:pPr>
                  <w:r>
                    <w:rPr>
                      <w:rFonts w:hint="eastAsia"/>
                      <w:szCs w:val="21"/>
                    </w:rPr>
                    <w:t>来源</w:t>
                  </w:r>
                </w:p>
              </w:tc>
              <w:tc>
                <w:tcPr>
                  <w:tcW w:w="1794" w:type="dxa"/>
                  <w:tcBorders>
                    <w:tl2br w:val="nil"/>
                    <w:tr2bl w:val="nil"/>
                  </w:tcBorders>
                  <w:noWrap/>
                  <w:vAlign w:val="center"/>
                </w:tcPr>
                <w:p>
                  <w:pPr>
                    <w:jc w:val="center"/>
                    <w:rPr>
                      <w:szCs w:val="21"/>
                    </w:rPr>
                  </w:pPr>
                  <w:r>
                    <w:rPr>
                      <w:rFonts w:hint="eastAsia"/>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97" w:type="dxa"/>
                  <w:tcBorders>
                    <w:tl2br w:val="nil"/>
                    <w:tr2bl w:val="nil"/>
                  </w:tcBorders>
                  <w:noWrap/>
                  <w:vAlign w:val="center"/>
                </w:tcPr>
                <w:p>
                  <w:pPr>
                    <w:jc w:val="center"/>
                    <w:rPr>
                      <w:szCs w:val="21"/>
                    </w:rPr>
                  </w:pPr>
                  <w:r>
                    <w:rPr>
                      <w:szCs w:val="21"/>
                    </w:rPr>
                    <w:t>1</w:t>
                  </w:r>
                </w:p>
              </w:tc>
              <w:tc>
                <w:tcPr>
                  <w:tcW w:w="1745" w:type="dxa"/>
                  <w:tcBorders>
                    <w:tl2br w:val="nil"/>
                    <w:tr2bl w:val="nil"/>
                  </w:tcBorders>
                  <w:noWrap/>
                  <w:vAlign w:val="center"/>
                </w:tcPr>
                <w:p>
                  <w:pPr>
                    <w:spacing w:after="160"/>
                    <w:jc w:val="center"/>
                    <w:rPr>
                      <w:kern w:val="0"/>
                      <w:szCs w:val="21"/>
                    </w:rPr>
                  </w:pPr>
                  <w:r>
                    <w:rPr>
                      <w:rFonts w:hint="eastAsia"/>
                      <w:kern w:val="0"/>
                      <w:szCs w:val="21"/>
                    </w:rPr>
                    <w:t>柴油</w:t>
                  </w:r>
                </w:p>
              </w:tc>
              <w:tc>
                <w:tcPr>
                  <w:tcW w:w="1510" w:type="dxa"/>
                  <w:tcBorders>
                    <w:tl2br w:val="nil"/>
                    <w:tr2bl w:val="nil"/>
                  </w:tcBorders>
                  <w:noWrap/>
                  <w:vAlign w:val="center"/>
                </w:tcPr>
                <w:p>
                  <w:pPr>
                    <w:jc w:val="center"/>
                    <w:rPr>
                      <w:color w:val="FF0000"/>
                      <w:kern w:val="0"/>
                      <w:szCs w:val="21"/>
                    </w:rPr>
                  </w:pPr>
                  <w:r>
                    <w:rPr>
                      <w:rFonts w:hint="eastAsia"/>
                    </w:rPr>
                    <w:t>100</w:t>
                  </w:r>
                </w:p>
              </w:tc>
              <w:tc>
                <w:tcPr>
                  <w:tcW w:w="1511" w:type="dxa"/>
                  <w:tcBorders>
                    <w:tl2br w:val="nil"/>
                    <w:tr2bl w:val="nil"/>
                  </w:tcBorders>
                  <w:noWrap/>
                  <w:vAlign w:val="center"/>
                </w:tcPr>
                <w:p>
                  <w:pPr>
                    <w:jc w:val="center"/>
                    <w:rPr>
                      <w:szCs w:val="21"/>
                    </w:rPr>
                  </w:pPr>
                  <w:r>
                    <w:rPr>
                      <w:rFonts w:hint="eastAsia"/>
                      <w:szCs w:val="21"/>
                    </w:rPr>
                    <w:t>水上加油船</w:t>
                  </w:r>
                </w:p>
              </w:tc>
              <w:tc>
                <w:tcPr>
                  <w:tcW w:w="1794" w:type="dxa"/>
                  <w:tcBorders>
                    <w:tl2br w:val="nil"/>
                    <w:tr2bl w:val="nil"/>
                  </w:tcBorders>
                  <w:noWrap/>
                  <w:vAlign w:val="center"/>
                </w:tcPr>
                <w:p>
                  <w:pPr>
                    <w:jc w:val="center"/>
                    <w:rPr>
                      <w:szCs w:val="21"/>
                    </w:rPr>
                  </w:pPr>
                  <w:r>
                    <w:rPr>
                      <w:rFonts w:hint="eastAsia"/>
                      <w:szCs w:val="21"/>
                    </w:rPr>
                    <w:t>船只流动作业和柴油发电机</w:t>
                  </w:r>
                </w:p>
              </w:tc>
            </w:tr>
          </w:tbl>
          <w:p>
            <w:pPr>
              <w:pStyle w:val="16"/>
              <w:ind w:left="420"/>
              <w:rPr>
                <w:sz w:val="24"/>
                <w:szCs w:val="24"/>
              </w:rPr>
            </w:pPr>
            <w:r>
              <w:rPr>
                <w:rFonts w:hint="eastAsia"/>
                <w:sz w:val="24"/>
                <w:szCs w:val="24"/>
              </w:rPr>
              <w:t>（4）一期项目接收船舶污染物种类及规模</w:t>
            </w:r>
          </w:p>
          <w:p>
            <w:pPr>
              <w:spacing w:line="360" w:lineRule="auto"/>
              <w:jc w:val="center"/>
              <w:rPr>
                <w:b/>
                <w:szCs w:val="21"/>
              </w:rPr>
            </w:pPr>
          </w:p>
          <w:p>
            <w:pPr>
              <w:spacing w:line="360" w:lineRule="auto"/>
              <w:jc w:val="center"/>
              <w:rPr>
                <w:b/>
                <w:szCs w:val="21"/>
              </w:rPr>
            </w:pPr>
            <w:r>
              <w:rPr>
                <w:b/>
                <w:szCs w:val="21"/>
              </w:rPr>
              <w:t>表</w:t>
            </w:r>
            <w:r>
              <w:rPr>
                <w:rFonts w:hint="eastAsia"/>
                <w:b/>
                <w:szCs w:val="21"/>
              </w:rPr>
              <w:t>2-6项目接收船舶污染物种类及规模</w:t>
            </w:r>
          </w:p>
          <w:tbl>
            <w:tblPr>
              <w:tblStyle w:val="24"/>
              <w:tblpPr w:leftFromText="180" w:rightFromText="180" w:vertAnchor="text" w:horzAnchor="page" w:tblpXSpec="center" w:tblpY="73"/>
              <w:tblOverlap w:val="never"/>
              <w:tblW w:w="74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178"/>
              <w:gridCol w:w="2346"/>
              <w:gridCol w:w="291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178" w:type="dxa"/>
                  <w:tcBorders>
                    <w:tl2br w:val="nil"/>
                    <w:tr2bl w:val="nil"/>
                  </w:tcBorders>
                  <w:noWrap/>
                  <w:vAlign w:val="center"/>
                </w:tcPr>
                <w:p>
                  <w:pPr>
                    <w:adjustRightInd w:val="0"/>
                    <w:jc w:val="center"/>
                    <w:rPr>
                      <w:szCs w:val="21"/>
                    </w:rPr>
                  </w:pPr>
                  <w:r>
                    <w:rPr>
                      <w:szCs w:val="21"/>
                    </w:rPr>
                    <w:t>产品</w:t>
                  </w:r>
                </w:p>
              </w:tc>
              <w:tc>
                <w:tcPr>
                  <w:tcW w:w="2346" w:type="dxa"/>
                  <w:tcBorders>
                    <w:tl2br w:val="nil"/>
                    <w:tr2bl w:val="nil"/>
                  </w:tcBorders>
                  <w:noWrap/>
                  <w:vAlign w:val="center"/>
                </w:tcPr>
                <w:p>
                  <w:pPr>
                    <w:adjustRightInd w:val="0"/>
                    <w:jc w:val="center"/>
                    <w:rPr>
                      <w:szCs w:val="21"/>
                    </w:rPr>
                  </w:pPr>
                  <w:r>
                    <w:rPr>
                      <w:rFonts w:hint="eastAsia"/>
                      <w:szCs w:val="21"/>
                    </w:rPr>
                    <w:t>一期扩建完成后</w:t>
                  </w:r>
                  <w:r>
                    <w:rPr>
                      <w:szCs w:val="21"/>
                    </w:rPr>
                    <w:t>产</w:t>
                  </w:r>
                  <w:r>
                    <w:rPr>
                      <w:rFonts w:hint="eastAsia"/>
                      <w:szCs w:val="21"/>
                    </w:rPr>
                    <w:t>能</w:t>
                  </w:r>
                  <w:r>
                    <w:rPr>
                      <w:szCs w:val="21"/>
                    </w:rPr>
                    <w:t>（t/a）</w:t>
                  </w:r>
                </w:p>
              </w:tc>
              <w:tc>
                <w:tcPr>
                  <w:tcW w:w="2914" w:type="dxa"/>
                  <w:tcBorders>
                    <w:tl2br w:val="nil"/>
                    <w:tr2bl w:val="nil"/>
                  </w:tcBorders>
                  <w:noWrap/>
                  <w:vAlign w:val="center"/>
                </w:tcPr>
                <w:p>
                  <w:pPr>
                    <w:adjustRightInd w:val="0"/>
                    <w:jc w:val="center"/>
                    <w:rPr>
                      <w:szCs w:val="21"/>
                    </w:rPr>
                  </w:pPr>
                  <w:r>
                    <w:rPr>
                      <w:rFonts w:hint="eastAsia"/>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2178" w:type="dxa"/>
                  <w:tcBorders>
                    <w:tl2br w:val="nil"/>
                    <w:tr2bl w:val="nil"/>
                  </w:tcBorders>
                  <w:noWrap/>
                  <w:vAlign w:val="center"/>
                </w:tcPr>
                <w:p>
                  <w:pPr>
                    <w:spacing w:after="160"/>
                    <w:jc w:val="center"/>
                    <w:rPr>
                      <w:szCs w:val="21"/>
                    </w:rPr>
                  </w:pPr>
                  <w:r>
                    <w:rPr>
                      <w:rFonts w:hint="eastAsia"/>
                      <w:szCs w:val="21"/>
                    </w:rPr>
                    <w:t>废机油</w:t>
                  </w:r>
                </w:p>
              </w:tc>
              <w:tc>
                <w:tcPr>
                  <w:tcW w:w="2346" w:type="dxa"/>
                  <w:tcBorders>
                    <w:tl2br w:val="nil"/>
                    <w:tr2bl w:val="nil"/>
                  </w:tcBorders>
                  <w:noWrap/>
                  <w:vAlign w:val="center"/>
                </w:tcPr>
                <w:p>
                  <w:pPr>
                    <w:spacing w:after="160"/>
                    <w:jc w:val="center"/>
                    <w:rPr>
                      <w:color w:val="FF0000"/>
                      <w:szCs w:val="21"/>
                    </w:rPr>
                  </w:pPr>
                  <w:r>
                    <w:rPr>
                      <w:rFonts w:hint="eastAsia"/>
                      <w:szCs w:val="21"/>
                    </w:rPr>
                    <w:t>300</w:t>
                  </w:r>
                </w:p>
              </w:tc>
              <w:tc>
                <w:tcPr>
                  <w:tcW w:w="2914" w:type="dxa"/>
                  <w:tcBorders>
                    <w:tl2br w:val="nil"/>
                    <w:tr2bl w:val="nil"/>
                  </w:tcBorders>
                  <w:noWrap/>
                  <w:vAlign w:val="center"/>
                </w:tcPr>
                <w:p>
                  <w:pPr>
                    <w:spacing w:after="160"/>
                    <w:jc w:val="center"/>
                    <w:rPr>
                      <w:szCs w:val="21"/>
                    </w:rPr>
                  </w:pPr>
                  <w:r>
                    <w:rPr>
                      <w:rFonts w:hint="eastAsia"/>
                      <w:szCs w:val="21"/>
                    </w:rPr>
                    <w:t>新增废机油100t（现有回收量200t）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2178" w:type="dxa"/>
                  <w:tcBorders>
                    <w:tl2br w:val="nil"/>
                    <w:tr2bl w:val="nil"/>
                  </w:tcBorders>
                  <w:noWrap/>
                  <w:vAlign w:val="center"/>
                </w:tcPr>
                <w:p>
                  <w:pPr>
                    <w:spacing w:after="160"/>
                    <w:jc w:val="center"/>
                    <w:rPr>
                      <w:szCs w:val="21"/>
                    </w:rPr>
                  </w:pPr>
                  <w:r>
                    <w:rPr>
                      <w:rFonts w:hint="eastAsia"/>
                      <w:szCs w:val="21"/>
                    </w:rPr>
                    <w:t>处理后废水</w:t>
                  </w:r>
                </w:p>
              </w:tc>
              <w:tc>
                <w:tcPr>
                  <w:tcW w:w="2346" w:type="dxa"/>
                  <w:tcBorders>
                    <w:tl2br w:val="nil"/>
                    <w:tr2bl w:val="nil"/>
                  </w:tcBorders>
                  <w:noWrap/>
                  <w:vAlign w:val="center"/>
                </w:tcPr>
                <w:p>
                  <w:pPr>
                    <w:spacing w:after="160"/>
                    <w:jc w:val="center"/>
                    <w:rPr>
                      <w:szCs w:val="21"/>
                    </w:rPr>
                  </w:pPr>
                  <w:r>
                    <w:rPr>
                      <w:rFonts w:hint="eastAsia"/>
                      <w:szCs w:val="21"/>
                    </w:rPr>
                    <w:t>6000</w:t>
                  </w:r>
                </w:p>
              </w:tc>
              <w:tc>
                <w:tcPr>
                  <w:tcW w:w="2914" w:type="dxa"/>
                  <w:tcBorders>
                    <w:tl2br w:val="nil"/>
                    <w:tr2bl w:val="nil"/>
                  </w:tcBorders>
                  <w:noWrap/>
                  <w:vAlign w:val="center"/>
                </w:tcPr>
                <w:p>
                  <w:pPr>
                    <w:spacing w:after="160"/>
                    <w:jc w:val="center"/>
                    <w:rPr>
                      <w:szCs w:val="21"/>
                    </w:rPr>
                  </w:pPr>
                  <w:r>
                    <w:rPr>
                      <w:rFonts w:hint="eastAsia"/>
                      <w:szCs w:val="21"/>
                    </w:rPr>
                    <w:t>其中包含分离后废机油量400t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94" w:hRule="atLeast"/>
                <w:jc w:val="center"/>
              </w:trPr>
              <w:tc>
                <w:tcPr>
                  <w:tcW w:w="2178" w:type="dxa"/>
                  <w:tcBorders>
                    <w:tl2br w:val="nil"/>
                    <w:tr2bl w:val="nil"/>
                  </w:tcBorders>
                  <w:noWrap/>
                  <w:vAlign w:val="center"/>
                </w:tcPr>
                <w:p>
                  <w:pPr>
                    <w:spacing w:after="160"/>
                    <w:jc w:val="center"/>
                    <w:rPr>
                      <w:szCs w:val="21"/>
                    </w:rPr>
                  </w:pPr>
                  <w:r>
                    <w:rPr>
                      <w:rFonts w:hint="eastAsia"/>
                      <w:szCs w:val="21"/>
                    </w:rPr>
                    <w:t>船舶垃圾</w:t>
                  </w:r>
                </w:p>
              </w:tc>
              <w:tc>
                <w:tcPr>
                  <w:tcW w:w="2346" w:type="dxa"/>
                  <w:tcBorders>
                    <w:tl2br w:val="nil"/>
                    <w:tr2bl w:val="nil"/>
                  </w:tcBorders>
                  <w:noWrap/>
                  <w:vAlign w:val="center"/>
                </w:tcPr>
                <w:p>
                  <w:pPr>
                    <w:spacing w:after="160"/>
                    <w:jc w:val="center"/>
                    <w:rPr>
                      <w:szCs w:val="21"/>
                    </w:rPr>
                  </w:pPr>
                  <w:r>
                    <w:rPr>
                      <w:rFonts w:hint="eastAsia"/>
                      <w:szCs w:val="21"/>
                    </w:rPr>
                    <w:t>600</w:t>
                  </w:r>
                </w:p>
              </w:tc>
              <w:tc>
                <w:tcPr>
                  <w:tcW w:w="2914" w:type="dxa"/>
                  <w:tcBorders>
                    <w:tl2br w:val="nil"/>
                    <w:tr2bl w:val="nil"/>
                  </w:tcBorders>
                  <w:noWrap/>
                  <w:vAlign w:val="center"/>
                </w:tcPr>
                <w:p>
                  <w:pPr>
                    <w:spacing w:after="160"/>
                    <w:jc w:val="center"/>
                    <w:rPr>
                      <w:bCs/>
                      <w:szCs w:val="21"/>
                    </w:rPr>
                  </w:pPr>
                  <w:r>
                    <w:rPr>
                      <w:rFonts w:hint="eastAsia"/>
                      <w:bCs/>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178" w:type="dxa"/>
                  <w:tcBorders>
                    <w:tl2br w:val="nil"/>
                    <w:tr2bl w:val="nil"/>
                  </w:tcBorders>
                  <w:noWrap/>
                  <w:vAlign w:val="center"/>
                </w:tcPr>
                <w:p>
                  <w:pPr>
                    <w:spacing w:after="160"/>
                    <w:jc w:val="center"/>
                    <w:rPr>
                      <w:szCs w:val="21"/>
                    </w:rPr>
                  </w:pPr>
                  <w:r>
                    <w:rPr>
                      <w:rFonts w:hint="eastAsia"/>
                      <w:szCs w:val="21"/>
                    </w:rPr>
                    <w:t>生活污水</w:t>
                  </w:r>
                </w:p>
              </w:tc>
              <w:tc>
                <w:tcPr>
                  <w:tcW w:w="2346" w:type="dxa"/>
                  <w:tcBorders>
                    <w:tl2br w:val="nil"/>
                    <w:tr2bl w:val="nil"/>
                  </w:tcBorders>
                  <w:noWrap/>
                  <w:vAlign w:val="center"/>
                </w:tcPr>
                <w:p>
                  <w:pPr>
                    <w:spacing w:after="160"/>
                    <w:jc w:val="center"/>
                    <w:rPr>
                      <w:szCs w:val="21"/>
                    </w:rPr>
                  </w:pPr>
                  <w:r>
                    <w:rPr>
                      <w:rFonts w:hint="eastAsia"/>
                      <w:szCs w:val="21"/>
                    </w:rPr>
                    <w:t>6000</w:t>
                  </w:r>
                </w:p>
              </w:tc>
              <w:tc>
                <w:tcPr>
                  <w:tcW w:w="2914" w:type="dxa"/>
                  <w:tcBorders>
                    <w:tl2br w:val="nil"/>
                    <w:tr2bl w:val="nil"/>
                  </w:tcBorders>
                  <w:noWrap/>
                  <w:vAlign w:val="center"/>
                </w:tcPr>
                <w:p>
                  <w:pPr>
                    <w:spacing w:after="160"/>
                    <w:jc w:val="center"/>
                    <w:rPr>
                      <w:bCs/>
                      <w:szCs w:val="21"/>
                    </w:rPr>
                  </w:pPr>
                  <w:r>
                    <w:rPr>
                      <w:rFonts w:hint="eastAsia"/>
                      <w:bCs/>
                      <w:szCs w:val="21"/>
                    </w:rPr>
                    <w:t>/</w:t>
                  </w:r>
                </w:p>
              </w:tc>
            </w:tr>
          </w:tbl>
          <w:p>
            <w:pPr>
              <w:spacing w:line="360" w:lineRule="auto"/>
              <w:ind w:firstLine="482" w:firstLineChars="200"/>
              <w:rPr>
                <w:b/>
                <w:color w:val="000000"/>
                <w:sz w:val="24"/>
                <w:lang w:val="zh-CN"/>
              </w:rPr>
            </w:pPr>
            <w:r>
              <w:rPr>
                <w:rFonts w:hint="eastAsia"/>
                <w:b/>
                <w:sz w:val="24"/>
              </w:rPr>
              <w:t>（5）</w:t>
            </w:r>
            <w:r>
              <w:rPr>
                <w:b/>
                <w:color w:val="000000"/>
                <w:sz w:val="24"/>
                <w:lang w:val="zh-CN"/>
              </w:rPr>
              <w:t>劳动定员及工作班制</w:t>
            </w:r>
          </w:p>
          <w:p>
            <w:pPr>
              <w:spacing w:line="360" w:lineRule="auto"/>
              <w:ind w:firstLine="480" w:firstLineChars="200"/>
              <w:rPr>
                <w:rFonts w:cs="宋体"/>
                <w:b/>
                <w:sz w:val="24"/>
                <w:szCs w:val="24"/>
              </w:rPr>
            </w:pPr>
            <w:r>
              <w:rPr>
                <w:rFonts w:hint="eastAsia"/>
                <w:color w:val="000000"/>
                <w:sz w:val="24"/>
              </w:rPr>
              <w:t>扩建后项目员工由2人，增加至8人，采用白班制8小时生产、年工作时间为365天（恶劣天气除外）</w:t>
            </w:r>
            <w:r>
              <w:rPr>
                <w:color w:val="000000"/>
                <w:sz w:val="24"/>
              </w:rPr>
              <w:t>。</w:t>
            </w:r>
          </w:p>
          <w:p>
            <w:pPr>
              <w:spacing w:line="360" w:lineRule="auto"/>
              <w:rPr>
                <w:rFonts w:cs="宋体"/>
                <w:b/>
                <w:sz w:val="28"/>
                <w:szCs w:val="28"/>
              </w:rPr>
            </w:pPr>
            <w:r>
              <w:rPr>
                <w:rFonts w:hint="eastAsia" w:cs="宋体"/>
                <w:b/>
                <w:sz w:val="24"/>
                <w:szCs w:val="24"/>
              </w:rPr>
              <w:t>二期建设基本情况（2023年建设完成）</w:t>
            </w:r>
            <w:r>
              <w:rPr>
                <w:rFonts w:hint="eastAsia" w:cs="宋体"/>
                <w:b/>
                <w:sz w:val="28"/>
                <w:szCs w:val="28"/>
              </w:rPr>
              <w:t>：</w:t>
            </w:r>
          </w:p>
          <w:p>
            <w:pPr>
              <w:pStyle w:val="16"/>
              <w:numPr>
                <w:ilvl w:val="0"/>
                <w:numId w:val="7"/>
              </w:numPr>
              <w:spacing w:line="360" w:lineRule="auto"/>
              <w:ind w:left="923" w:hanging="923" w:hangingChars="400"/>
              <w:jc w:val="both"/>
              <w:rPr>
                <w:b/>
                <w:spacing w:val="10"/>
                <w:kern w:val="24"/>
                <w:sz w:val="21"/>
                <w:szCs w:val="21"/>
              </w:rPr>
            </w:pPr>
            <w:r>
              <w:rPr>
                <w:rFonts w:hint="eastAsia"/>
                <w:b/>
                <w:spacing w:val="10"/>
                <w:kern w:val="24"/>
                <w:sz w:val="21"/>
                <w:szCs w:val="21"/>
              </w:rPr>
              <w:t>主要内容</w:t>
            </w:r>
          </w:p>
          <w:p>
            <w:pPr>
              <w:spacing w:line="360" w:lineRule="auto"/>
              <w:ind w:firstLine="480" w:firstLineChars="200"/>
              <w:rPr>
                <w:b/>
                <w:spacing w:val="10"/>
                <w:kern w:val="24"/>
                <w:sz w:val="24"/>
                <w:szCs w:val="24"/>
              </w:rPr>
            </w:pPr>
            <w:r>
              <w:rPr>
                <w:rFonts w:hint="eastAsia"/>
                <w:sz w:val="24"/>
                <w:szCs w:val="24"/>
              </w:rPr>
              <w:t>项目新增4条船舶，淘汰一期两条船（应急库船、湘益阳机1219），辅助工程、公用工程、环保工程与一期一致，不发生改变。具体情况如下表：</w:t>
            </w:r>
          </w:p>
          <w:p>
            <w:pPr>
              <w:pStyle w:val="16"/>
              <w:spacing w:line="360" w:lineRule="auto"/>
              <w:jc w:val="center"/>
              <w:rPr>
                <w:b/>
                <w:spacing w:val="10"/>
                <w:kern w:val="24"/>
                <w:sz w:val="21"/>
                <w:szCs w:val="21"/>
              </w:rPr>
            </w:pPr>
            <w:r>
              <w:rPr>
                <w:b/>
                <w:spacing w:val="10"/>
                <w:kern w:val="24"/>
                <w:sz w:val="21"/>
                <w:szCs w:val="21"/>
              </w:rPr>
              <w:t>表</w:t>
            </w:r>
            <w:r>
              <w:rPr>
                <w:rFonts w:hint="eastAsia"/>
                <w:b/>
                <w:spacing w:val="10"/>
                <w:kern w:val="24"/>
                <w:sz w:val="21"/>
                <w:szCs w:val="21"/>
              </w:rPr>
              <w:t>2-7</w:t>
            </w:r>
            <w:r>
              <w:rPr>
                <w:b/>
                <w:spacing w:val="10"/>
                <w:kern w:val="24"/>
                <w:sz w:val="21"/>
                <w:szCs w:val="21"/>
              </w:rPr>
              <w:t>项目</w:t>
            </w:r>
            <w:r>
              <w:rPr>
                <w:rFonts w:hint="eastAsia"/>
                <w:b/>
                <w:spacing w:val="10"/>
                <w:kern w:val="24"/>
                <w:sz w:val="21"/>
                <w:szCs w:val="21"/>
              </w:rPr>
              <w:t>二期完成建设后</w:t>
            </w:r>
            <w:r>
              <w:rPr>
                <w:b/>
                <w:spacing w:val="10"/>
                <w:kern w:val="24"/>
                <w:sz w:val="21"/>
                <w:szCs w:val="21"/>
              </w:rPr>
              <w:t>主要建设内容</w:t>
            </w:r>
          </w:p>
          <w:tbl>
            <w:tblPr>
              <w:tblStyle w:val="24"/>
              <w:tblpPr w:leftFromText="180" w:rightFromText="180" w:vertAnchor="text" w:horzAnchor="page" w:tblpXSpec="center" w:tblpY="113"/>
              <w:tblOverlap w:val="never"/>
              <w:tblW w:w="749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16"/>
              <w:gridCol w:w="385"/>
              <w:gridCol w:w="832"/>
              <w:gridCol w:w="293"/>
              <w:gridCol w:w="2195"/>
              <w:gridCol w:w="1679"/>
              <w:gridCol w:w="119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916" w:type="dxa"/>
                  <w:tcBorders>
                    <w:tl2br w:val="nil"/>
                    <w:tr2bl w:val="nil"/>
                  </w:tcBorders>
                  <w:noWrap/>
                  <w:vAlign w:val="center"/>
                </w:tcPr>
                <w:p>
                  <w:pPr>
                    <w:autoSpaceDE w:val="0"/>
                    <w:autoSpaceDN w:val="0"/>
                    <w:adjustRightInd w:val="0"/>
                    <w:jc w:val="center"/>
                    <w:rPr>
                      <w:kern w:val="24"/>
                      <w:szCs w:val="21"/>
                    </w:rPr>
                  </w:pPr>
                  <w:r>
                    <w:rPr>
                      <w:kern w:val="24"/>
                      <w:szCs w:val="21"/>
                    </w:rPr>
                    <w:t>项目组成</w:t>
                  </w:r>
                </w:p>
              </w:tc>
              <w:tc>
                <w:tcPr>
                  <w:tcW w:w="5384" w:type="dxa"/>
                  <w:gridSpan w:val="5"/>
                  <w:tcBorders>
                    <w:tl2br w:val="nil"/>
                    <w:tr2bl w:val="nil"/>
                  </w:tcBorders>
                  <w:noWrap/>
                  <w:vAlign w:val="center"/>
                </w:tcPr>
                <w:p>
                  <w:pPr>
                    <w:autoSpaceDE w:val="0"/>
                    <w:autoSpaceDN w:val="0"/>
                    <w:adjustRightInd w:val="0"/>
                    <w:jc w:val="center"/>
                    <w:rPr>
                      <w:kern w:val="24"/>
                      <w:szCs w:val="21"/>
                    </w:rPr>
                  </w:pPr>
                  <w:r>
                    <w:rPr>
                      <w:rFonts w:hint="eastAsia"/>
                      <w:kern w:val="24"/>
                      <w:szCs w:val="21"/>
                    </w:rPr>
                    <w:t>二期扩建完成后项目内容</w:t>
                  </w:r>
                </w:p>
              </w:tc>
              <w:tc>
                <w:tcPr>
                  <w:tcW w:w="1198" w:type="dxa"/>
                  <w:vMerge w:val="restart"/>
                  <w:tcBorders>
                    <w:tl2br w:val="nil"/>
                    <w:tr2bl w:val="nil"/>
                  </w:tcBorders>
                  <w:noWrap/>
                  <w:vAlign w:val="center"/>
                </w:tcPr>
                <w:p>
                  <w:pPr>
                    <w:autoSpaceDE w:val="0"/>
                    <w:autoSpaceDN w:val="0"/>
                    <w:adjustRightInd w:val="0"/>
                    <w:jc w:val="center"/>
                    <w:rPr>
                      <w:kern w:val="24"/>
                      <w:szCs w:val="21"/>
                    </w:rPr>
                  </w:pPr>
                  <w:r>
                    <w:rPr>
                      <w:rFonts w:hint="eastAsia"/>
                      <w:kern w:val="24"/>
                      <w:szCs w:val="21"/>
                    </w:rPr>
                    <w:t>依托工程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916" w:type="dxa"/>
                  <w:vMerge w:val="restart"/>
                  <w:tcBorders>
                    <w:tl2br w:val="nil"/>
                    <w:tr2bl w:val="nil"/>
                  </w:tcBorders>
                  <w:noWrap/>
                  <w:vAlign w:val="center"/>
                </w:tcPr>
                <w:p>
                  <w:pPr>
                    <w:jc w:val="center"/>
                    <w:rPr>
                      <w:szCs w:val="21"/>
                    </w:rPr>
                  </w:pPr>
                  <w:r>
                    <w:rPr>
                      <w:szCs w:val="21"/>
                    </w:rPr>
                    <w:t>主体工程</w:t>
                  </w:r>
                </w:p>
                <w:p>
                  <w:pPr>
                    <w:jc w:val="center"/>
                    <w:rPr>
                      <w:szCs w:val="21"/>
                    </w:rPr>
                  </w:pPr>
                </w:p>
              </w:tc>
              <w:tc>
                <w:tcPr>
                  <w:tcW w:w="385" w:type="dxa"/>
                  <w:vMerge w:val="restart"/>
                  <w:tcBorders>
                    <w:tl2br w:val="nil"/>
                    <w:tr2bl w:val="nil"/>
                  </w:tcBorders>
                  <w:noWrap/>
                  <w:vAlign w:val="center"/>
                </w:tcPr>
                <w:p>
                  <w:pPr>
                    <w:autoSpaceDE w:val="0"/>
                    <w:autoSpaceDN w:val="0"/>
                    <w:adjustRightInd w:val="0"/>
                    <w:jc w:val="center"/>
                  </w:pPr>
                  <w:r>
                    <w:rPr>
                      <w:rFonts w:hint="eastAsia"/>
                    </w:rPr>
                    <w:t>二期</w:t>
                  </w:r>
                </w:p>
              </w:tc>
              <w:tc>
                <w:tcPr>
                  <w:tcW w:w="1125" w:type="dxa"/>
                  <w:gridSpan w:val="2"/>
                  <w:tcBorders>
                    <w:tl2br w:val="nil"/>
                    <w:tr2bl w:val="nil"/>
                  </w:tcBorders>
                  <w:noWrap/>
                  <w:vAlign w:val="center"/>
                </w:tcPr>
                <w:p>
                  <w:pPr>
                    <w:autoSpaceDE w:val="0"/>
                    <w:autoSpaceDN w:val="0"/>
                    <w:adjustRightInd w:val="0"/>
                    <w:jc w:val="center"/>
                    <w:rPr>
                      <w:kern w:val="24"/>
                      <w:szCs w:val="21"/>
                    </w:rPr>
                  </w:pPr>
                  <w:r>
                    <w:rPr>
                      <w:rFonts w:hint="eastAsia"/>
                      <w:kern w:val="24"/>
                      <w:szCs w:val="21"/>
                    </w:rPr>
                    <w:t>船舶</w:t>
                  </w:r>
                </w:p>
              </w:tc>
              <w:tc>
                <w:tcPr>
                  <w:tcW w:w="2195" w:type="dxa"/>
                  <w:tcBorders>
                    <w:tl2br w:val="nil"/>
                    <w:tr2bl w:val="nil"/>
                  </w:tcBorders>
                  <w:noWrap/>
                  <w:vAlign w:val="center"/>
                </w:tcPr>
                <w:p>
                  <w:pPr>
                    <w:autoSpaceDE w:val="0"/>
                    <w:autoSpaceDN w:val="0"/>
                    <w:adjustRightInd w:val="0"/>
                    <w:jc w:val="center"/>
                    <w:rPr>
                      <w:kern w:val="24"/>
                      <w:szCs w:val="21"/>
                    </w:rPr>
                  </w:pPr>
                  <w:r>
                    <w:rPr>
                      <w:rFonts w:hint="eastAsia"/>
                      <w:kern w:val="24"/>
                      <w:szCs w:val="21"/>
                    </w:rPr>
                    <w:t>用途</w:t>
                  </w:r>
                </w:p>
              </w:tc>
              <w:tc>
                <w:tcPr>
                  <w:tcW w:w="1679" w:type="dxa"/>
                  <w:tcBorders>
                    <w:tl2br w:val="nil"/>
                    <w:tr2bl w:val="nil"/>
                  </w:tcBorders>
                  <w:noWrap/>
                  <w:vAlign w:val="center"/>
                </w:tcPr>
                <w:p>
                  <w:pPr>
                    <w:autoSpaceDE w:val="0"/>
                    <w:autoSpaceDN w:val="0"/>
                    <w:adjustRightInd w:val="0"/>
                    <w:jc w:val="center"/>
                    <w:rPr>
                      <w:kern w:val="24"/>
                      <w:szCs w:val="21"/>
                    </w:rPr>
                  </w:pPr>
                  <w:r>
                    <w:rPr>
                      <w:rFonts w:hint="eastAsia"/>
                      <w:kern w:val="24"/>
                      <w:szCs w:val="21"/>
                    </w:rPr>
                    <w:t>收集能力</w:t>
                  </w:r>
                </w:p>
              </w:tc>
              <w:tc>
                <w:tcPr>
                  <w:tcW w:w="1198" w:type="dxa"/>
                  <w:vMerge w:val="continue"/>
                  <w:tcBorders>
                    <w:tl2br w:val="nil"/>
                    <w:tr2bl w:val="nil"/>
                  </w:tcBorders>
                  <w:noWrap/>
                  <w:vAlign w:val="center"/>
                </w:tcPr>
                <w:p>
                  <w:pPr>
                    <w:autoSpaceDE w:val="0"/>
                    <w:autoSpaceDN w:val="0"/>
                    <w:adjustRightInd w:val="0"/>
                    <w:jc w:val="center"/>
                    <w:rPr>
                      <w:kern w:val="24"/>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916" w:type="dxa"/>
                  <w:vMerge w:val="continue"/>
                  <w:tcBorders>
                    <w:tl2br w:val="nil"/>
                    <w:tr2bl w:val="nil"/>
                  </w:tcBorders>
                  <w:noWrap/>
                  <w:vAlign w:val="center"/>
                </w:tcPr>
                <w:p>
                  <w:pPr>
                    <w:jc w:val="center"/>
                    <w:rPr>
                      <w:szCs w:val="21"/>
                    </w:rPr>
                  </w:pPr>
                </w:p>
              </w:tc>
              <w:tc>
                <w:tcPr>
                  <w:tcW w:w="385" w:type="dxa"/>
                  <w:vMerge w:val="continue"/>
                  <w:tcBorders>
                    <w:tl2br w:val="nil"/>
                    <w:tr2bl w:val="nil"/>
                  </w:tcBorders>
                  <w:noWrap/>
                  <w:vAlign w:val="center"/>
                </w:tcPr>
                <w:p>
                  <w:pPr>
                    <w:autoSpaceDE w:val="0"/>
                    <w:autoSpaceDN w:val="0"/>
                    <w:adjustRightInd w:val="0"/>
                    <w:jc w:val="center"/>
                    <w:rPr>
                      <w:kern w:val="24"/>
                      <w:szCs w:val="21"/>
                    </w:rPr>
                  </w:pPr>
                </w:p>
              </w:tc>
              <w:tc>
                <w:tcPr>
                  <w:tcW w:w="1125" w:type="dxa"/>
                  <w:gridSpan w:val="2"/>
                  <w:tcBorders>
                    <w:tl2br w:val="nil"/>
                    <w:tr2bl w:val="nil"/>
                  </w:tcBorders>
                  <w:noWrap/>
                  <w:vAlign w:val="center"/>
                </w:tcPr>
                <w:p>
                  <w:pPr>
                    <w:autoSpaceDE w:val="0"/>
                    <w:autoSpaceDN w:val="0"/>
                    <w:adjustRightInd w:val="0"/>
                    <w:jc w:val="center"/>
                    <w:rPr>
                      <w:kern w:val="24"/>
                      <w:szCs w:val="21"/>
                    </w:rPr>
                  </w:pPr>
                  <w:r>
                    <w:rPr>
                      <w:rFonts w:hint="eastAsia"/>
                      <w:kern w:val="24"/>
                      <w:szCs w:val="21"/>
                    </w:rPr>
                    <w:t>湘岳阳油1129</w:t>
                  </w:r>
                </w:p>
              </w:tc>
              <w:tc>
                <w:tcPr>
                  <w:tcW w:w="2195" w:type="dxa"/>
                  <w:tcBorders>
                    <w:tl2br w:val="nil"/>
                    <w:tr2bl w:val="nil"/>
                  </w:tcBorders>
                  <w:noWrap/>
                  <w:vAlign w:val="center"/>
                </w:tcPr>
                <w:p>
                  <w:pPr>
                    <w:autoSpaceDE w:val="0"/>
                    <w:autoSpaceDN w:val="0"/>
                    <w:adjustRightInd w:val="0"/>
                    <w:jc w:val="center"/>
                    <w:rPr>
                      <w:kern w:val="24"/>
                      <w:szCs w:val="21"/>
                    </w:rPr>
                  </w:pPr>
                  <w:r>
                    <w:rPr>
                      <w:rFonts w:hint="eastAsia"/>
                      <w:kern w:val="24"/>
                      <w:szCs w:val="21"/>
                    </w:rPr>
                    <w:t>用于应急备用</w:t>
                  </w:r>
                </w:p>
              </w:tc>
              <w:tc>
                <w:tcPr>
                  <w:tcW w:w="1679" w:type="dxa"/>
                  <w:vMerge w:val="restart"/>
                  <w:tcBorders>
                    <w:tl2br w:val="nil"/>
                    <w:tr2bl w:val="nil"/>
                  </w:tcBorders>
                  <w:noWrap/>
                  <w:vAlign w:val="center"/>
                </w:tcPr>
                <w:p>
                  <w:pPr>
                    <w:autoSpaceDE w:val="0"/>
                    <w:autoSpaceDN w:val="0"/>
                    <w:adjustRightInd w:val="0"/>
                    <w:jc w:val="center"/>
                    <w:rPr>
                      <w:kern w:val="24"/>
                      <w:szCs w:val="21"/>
                    </w:rPr>
                  </w:pPr>
                  <w:r>
                    <w:rPr>
                      <w:rFonts w:hint="eastAsia"/>
                      <w:kern w:val="24"/>
                      <w:szCs w:val="21"/>
                    </w:rPr>
                    <w:t>年收集生活污水10000吨，年收含油废水10000吨（含油废水分离后废机油700吨），生活垃圾年收集600吨、年收集废机油300吨</w:t>
                  </w:r>
                </w:p>
              </w:tc>
              <w:tc>
                <w:tcPr>
                  <w:tcW w:w="1198" w:type="dxa"/>
                  <w:tcBorders>
                    <w:tl2br w:val="nil"/>
                    <w:tr2bl w:val="nil"/>
                  </w:tcBorders>
                  <w:noWrap/>
                  <w:vAlign w:val="center"/>
                </w:tcPr>
                <w:p>
                  <w:pPr>
                    <w:autoSpaceDE w:val="0"/>
                    <w:autoSpaceDN w:val="0"/>
                    <w:adjustRightInd w:val="0"/>
                    <w:jc w:val="center"/>
                    <w:rPr>
                      <w:kern w:val="24"/>
                      <w:szCs w:val="21"/>
                    </w:rPr>
                  </w:pPr>
                  <w:r>
                    <w:rPr>
                      <w:rFonts w:hint="eastAsia"/>
                      <w:kern w:val="24"/>
                      <w:szCs w:val="21"/>
                    </w:rPr>
                    <w:t>依托现有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16" w:type="dxa"/>
                  <w:vMerge w:val="continue"/>
                  <w:tcBorders>
                    <w:tl2br w:val="nil"/>
                    <w:tr2bl w:val="nil"/>
                  </w:tcBorders>
                  <w:noWrap/>
                  <w:vAlign w:val="center"/>
                </w:tcPr>
                <w:p>
                  <w:pPr>
                    <w:jc w:val="center"/>
                    <w:rPr>
                      <w:szCs w:val="21"/>
                    </w:rPr>
                  </w:pPr>
                </w:p>
              </w:tc>
              <w:tc>
                <w:tcPr>
                  <w:tcW w:w="385" w:type="dxa"/>
                  <w:vMerge w:val="continue"/>
                  <w:tcBorders>
                    <w:tl2br w:val="nil"/>
                    <w:tr2bl w:val="nil"/>
                  </w:tcBorders>
                  <w:noWrap/>
                  <w:vAlign w:val="center"/>
                </w:tcPr>
                <w:p>
                  <w:pPr>
                    <w:autoSpaceDE w:val="0"/>
                    <w:autoSpaceDN w:val="0"/>
                    <w:adjustRightInd w:val="0"/>
                    <w:jc w:val="center"/>
                    <w:rPr>
                      <w:kern w:val="24"/>
                      <w:szCs w:val="21"/>
                    </w:rPr>
                  </w:pPr>
                </w:p>
              </w:tc>
              <w:tc>
                <w:tcPr>
                  <w:tcW w:w="1125" w:type="dxa"/>
                  <w:gridSpan w:val="2"/>
                  <w:tcBorders>
                    <w:tl2br w:val="nil"/>
                    <w:tr2bl w:val="nil"/>
                  </w:tcBorders>
                  <w:noWrap/>
                  <w:vAlign w:val="center"/>
                </w:tcPr>
                <w:p>
                  <w:pPr>
                    <w:autoSpaceDE w:val="0"/>
                    <w:autoSpaceDN w:val="0"/>
                    <w:adjustRightInd w:val="0"/>
                    <w:jc w:val="center"/>
                    <w:rPr>
                      <w:kern w:val="24"/>
                      <w:szCs w:val="21"/>
                    </w:rPr>
                  </w:pPr>
                  <w:r>
                    <w:rPr>
                      <w:rFonts w:hint="eastAsia"/>
                      <w:kern w:val="24"/>
                      <w:szCs w:val="21"/>
                    </w:rPr>
                    <w:t>清源2号</w:t>
                  </w:r>
                </w:p>
              </w:tc>
              <w:tc>
                <w:tcPr>
                  <w:tcW w:w="2195" w:type="dxa"/>
                  <w:tcBorders>
                    <w:tl2br w:val="nil"/>
                    <w:tr2bl w:val="nil"/>
                  </w:tcBorders>
                  <w:noWrap/>
                  <w:vAlign w:val="center"/>
                </w:tcPr>
                <w:p>
                  <w:pPr>
                    <w:autoSpaceDE w:val="0"/>
                    <w:autoSpaceDN w:val="0"/>
                    <w:adjustRightInd w:val="0"/>
                    <w:jc w:val="center"/>
                    <w:rPr>
                      <w:kern w:val="24"/>
                      <w:szCs w:val="21"/>
                    </w:rPr>
                  </w:pPr>
                  <w:r>
                    <w:rPr>
                      <w:rFonts w:hint="eastAsia"/>
                      <w:kern w:val="24"/>
                      <w:szCs w:val="21"/>
                    </w:rPr>
                    <w:t>用于污染物接收</w:t>
                  </w:r>
                </w:p>
              </w:tc>
              <w:tc>
                <w:tcPr>
                  <w:tcW w:w="1679" w:type="dxa"/>
                  <w:vMerge w:val="continue"/>
                  <w:tcBorders>
                    <w:tl2br w:val="nil"/>
                    <w:tr2bl w:val="nil"/>
                  </w:tcBorders>
                  <w:noWrap/>
                  <w:vAlign w:val="center"/>
                </w:tcPr>
                <w:p>
                  <w:pPr>
                    <w:autoSpaceDE w:val="0"/>
                    <w:autoSpaceDN w:val="0"/>
                    <w:adjustRightInd w:val="0"/>
                    <w:jc w:val="center"/>
                    <w:rPr>
                      <w:kern w:val="24"/>
                      <w:szCs w:val="21"/>
                    </w:rPr>
                  </w:pPr>
                </w:p>
              </w:tc>
              <w:tc>
                <w:tcPr>
                  <w:tcW w:w="1198" w:type="dxa"/>
                  <w:tcBorders>
                    <w:tl2br w:val="nil"/>
                    <w:tr2bl w:val="nil"/>
                  </w:tcBorders>
                  <w:noWrap/>
                  <w:vAlign w:val="center"/>
                </w:tcPr>
                <w:p>
                  <w:pPr>
                    <w:autoSpaceDE w:val="0"/>
                    <w:autoSpaceDN w:val="0"/>
                    <w:adjustRightInd w:val="0"/>
                    <w:jc w:val="center"/>
                    <w:rPr>
                      <w:kern w:val="24"/>
                      <w:szCs w:val="21"/>
                    </w:rPr>
                  </w:pPr>
                  <w:r>
                    <w:rPr>
                      <w:rFonts w:hint="eastAsia"/>
                      <w:kern w:val="24"/>
                      <w:szCs w:val="21"/>
                    </w:rPr>
                    <w:t>依托一期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916" w:type="dxa"/>
                  <w:vMerge w:val="continue"/>
                  <w:tcBorders>
                    <w:tl2br w:val="nil"/>
                    <w:tr2bl w:val="nil"/>
                  </w:tcBorders>
                  <w:noWrap/>
                  <w:vAlign w:val="center"/>
                </w:tcPr>
                <w:p>
                  <w:pPr>
                    <w:jc w:val="center"/>
                    <w:rPr>
                      <w:szCs w:val="21"/>
                    </w:rPr>
                  </w:pPr>
                </w:p>
              </w:tc>
              <w:tc>
                <w:tcPr>
                  <w:tcW w:w="385" w:type="dxa"/>
                  <w:vMerge w:val="continue"/>
                  <w:tcBorders>
                    <w:tl2br w:val="nil"/>
                    <w:tr2bl w:val="nil"/>
                  </w:tcBorders>
                  <w:noWrap/>
                  <w:vAlign w:val="center"/>
                </w:tcPr>
                <w:p>
                  <w:pPr>
                    <w:autoSpaceDE w:val="0"/>
                    <w:autoSpaceDN w:val="0"/>
                    <w:adjustRightInd w:val="0"/>
                    <w:jc w:val="center"/>
                    <w:rPr>
                      <w:kern w:val="24"/>
                      <w:szCs w:val="21"/>
                    </w:rPr>
                  </w:pPr>
                </w:p>
              </w:tc>
              <w:tc>
                <w:tcPr>
                  <w:tcW w:w="1125" w:type="dxa"/>
                  <w:gridSpan w:val="2"/>
                  <w:tcBorders>
                    <w:tl2br w:val="nil"/>
                    <w:tr2bl w:val="nil"/>
                  </w:tcBorders>
                  <w:noWrap/>
                  <w:vAlign w:val="center"/>
                </w:tcPr>
                <w:p>
                  <w:pPr>
                    <w:autoSpaceDE w:val="0"/>
                    <w:autoSpaceDN w:val="0"/>
                    <w:adjustRightInd w:val="0"/>
                    <w:jc w:val="center"/>
                    <w:rPr>
                      <w:kern w:val="24"/>
                      <w:szCs w:val="21"/>
                    </w:rPr>
                  </w:pPr>
                  <w:r>
                    <w:rPr>
                      <w:rFonts w:hint="eastAsia"/>
                      <w:kern w:val="24"/>
                      <w:szCs w:val="21"/>
                    </w:rPr>
                    <w:t>交通6号</w:t>
                  </w:r>
                </w:p>
              </w:tc>
              <w:tc>
                <w:tcPr>
                  <w:tcW w:w="2195" w:type="dxa"/>
                  <w:tcBorders>
                    <w:tl2br w:val="nil"/>
                    <w:tr2bl w:val="nil"/>
                  </w:tcBorders>
                  <w:noWrap/>
                  <w:vAlign w:val="center"/>
                </w:tcPr>
                <w:p>
                  <w:pPr>
                    <w:autoSpaceDE w:val="0"/>
                    <w:autoSpaceDN w:val="0"/>
                    <w:adjustRightInd w:val="0"/>
                    <w:jc w:val="center"/>
                    <w:rPr>
                      <w:kern w:val="24"/>
                      <w:szCs w:val="21"/>
                    </w:rPr>
                  </w:pPr>
                  <w:r>
                    <w:rPr>
                      <w:rFonts w:hint="eastAsia"/>
                      <w:kern w:val="24"/>
                      <w:szCs w:val="21"/>
                    </w:rPr>
                    <w:t>用于污水转运到岸边</w:t>
                  </w:r>
                </w:p>
              </w:tc>
              <w:tc>
                <w:tcPr>
                  <w:tcW w:w="1679" w:type="dxa"/>
                  <w:vMerge w:val="continue"/>
                  <w:tcBorders>
                    <w:tl2br w:val="nil"/>
                    <w:tr2bl w:val="nil"/>
                  </w:tcBorders>
                  <w:noWrap/>
                  <w:vAlign w:val="center"/>
                </w:tcPr>
                <w:p>
                  <w:pPr>
                    <w:autoSpaceDE w:val="0"/>
                    <w:autoSpaceDN w:val="0"/>
                    <w:adjustRightInd w:val="0"/>
                    <w:jc w:val="center"/>
                    <w:rPr>
                      <w:kern w:val="24"/>
                      <w:szCs w:val="21"/>
                    </w:rPr>
                  </w:pPr>
                </w:p>
              </w:tc>
              <w:tc>
                <w:tcPr>
                  <w:tcW w:w="1198" w:type="dxa"/>
                  <w:tcBorders>
                    <w:tl2br w:val="nil"/>
                    <w:tr2bl w:val="nil"/>
                  </w:tcBorders>
                  <w:noWrap/>
                  <w:vAlign w:val="center"/>
                </w:tcPr>
                <w:p>
                  <w:pPr>
                    <w:autoSpaceDE w:val="0"/>
                    <w:autoSpaceDN w:val="0"/>
                    <w:adjustRightInd w:val="0"/>
                    <w:jc w:val="center"/>
                    <w:rPr>
                      <w:kern w:val="24"/>
                      <w:szCs w:val="21"/>
                    </w:rPr>
                  </w:pPr>
                  <w:r>
                    <w:rPr>
                      <w:rFonts w:hint="eastAsia"/>
                      <w:kern w:val="24"/>
                      <w:szCs w:val="21"/>
                    </w:rPr>
                    <w:t>依托一期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16" w:type="dxa"/>
                  <w:vMerge w:val="continue"/>
                  <w:tcBorders>
                    <w:tl2br w:val="nil"/>
                    <w:tr2bl w:val="nil"/>
                  </w:tcBorders>
                  <w:noWrap/>
                  <w:vAlign w:val="center"/>
                </w:tcPr>
                <w:p>
                  <w:pPr>
                    <w:jc w:val="center"/>
                    <w:rPr>
                      <w:szCs w:val="21"/>
                    </w:rPr>
                  </w:pPr>
                </w:p>
              </w:tc>
              <w:tc>
                <w:tcPr>
                  <w:tcW w:w="385" w:type="dxa"/>
                  <w:vMerge w:val="continue"/>
                  <w:tcBorders>
                    <w:tl2br w:val="nil"/>
                    <w:tr2bl w:val="nil"/>
                  </w:tcBorders>
                  <w:noWrap/>
                  <w:vAlign w:val="center"/>
                </w:tcPr>
                <w:p>
                  <w:pPr>
                    <w:autoSpaceDE w:val="0"/>
                    <w:autoSpaceDN w:val="0"/>
                    <w:adjustRightInd w:val="0"/>
                    <w:jc w:val="center"/>
                    <w:rPr>
                      <w:kern w:val="24"/>
                      <w:szCs w:val="21"/>
                    </w:rPr>
                  </w:pPr>
                </w:p>
              </w:tc>
              <w:tc>
                <w:tcPr>
                  <w:tcW w:w="1125" w:type="dxa"/>
                  <w:gridSpan w:val="2"/>
                  <w:tcBorders>
                    <w:tl2br w:val="nil"/>
                    <w:tr2bl w:val="nil"/>
                  </w:tcBorders>
                  <w:noWrap/>
                  <w:vAlign w:val="center"/>
                </w:tcPr>
                <w:p>
                  <w:pPr>
                    <w:autoSpaceDE w:val="0"/>
                    <w:autoSpaceDN w:val="0"/>
                    <w:adjustRightInd w:val="0"/>
                    <w:jc w:val="center"/>
                    <w:rPr>
                      <w:kern w:val="24"/>
                      <w:szCs w:val="21"/>
                    </w:rPr>
                  </w:pPr>
                  <w:r>
                    <w:rPr>
                      <w:rFonts w:hint="eastAsia"/>
                      <w:kern w:val="24"/>
                      <w:szCs w:val="21"/>
                    </w:rPr>
                    <w:t>清源3号</w:t>
                  </w:r>
                </w:p>
              </w:tc>
              <w:tc>
                <w:tcPr>
                  <w:tcW w:w="2195" w:type="dxa"/>
                  <w:tcBorders>
                    <w:tl2br w:val="nil"/>
                    <w:tr2bl w:val="nil"/>
                  </w:tcBorders>
                  <w:noWrap/>
                  <w:vAlign w:val="center"/>
                </w:tcPr>
                <w:p>
                  <w:pPr>
                    <w:autoSpaceDE w:val="0"/>
                    <w:autoSpaceDN w:val="0"/>
                    <w:adjustRightInd w:val="0"/>
                    <w:jc w:val="center"/>
                    <w:rPr>
                      <w:kern w:val="24"/>
                      <w:szCs w:val="21"/>
                    </w:rPr>
                  </w:pPr>
                  <w:r>
                    <w:rPr>
                      <w:rFonts w:hint="eastAsia"/>
                      <w:kern w:val="24"/>
                      <w:szCs w:val="21"/>
                    </w:rPr>
                    <w:t>用于污染物接收</w:t>
                  </w:r>
                </w:p>
              </w:tc>
              <w:tc>
                <w:tcPr>
                  <w:tcW w:w="1679" w:type="dxa"/>
                  <w:vMerge w:val="continue"/>
                  <w:tcBorders>
                    <w:tl2br w:val="nil"/>
                    <w:tr2bl w:val="nil"/>
                  </w:tcBorders>
                  <w:noWrap/>
                  <w:vAlign w:val="center"/>
                </w:tcPr>
                <w:p>
                  <w:pPr>
                    <w:autoSpaceDE w:val="0"/>
                    <w:autoSpaceDN w:val="0"/>
                    <w:adjustRightInd w:val="0"/>
                    <w:jc w:val="center"/>
                    <w:rPr>
                      <w:kern w:val="24"/>
                      <w:szCs w:val="21"/>
                    </w:rPr>
                  </w:pPr>
                </w:p>
              </w:tc>
              <w:tc>
                <w:tcPr>
                  <w:tcW w:w="1198" w:type="dxa"/>
                  <w:tcBorders>
                    <w:tl2br w:val="nil"/>
                    <w:tr2bl w:val="nil"/>
                  </w:tcBorders>
                  <w:noWrap/>
                  <w:vAlign w:val="center"/>
                </w:tcPr>
                <w:p>
                  <w:pPr>
                    <w:autoSpaceDE w:val="0"/>
                    <w:autoSpaceDN w:val="0"/>
                    <w:adjustRightInd w:val="0"/>
                    <w:jc w:val="center"/>
                    <w:rPr>
                      <w:kern w:val="24"/>
                      <w:szCs w:val="21"/>
                    </w:rPr>
                  </w:pPr>
                  <w:r>
                    <w:rPr>
                      <w:rFonts w:hint="eastAsia"/>
                      <w:kern w:val="24"/>
                      <w:szCs w:val="21"/>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916" w:type="dxa"/>
                  <w:vMerge w:val="continue"/>
                  <w:tcBorders>
                    <w:tl2br w:val="nil"/>
                    <w:tr2bl w:val="nil"/>
                  </w:tcBorders>
                  <w:noWrap/>
                  <w:vAlign w:val="center"/>
                </w:tcPr>
                <w:p>
                  <w:pPr>
                    <w:jc w:val="center"/>
                    <w:rPr>
                      <w:szCs w:val="21"/>
                    </w:rPr>
                  </w:pPr>
                </w:p>
              </w:tc>
              <w:tc>
                <w:tcPr>
                  <w:tcW w:w="385" w:type="dxa"/>
                  <w:vMerge w:val="continue"/>
                  <w:tcBorders>
                    <w:tl2br w:val="nil"/>
                    <w:tr2bl w:val="nil"/>
                  </w:tcBorders>
                  <w:noWrap/>
                  <w:vAlign w:val="center"/>
                </w:tcPr>
                <w:p>
                  <w:pPr>
                    <w:autoSpaceDE w:val="0"/>
                    <w:autoSpaceDN w:val="0"/>
                    <w:adjustRightInd w:val="0"/>
                    <w:jc w:val="center"/>
                    <w:rPr>
                      <w:kern w:val="24"/>
                      <w:szCs w:val="21"/>
                    </w:rPr>
                  </w:pPr>
                </w:p>
              </w:tc>
              <w:tc>
                <w:tcPr>
                  <w:tcW w:w="1125" w:type="dxa"/>
                  <w:gridSpan w:val="2"/>
                  <w:tcBorders>
                    <w:tl2br w:val="nil"/>
                    <w:tr2bl w:val="nil"/>
                  </w:tcBorders>
                  <w:noWrap/>
                  <w:vAlign w:val="center"/>
                </w:tcPr>
                <w:p>
                  <w:pPr>
                    <w:autoSpaceDE w:val="0"/>
                    <w:autoSpaceDN w:val="0"/>
                    <w:adjustRightInd w:val="0"/>
                    <w:jc w:val="center"/>
                    <w:rPr>
                      <w:kern w:val="24"/>
                      <w:szCs w:val="21"/>
                    </w:rPr>
                  </w:pPr>
                  <w:r>
                    <w:rPr>
                      <w:rFonts w:hint="eastAsia"/>
                      <w:kern w:val="24"/>
                      <w:szCs w:val="21"/>
                    </w:rPr>
                    <w:t>清源5号</w:t>
                  </w:r>
                </w:p>
              </w:tc>
              <w:tc>
                <w:tcPr>
                  <w:tcW w:w="2195" w:type="dxa"/>
                  <w:tcBorders>
                    <w:tl2br w:val="nil"/>
                    <w:tr2bl w:val="nil"/>
                  </w:tcBorders>
                  <w:noWrap/>
                  <w:vAlign w:val="center"/>
                </w:tcPr>
                <w:p>
                  <w:pPr>
                    <w:autoSpaceDE w:val="0"/>
                    <w:autoSpaceDN w:val="0"/>
                    <w:adjustRightInd w:val="0"/>
                    <w:jc w:val="center"/>
                    <w:rPr>
                      <w:kern w:val="24"/>
                      <w:szCs w:val="21"/>
                    </w:rPr>
                  </w:pPr>
                  <w:r>
                    <w:rPr>
                      <w:rFonts w:hint="eastAsia"/>
                      <w:kern w:val="24"/>
                      <w:szCs w:val="21"/>
                    </w:rPr>
                    <w:t>用于污染物接收</w:t>
                  </w:r>
                </w:p>
              </w:tc>
              <w:tc>
                <w:tcPr>
                  <w:tcW w:w="1679" w:type="dxa"/>
                  <w:vMerge w:val="continue"/>
                  <w:tcBorders>
                    <w:tl2br w:val="nil"/>
                    <w:tr2bl w:val="nil"/>
                  </w:tcBorders>
                  <w:noWrap/>
                  <w:vAlign w:val="center"/>
                </w:tcPr>
                <w:p>
                  <w:pPr>
                    <w:autoSpaceDE w:val="0"/>
                    <w:autoSpaceDN w:val="0"/>
                    <w:adjustRightInd w:val="0"/>
                    <w:jc w:val="center"/>
                    <w:rPr>
                      <w:kern w:val="24"/>
                      <w:szCs w:val="21"/>
                    </w:rPr>
                  </w:pPr>
                </w:p>
              </w:tc>
              <w:tc>
                <w:tcPr>
                  <w:tcW w:w="1198" w:type="dxa"/>
                  <w:tcBorders>
                    <w:tl2br w:val="nil"/>
                    <w:tr2bl w:val="nil"/>
                  </w:tcBorders>
                  <w:noWrap/>
                  <w:vAlign w:val="center"/>
                </w:tcPr>
                <w:p>
                  <w:pPr>
                    <w:autoSpaceDE w:val="0"/>
                    <w:autoSpaceDN w:val="0"/>
                    <w:adjustRightInd w:val="0"/>
                    <w:jc w:val="center"/>
                    <w:rPr>
                      <w:kern w:val="24"/>
                      <w:szCs w:val="21"/>
                    </w:rPr>
                  </w:pPr>
                  <w:r>
                    <w:rPr>
                      <w:rFonts w:hint="eastAsia"/>
                      <w:kern w:val="24"/>
                      <w:szCs w:val="21"/>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916" w:type="dxa"/>
                  <w:vMerge w:val="continue"/>
                  <w:tcBorders>
                    <w:tl2br w:val="nil"/>
                    <w:tr2bl w:val="nil"/>
                  </w:tcBorders>
                  <w:noWrap/>
                  <w:vAlign w:val="center"/>
                </w:tcPr>
                <w:p>
                  <w:pPr>
                    <w:jc w:val="center"/>
                    <w:rPr>
                      <w:szCs w:val="21"/>
                    </w:rPr>
                  </w:pPr>
                </w:p>
              </w:tc>
              <w:tc>
                <w:tcPr>
                  <w:tcW w:w="385" w:type="dxa"/>
                  <w:vMerge w:val="continue"/>
                  <w:tcBorders>
                    <w:tl2br w:val="nil"/>
                    <w:tr2bl w:val="nil"/>
                  </w:tcBorders>
                  <w:noWrap/>
                  <w:vAlign w:val="center"/>
                </w:tcPr>
                <w:p>
                  <w:pPr>
                    <w:autoSpaceDE w:val="0"/>
                    <w:autoSpaceDN w:val="0"/>
                    <w:adjustRightInd w:val="0"/>
                    <w:jc w:val="center"/>
                    <w:rPr>
                      <w:kern w:val="24"/>
                      <w:szCs w:val="21"/>
                    </w:rPr>
                  </w:pPr>
                </w:p>
              </w:tc>
              <w:tc>
                <w:tcPr>
                  <w:tcW w:w="1125" w:type="dxa"/>
                  <w:gridSpan w:val="2"/>
                  <w:tcBorders>
                    <w:tl2br w:val="nil"/>
                    <w:tr2bl w:val="nil"/>
                  </w:tcBorders>
                  <w:noWrap/>
                  <w:vAlign w:val="center"/>
                </w:tcPr>
                <w:p>
                  <w:pPr>
                    <w:autoSpaceDE w:val="0"/>
                    <w:autoSpaceDN w:val="0"/>
                    <w:adjustRightInd w:val="0"/>
                    <w:jc w:val="center"/>
                    <w:rPr>
                      <w:kern w:val="24"/>
                      <w:szCs w:val="21"/>
                    </w:rPr>
                  </w:pPr>
                  <w:r>
                    <w:rPr>
                      <w:rFonts w:hint="eastAsia"/>
                      <w:kern w:val="24"/>
                      <w:szCs w:val="21"/>
                    </w:rPr>
                    <w:t>清源分离船</w:t>
                  </w:r>
                </w:p>
              </w:tc>
              <w:tc>
                <w:tcPr>
                  <w:tcW w:w="2195" w:type="dxa"/>
                  <w:tcBorders>
                    <w:tl2br w:val="nil"/>
                    <w:tr2bl w:val="nil"/>
                  </w:tcBorders>
                  <w:noWrap/>
                  <w:vAlign w:val="center"/>
                </w:tcPr>
                <w:p>
                  <w:pPr>
                    <w:autoSpaceDE w:val="0"/>
                    <w:autoSpaceDN w:val="0"/>
                    <w:adjustRightInd w:val="0"/>
                    <w:jc w:val="center"/>
                    <w:rPr>
                      <w:kern w:val="24"/>
                      <w:szCs w:val="21"/>
                    </w:rPr>
                  </w:pPr>
                  <w:r>
                    <w:rPr>
                      <w:rFonts w:hint="eastAsia"/>
                      <w:kern w:val="24"/>
                      <w:szCs w:val="21"/>
                    </w:rPr>
                    <w:t>用于安装油水分离设备</w:t>
                  </w:r>
                </w:p>
              </w:tc>
              <w:tc>
                <w:tcPr>
                  <w:tcW w:w="1679" w:type="dxa"/>
                  <w:vMerge w:val="continue"/>
                  <w:tcBorders>
                    <w:tl2br w:val="nil"/>
                    <w:tr2bl w:val="nil"/>
                  </w:tcBorders>
                  <w:noWrap/>
                  <w:vAlign w:val="center"/>
                </w:tcPr>
                <w:p>
                  <w:pPr>
                    <w:autoSpaceDE w:val="0"/>
                    <w:autoSpaceDN w:val="0"/>
                    <w:adjustRightInd w:val="0"/>
                    <w:jc w:val="center"/>
                    <w:rPr>
                      <w:kern w:val="24"/>
                      <w:szCs w:val="21"/>
                    </w:rPr>
                  </w:pPr>
                </w:p>
              </w:tc>
              <w:tc>
                <w:tcPr>
                  <w:tcW w:w="1198" w:type="dxa"/>
                  <w:tcBorders>
                    <w:tl2br w:val="nil"/>
                    <w:tr2bl w:val="nil"/>
                  </w:tcBorders>
                  <w:noWrap/>
                  <w:vAlign w:val="center"/>
                </w:tcPr>
                <w:p>
                  <w:pPr>
                    <w:autoSpaceDE w:val="0"/>
                    <w:autoSpaceDN w:val="0"/>
                    <w:adjustRightInd w:val="0"/>
                    <w:jc w:val="center"/>
                    <w:rPr>
                      <w:kern w:val="24"/>
                      <w:szCs w:val="21"/>
                    </w:rPr>
                  </w:pPr>
                  <w:r>
                    <w:rPr>
                      <w:rFonts w:hint="eastAsia"/>
                      <w:kern w:val="24"/>
                      <w:szCs w:val="21"/>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916" w:type="dxa"/>
                  <w:vMerge w:val="restart"/>
                  <w:tcBorders>
                    <w:tl2br w:val="nil"/>
                    <w:tr2bl w:val="nil"/>
                  </w:tcBorders>
                  <w:noWrap/>
                  <w:vAlign w:val="center"/>
                </w:tcPr>
                <w:p>
                  <w:pPr>
                    <w:autoSpaceDE w:val="0"/>
                    <w:autoSpaceDN w:val="0"/>
                    <w:adjustRightInd w:val="0"/>
                    <w:jc w:val="center"/>
                    <w:rPr>
                      <w:kern w:val="24"/>
                      <w:szCs w:val="21"/>
                    </w:rPr>
                  </w:pPr>
                  <w:r>
                    <w:rPr>
                      <w:kern w:val="24"/>
                      <w:szCs w:val="21"/>
                    </w:rPr>
                    <w:t>辅助工程</w:t>
                  </w:r>
                </w:p>
              </w:tc>
              <w:tc>
                <w:tcPr>
                  <w:tcW w:w="5384" w:type="dxa"/>
                  <w:gridSpan w:val="5"/>
                  <w:tcBorders>
                    <w:tl2br w:val="nil"/>
                    <w:tr2bl w:val="nil"/>
                  </w:tcBorders>
                  <w:noWrap/>
                  <w:vAlign w:val="center"/>
                </w:tcPr>
                <w:p>
                  <w:pPr>
                    <w:autoSpaceDE w:val="0"/>
                    <w:autoSpaceDN w:val="0"/>
                    <w:adjustRightInd w:val="0"/>
                    <w:jc w:val="center"/>
                    <w:rPr>
                      <w:kern w:val="24"/>
                      <w:szCs w:val="21"/>
                    </w:rPr>
                  </w:pPr>
                  <w:r>
                    <w:rPr>
                      <w:rFonts w:hint="eastAsia"/>
                      <w:kern w:val="24"/>
                      <w:szCs w:val="21"/>
                    </w:rPr>
                    <w:t>回收范围：收集重点水域为东洞庭湖，北至扁山、南至湘阴铁角嘴船厂、西至东湖码头。</w:t>
                  </w:r>
                </w:p>
              </w:tc>
              <w:tc>
                <w:tcPr>
                  <w:tcW w:w="1198" w:type="dxa"/>
                  <w:tcBorders>
                    <w:tl2br w:val="nil"/>
                    <w:tr2bl w:val="nil"/>
                  </w:tcBorders>
                  <w:noWrap/>
                  <w:vAlign w:val="center"/>
                </w:tcPr>
                <w:p>
                  <w:pPr>
                    <w:autoSpaceDE w:val="0"/>
                    <w:autoSpaceDN w:val="0"/>
                    <w:adjustRightInd w:val="0"/>
                    <w:jc w:val="center"/>
                  </w:pPr>
                  <w:r>
                    <w:rPr>
                      <w:rFonts w:hint="eastAsia"/>
                    </w:rPr>
                    <w:t>依托现有范围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916" w:type="dxa"/>
                  <w:vMerge w:val="continue"/>
                  <w:tcBorders>
                    <w:tl2br w:val="nil"/>
                    <w:tr2bl w:val="nil"/>
                  </w:tcBorders>
                  <w:noWrap/>
                  <w:vAlign w:val="center"/>
                </w:tcPr>
                <w:p>
                  <w:pPr>
                    <w:autoSpaceDE w:val="0"/>
                    <w:autoSpaceDN w:val="0"/>
                    <w:adjustRightInd w:val="0"/>
                    <w:jc w:val="center"/>
                    <w:rPr>
                      <w:kern w:val="24"/>
                      <w:szCs w:val="21"/>
                    </w:rPr>
                  </w:pPr>
                </w:p>
              </w:tc>
              <w:tc>
                <w:tcPr>
                  <w:tcW w:w="5384" w:type="dxa"/>
                  <w:gridSpan w:val="5"/>
                  <w:tcBorders>
                    <w:tl2br w:val="nil"/>
                    <w:tr2bl w:val="nil"/>
                  </w:tcBorders>
                  <w:noWrap/>
                  <w:vAlign w:val="center"/>
                </w:tcPr>
                <w:p>
                  <w:pPr>
                    <w:autoSpaceDE w:val="0"/>
                    <w:autoSpaceDN w:val="0"/>
                    <w:adjustRightInd w:val="0"/>
                    <w:jc w:val="center"/>
                    <w:rPr>
                      <w:kern w:val="24"/>
                      <w:szCs w:val="21"/>
                    </w:rPr>
                  </w:pPr>
                  <w:r>
                    <w:rPr>
                      <w:rFonts w:hint="eastAsia"/>
                      <w:kern w:val="24"/>
                      <w:szCs w:val="21"/>
                      <w:u w:val="single"/>
                    </w:rPr>
                    <w:t>岸上工程：主要为应急仓库和员工宿舍楼，占地面积为208平方米，共两层</w:t>
                  </w:r>
                </w:p>
              </w:tc>
              <w:tc>
                <w:tcPr>
                  <w:tcW w:w="1198" w:type="dxa"/>
                  <w:tcBorders>
                    <w:tl2br w:val="nil"/>
                    <w:tr2bl w:val="nil"/>
                  </w:tcBorders>
                  <w:noWrap/>
                  <w:vAlign w:val="center"/>
                </w:tcPr>
                <w:p>
                  <w:pPr>
                    <w:autoSpaceDE w:val="0"/>
                    <w:autoSpaceDN w:val="0"/>
                    <w:adjustRightInd w:val="0"/>
                    <w:jc w:val="center"/>
                  </w:pPr>
                  <w:r>
                    <w:rPr>
                      <w:rFonts w:hint="eastAsia"/>
                      <w:kern w:val="24"/>
                      <w:szCs w:val="21"/>
                      <w:u w:val="single"/>
                    </w:rPr>
                    <w:t>依托现有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916" w:type="dxa"/>
                  <w:vMerge w:val="continue"/>
                  <w:tcBorders>
                    <w:tl2br w:val="nil"/>
                    <w:tr2bl w:val="nil"/>
                  </w:tcBorders>
                  <w:noWrap/>
                  <w:vAlign w:val="center"/>
                </w:tcPr>
                <w:p>
                  <w:pPr>
                    <w:autoSpaceDE w:val="0"/>
                    <w:autoSpaceDN w:val="0"/>
                    <w:adjustRightInd w:val="0"/>
                    <w:jc w:val="center"/>
                    <w:rPr>
                      <w:kern w:val="24"/>
                      <w:szCs w:val="21"/>
                    </w:rPr>
                  </w:pPr>
                </w:p>
              </w:tc>
              <w:tc>
                <w:tcPr>
                  <w:tcW w:w="5384" w:type="dxa"/>
                  <w:gridSpan w:val="5"/>
                  <w:tcBorders>
                    <w:tl2br w:val="nil"/>
                    <w:tr2bl w:val="nil"/>
                  </w:tcBorders>
                  <w:noWrap/>
                  <w:vAlign w:val="center"/>
                </w:tcPr>
                <w:p>
                  <w:pPr>
                    <w:autoSpaceDE w:val="0"/>
                    <w:autoSpaceDN w:val="0"/>
                    <w:adjustRightInd w:val="0"/>
                    <w:jc w:val="center"/>
                    <w:rPr>
                      <w:szCs w:val="21"/>
                    </w:rPr>
                  </w:pPr>
                  <w:r>
                    <w:rPr>
                      <w:rFonts w:hint="eastAsia"/>
                      <w:szCs w:val="21"/>
                    </w:rPr>
                    <w:t>转运工程：生活垃圾：垃圾采用塑料垃圾箱从船上转运至垃圾暂存区由岳阳缘立清洁服务有限公司转运交由岳阳县市容环境卫生服务中心处理。</w:t>
                  </w:r>
                  <w:r>
                    <w:rPr>
                      <w:rFonts w:hint="eastAsia"/>
                      <w:szCs w:val="21"/>
                    </w:rPr>
                    <w:br w:type="textWrapping"/>
                  </w:r>
                  <w:r>
                    <w:rPr>
                      <w:rFonts w:hint="eastAsia"/>
                      <w:szCs w:val="21"/>
                    </w:rPr>
                    <w:t>生活污水、油水分离后的废水：生活污水、分离后废水处理的废水经船舱收集后交由岳阳缘立清洁服务有限公司转运交由葛洲坝水务（岳阳）有限公司（岳阳县污水处理厂）处理。</w:t>
                  </w:r>
                </w:p>
                <w:p>
                  <w:pPr>
                    <w:pStyle w:val="23"/>
                    <w:ind w:left="0" w:leftChars="0" w:firstLine="0" w:firstLineChars="0"/>
                    <w:jc w:val="center"/>
                    <w:rPr>
                      <w:szCs w:val="21"/>
                    </w:rPr>
                  </w:pPr>
                  <w:r>
                    <w:rPr>
                      <w:rFonts w:hint="eastAsia"/>
                      <w:szCs w:val="21"/>
                    </w:rPr>
                    <w:t>废机油：由船舶收集后进行油水分离，分离的废机油与收集的纯油一起收集后交由远大（湖南）再生燃油股份有限公司处理</w:t>
                  </w:r>
                </w:p>
              </w:tc>
              <w:tc>
                <w:tcPr>
                  <w:tcW w:w="1198" w:type="dxa"/>
                  <w:tcBorders>
                    <w:tl2br w:val="nil"/>
                    <w:tr2bl w:val="nil"/>
                  </w:tcBorders>
                  <w:noWrap/>
                  <w:vAlign w:val="center"/>
                </w:tcPr>
                <w:p>
                  <w:pPr>
                    <w:pStyle w:val="23"/>
                    <w:ind w:left="0" w:leftChars="0" w:firstLine="0" w:firstLineChars="0"/>
                    <w:jc w:val="center"/>
                    <w:rPr>
                      <w:szCs w:val="21"/>
                    </w:rPr>
                  </w:pPr>
                  <w:r>
                    <w:rPr>
                      <w:rFonts w:hint="eastAsia"/>
                      <w:szCs w:val="21"/>
                    </w:rPr>
                    <w:t>依托现有转运工程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16" w:type="dxa"/>
                  <w:tcBorders>
                    <w:tl2br w:val="nil"/>
                    <w:tr2bl w:val="nil"/>
                  </w:tcBorders>
                  <w:noWrap/>
                  <w:vAlign w:val="center"/>
                </w:tcPr>
                <w:p>
                  <w:pPr>
                    <w:autoSpaceDE w:val="0"/>
                    <w:autoSpaceDN w:val="0"/>
                    <w:adjustRightInd w:val="0"/>
                    <w:jc w:val="center"/>
                    <w:rPr>
                      <w:kern w:val="24"/>
                      <w:szCs w:val="21"/>
                    </w:rPr>
                  </w:pPr>
                  <w:r>
                    <w:rPr>
                      <w:rFonts w:hint="eastAsia"/>
                      <w:kern w:val="24"/>
                      <w:szCs w:val="21"/>
                    </w:rPr>
                    <w:t>公用工程</w:t>
                  </w:r>
                </w:p>
              </w:tc>
              <w:tc>
                <w:tcPr>
                  <w:tcW w:w="1217" w:type="dxa"/>
                  <w:gridSpan w:val="2"/>
                  <w:tcBorders>
                    <w:tl2br w:val="nil"/>
                    <w:tr2bl w:val="nil"/>
                  </w:tcBorders>
                  <w:noWrap/>
                  <w:vAlign w:val="center"/>
                </w:tcPr>
                <w:p>
                  <w:pPr>
                    <w:autoSpaceDE w:val="0"/>
                    <w:autoSpaceDN w:val="0"/>
                    <w:adjustRightInd w:val="0"/>
                    <w:jc w:val="center"/>
                    <w:rPr>
                      <w:kern w:val="24"/>
                      <w:szCs w:val="21"/>
                    </w:rPr>
                  </w:pPr>
                  <w:r>
                    <w:rPr>
                      <w:rFonts w:hint="eastAsia"/>
                      <w:kern w:val="24"/>
                      <w:szCs w:val="21"/>
                    </w:rPr>
                    <w:t>用电</w:t>
                  </w:r>
                </w:p>
              </w:tc>
              <w:tc>
                <w:tcPr>
                  <w:tcW w:w="4167" w:type="dxa"/>
                  <w:gridSpan w:val="3"/>
                  <w:tcBorders>
                    <w:tl2br w:val="nil"/>
                    <w:tr2bl w:val="nil"/>
                  </w:tcBorders>
                  <w:noWrap/>
                  <w:vAlign w:val="center"/>
                </w:tcPr>
                <w:p>
                  <w:pPr>
                    <w:autoSpaceDE w:val="0"/>
                    <w:autoSpaceDN w:val="0"/>
                    <w:adjustRightInd w:val="0"/>
                    <w:jc w:val="center"/>
                    <w:rPr>
                      <w:kern w:val="24"/>
                      <w:szCs w:val="21"/>
                    </w:rPr>
                  </w:pPr>
                  <w:r>
                    <w:rPr>
                      <w:rFonts w:hint="eastAsia"/>
                      <w:kern w:val="24"/>
                      <w:szCs w:val="21"/>
                      <w:u w:val="single"/>
                    </w:rPr>
                    <w:t>船舶运行采取柴油发电机，油水分离设备采用岸电，停电时采用柴油发电机</w:t>
                  </w:r>
                </w:p>
              </w:tc>
              <w:tc>
                <w:tcPr>
                  <w:tcW w:w="1198" w:type="dxa"/>
                  <w:tcBorders>
                    <w:tl2br w:val="nil"/>
                    <w:tr2bl w:val="nil"/>
                  </w:tcBorders>
                  <w:noWrap/>
                  <w:vAlign w:val="center"/>
                </w:tcPr>
                <w:p>
                  <w:pPr>
                    <w:autoSpaceDE w:val="0"/>
                    <w:autoSpaceDN w:val="0"/>
                    <w:adjustRightInd w:val="0"/>
                    <w:jc w:val="center"/>
                    <w:rPr>
                      <w:kern w:val="24"/>
                      <w:szCs w:val="21"/>
                    </w:rPr>
                  </w:pPr>
                  <w:r>
                    <w:rPr>
                      <w:rFonts w:hint="eastAsia"/>
                      <w:kern w:val="24"/>
                      <w:szCs w:val="21"/>
                    </w:rPr>
                    <w:t>依托一期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916" w:type="dxa"/>
                  <w:vMerge w:val="restart"/>
                  <w:tcBorders>
                    <w:tl2br w:val="nil"/>
                    <w:tr2bl w:val="nil"/>
                  </w:tcBorders>
                  <w:noWrap/>
                  <w:vAlign w:val="center"/>
                </w:tcPr>
                <w:p>
                  <w:pPr>
                    <w:autoSpaceDE w:val="0"/>
                    <w:autoSpaceDN w:val="0"/>
                    <w:adjustRightInd w:val="0"/>
                    <w:jc w:val="center"/>
                    <w:rPr>
                      <w:kern w:val="24"/>
                      <w:szCs w:val="21"/>
                    </w:rPr>
                  </w:pPr>
                  <w:r>
                    <w:rPr>
                      <w:rFonts w:hint="eastAsia"/>
                      <w:kern w:val="24"/>
                      <w:szCs w:val="21"/>
                    </w:rPr>
                    <w:t>环保工程</w:t>
                  </w:r>
                </w:p>
              </w:tc>
              <w:tc>
                <w:tcPr>
                  <w:tcW w:w="1217" w:type="dxa"/>
                  <w:gridSpan w:val="2"/>
                  <w:tcBorders>
                    <w:tl2br w:val="nil"/>
                    <w:tr2bl w:val="nil"/>
                  </w:tcBorders>
                  <w:noWrap/>
                  <w:vAlign w:val="center"/>
                </w:tcPr>
                <w:p>
                  <w:pPr>
                    <w:autoSpaceDE w:val="0"/>
                    <w:autoSpaceDN w:val="0"/>
                    <w:adjustRightInd w:val="0"/>
                    <w:jc w:val="center"/>
                    <w:rPr>
                      <w:kern w:val="24"/>
                      <w:szCs w:val="21"/>
                    </w:rPr>
                  </w:pPr>
                  <w:r>
                    <w:rPr>
                      <w:rFonts w:hint="eastAsia"/>
                      <w:kern w:val="24"/>
                      <w:szCs w:val="21"/>
                    </w:rPr>
                    <w:t>废水</w:t>
                  </w:r>
                </w:p>
              </w:tc>
              <w:tc>
                <w:tcPr>
                  <w:tcW w:w="4167" w:type="dxa"/>
                  <w:gridSpan w:val="3"/>
                  <w:tcBorders>
                    <w:tl2br w:val="nil"/>
                    <w:tr2bl w:val="nil"/>
                  </w:tcBorders>
                  <w:noWrap/>
                  <w:vAlign w:val="center"/>
                </w:tcPr>
                <w:p>
                  <w:pPr>
                    <w:autoSpaceDE w:val="0"/>
                    <w:autoSpaceDN w:val="0"/>
                    <w:adjustRightInd w:val="0"/>
                    <w:jc w:val="center"/>
                    <w:rPr>
                      <w:kern w:val="24"/>
                      <w:szCs w:val="21"/>
                    </w:rPr>
                  </w:pPr>
                  <w:r>
                    <w:rPr>
                      <w:rFonts w:hint="eastAsia"/>
                      <w:kern w:val="24"/>
                      <w:szCs w:val="21"/>
                    </w:rPr>
                    <w:t>主要为收集的生活污水、含油废水，生活污水、油水分离后的污水经船舱收集后由岳阳缘立清洁服务有限公司转运交由</w:t>
                  </w:r>
                  <w:r>
                    <w:rPr>
                      <w:rFonts w:hint="eastAsia"/>
                      <w:szCs w:val="21"/>
                    </w:rPr>
                    <w:t>葛洲坝水务（岳阳）有限公司处理</w:t>
                  </w:r>
                </w:p>
              </w:tc>
              <w:tc>
                <w:tcPr>
                  <w:tcW w:w="1198" w:type="dxa"/>
                  <w:tcBorders>
                    <w:tl2br w:val="nil"/>
                    <w:tr2bl w:val="nil"/>
                  </w:tcBorders>
                  <w:noWrap/>
                  <w:vAlign w:val="center"/>
                </w:tcPr>
                <w:p>
                  <w:pPr>
                    <w:autoSpaceDE w:val="0"/>
                    <w:autoSpaceDN w:val="0"/>
                    <w:adjustRightInd w:val="0"/>
                    <w:jc w:val="center"/>
                    <w:rPr>
                      <w:kern w:val="24"/>
                      <w:szCs w:val="21"/>
                    </w:rPr>
                  </w:pPr>
                  <w:r>
                    <w:rPr>
                      <w:rFonts w:hint="eastAsia"/>
                      <w:kern w:val="24"/>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916" w:type="dxa"/>
                  <w:vMerge w:val="continue"/>
                  <w:tcBorders>
                    <w:tl2br w:val="nil"/>
                    <w:tr2bl w:val="nil"/>
                  </w:tcBorders>
                  <w:noWrap/>
                  <w:vAlign w:val="center"/>
                </w:tcPr>
                <w:p>
                  <w:pPr>
                    <w:autoSpaceDE w:val="0"/>
                    <w:autoSpaceDN w:val="0"/>
                    <w:adjustRightInd w:val="0"/>
                    <w:jc w:val="center"/>
                    <w:rPr>
                      <w:kern w:val="24"/>
                      <w:szCs w:val="21"/>
                    </w:rPr>
                  </w:pPr>
                </w:p>
              </w:tc>
              <w:tc>
                <w:tcPr>
                  <w:tcW w:w="1217" w:type="dxa"/>
                  <w:gridSpan w:val="2"/>
                  <w:tcBorders>
                    <w:tl2br w:val="nil"/>
                    <w:tr2bl w:val="nil"/>
                  </w:tcBorders>
                  <w:noWrap/>
                  <w:vAlign w:val="center"/>
                </w:tcPr>
                <w:p>
                  <w:pPr>
                    <w:autoSpaceDE w:val="0"/>
                    <w:autoSpaceDN w:val="0"/>
                    <w:adjustRightInd w:val="0"/>
                    <w:jc w:val="center"/>
                    <w:rPr>
                      <w:kern w:val="24"/>
                      <w:szCs w:val="21"/>
                    </w:rPr>
                  </w:pPr>
                  <w:r>
                    <w:rPr>
                      <w:rFonts w:hint="eastAsia"/>
                      <w:kern w:val="24"/>
                      <w:szCs w:val="21"/>
                    </w:rPr>
                    <w:t>废气</w:t>
                  </w:r>
                </w:p>
              </w:tc>
              <w:tc>
                <w:tcPr>
                  <w:tcW w:w="4167" w:type="dxa"/>
                  <w:gridSpan w:val="3"/>
                  <w:tcBorders>
                    <w:tl2br w:val="nil"/>
                    <w:tr2bl w:val="nil"/>
                  </w:tcBorders>
                  <w:noWrap/>
                  <w:vAlign w:val="center"/>
                </w:tcPr>
                <w:p>
                  <w:pPr>
                    <w:autoSpaceDE w:val="0"/>
                    <w:autoSpaceDN w:val="0"/>
                    <w:adjustRightInd w:val="0"/>
                    <w:jc w:val="center"/>
                    <w:rPr>
                      <w:kern w:val="24"/>
                      <w:szCs w:val="21"/>
                    </w:rPr>
                  </w:pPr>
                  <w:r>
                    <w:rPr>
                      <w:rFonts w:hint="eastAsia"/>
                      <w:kern w:val="24"/>
                      <w:szCs w:val="21"/>
                    </w:rPr>
                    <w:t>回收废油过程中产生的非甲烷总烃采取全封闭、负压操作等方式，有效避免挥发性有机废气泄漏和散逸，回收船上柴油发电机工作产生烟气通过烟气管排放。</w:t>
                  </w:r>
                </w:p>
              </w:tc>
              <w:tc>
                <w:tcPr>
                  <w:tcW w:w="1198" w:type="dxa"/>
                  <w:tcBorders>
                    <w:tl2br w:val="nil"/>
                    <w:tr2bl w:val="nil"/>
                  </w:tcBorders>
                  <w:noWrap/>
                  <w:vAlign w:val="center"/>
                </w:tcPr>
                <w:p>
                  <w:pPr>
                    <w:autoSpaceDE w:val="0"/>
                    <w:autoSpaceDN w:val="0"/>
                    <w:adjustRightInd w:val="0"/>
                    <w:jc w:val="center"/>
                    <w:rPr>
                      <w:kern w:val="24"/>
                      <w:szCs w:val="21"/>
                    </w:rPr>
                  </w:pPr>
                  <w:r>
                    <w:rPr>
                      <w:rFonts w:hint="eastAsia"/>
                      <w:kern w:val="24"/>
                      <w:szCs w:val="21"/>
                      <w:u w:val="single"/>
                    </w:rPr>
                    <w:t>依托项目现有的柴油发电机和油水分离器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916" w:type="dxa"/>
                  <w:vMerge w:val="continue"/>
                  <w:tcBorders>
                    <w:tl2br w:val="nil"/>
                    <w:tr2bl w:val="nil"/>
                  </w:tcBorders>
                  <w:noWrap/>
                  <w:vAlign w:val="center"/>
                </w:tcPr>
                <w:p>
                  <w:pPr>
                    <w:autoSpaceDE w:val="0"/>
                    <w:autoSpaceDN w:val="0"/>
                    <w:adjustRightInd w:val="0"/>
                    <w:jc w:val="center"/>
                    <w:rPr>
                      <w:kern w:val="24"/>
                      <w:szCs w:val="21"/>
                    </w:rPr>
                  </w:pPr>
                </w:p>
              </w:tc>
              <w:tc>
                <w:tcPr>
                  <w:tcW w:w="1217" w:type="dxa"/>
                  <w:gridSpan w:val="2"/>
                  <w:tcBorders>
                    <w:tl2br w:val="nil"/>
                    <w:tr2bl w:val="nil"/>
                  </w:tcBorders>
                  <w:noWrap/>
                  <w:vAlign w:val="center"/>
                </w:tcPr>
                <w:p>
                  <w:pPr>
                    <w:autoSpaceDE w:val="0"/>
                    <w:autoSpaceDN w:val="0"/>
                    <w:adjustRightInd w:val="0"/>
                    <w:jc w:val="center"/>
                    <w:rPr>
                      <w:bCs/>
                      <w:szCs w:val="21"/>
                    </w:rPr>
                  </w:pPr>
                  <w:r>
                    <w:rPr>
                      <w:rFonts w:hint="eastAsia"/>
                      <w:bCs/>
                      <w:szCs w:val="21"/>
                    </w:rPr>
                    <w:t>噪声</w:t>
                  </w:r>
                </w:p>
              </w:tc>
              <w:tc>
                <w:tcPr>
                  <w:tcW w:w="4167" w:type="dxa"/>
                  <w:gridSpan w:val="3"/>
                  <w:tcBorders>
                    <w:tl2br w:val="nil"/>
                    <w:tr2bl w:val="nil"/>
                  </w:tcBorders>
                  <w:noWrap/>
                  <w:vAlign w:val="center"/>
                </w:tcPr>
                <w:p>
                  <w:pPr>
                    <w:autoSpaceDE w:val="0"/>
                    <w:autoSpaceDN w:val="0"/>
                    <w:adjustRightInd w:val="0"/>
                    <w:jc w:val="center"/>
                    <w:rPr>
                      <w:bCs/>
                      <w:szCs w:val="21"/>
                    </w:rPr>
                  </w:pPr>
                  <w:r>
                    <w:rPr>
                      <w:rFonts w:hint="eastAsia"/>
                      <w:bCs/>
                      <w:szCs w:val="21"/>
                    </w:rPr>
                    <w:t>对产生的噪声的设备加强管理，产生噪声的设备采取基座减振，消声等措施</w:t>
                  </w:r>
                </w:p>
              </w:tc>
              <w:tc>
                <w:tcPr>
                  <w:tcW w:w="1198" w:type="dxa"/>
                  <w:tcBorders>
                    <w:tl2br w:val="nil"/>
                    <w:tr2bl w:val="nil"/>
                  </w:tcBorders>
                  <w:noWrap/>
                  <w:vAlign w:val="center"/>
                </w:tcPr>
                <w:p>
                  <w:pPr>
                    <w:autoSpaceDE w:val="0"/>
                    <w:autoSpaceDN w:val="0"/>
                    <w:adjustRightInd w:val="0"/>
                    <w:jc w:val="center"/>
                    <w:rPr>
                      <w:bCs/>
                      <w:szCs w:val="21"/>
                    </w:rPr>
                  </w:pPr>
                  <w:r>
                    <w:rPr>
                      <w:rFonts w:hint="eastAsia"/>
                      <w:bCs/>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916" w:type="dxa"/>
                  <w:vMerge w:val="continue"/>
                  <w:tcBorders>
                    <w:tl2br w:val="nil"/>
                    <w:tr2bl w:val="nil"/>
                  </w:tcBorders>
                  <w:noWrap/>
                  <w:vAlign w:val="center"/>
                </w:tcPr>
                <w:p>
                  <w:pPr>
                    <w:autoSpaceDE w:val="0"/>
                    <w:autoSpaceDN w:val="0"/>
                    <w:adjustRightInd w:val="0"/>
                    <w:jc w:val="center"/>
                    <w:rPr>
                      <w:kern w:val="24"/>
                      <w:szCs w:val="21"/>
                    </w:rPr>
                  </w:pPr>
                </w:p>
              </w:tc>
              <w:tc>
                <w:tcPr>
                  <w:tcW w:w="1217" w:type="dxa"/>
                  <w:gridSpan w:val="2"/>
                  <w:tcBorders>
                    <w:tl2br w:val="nil"/>
                    <w:tr2bl w:val="nil"/>
                  </w:tcBorders>
                  <w:noWrap/>
                  <w:vAlign w:val="center"/>
                </w:tcPr>
                <w:p>
                  <w:pPr>
                    <w:autoSpaceDE w:val="0"/>
                    <w:autoSpaceDN w:val="0"/>
                    <w:adjustRightInd w:val="0"/>
                    <w:jc w:val="center"/>
                    <w:rPr>
                      <w:bCs/>
                      <w:szCs w:val="21"/>
                    </w:rPr>
                  </w:pPr>
                  <w:r>
                    <w:rPr>
                      <w:rFonts w:hint="eastAsia"/>
                      <w:bCs/>
                      <w:szCs w:val="21"/>
                    </w:rPr>
                    <w:t>固废</w:t>
                  </w:r>
                </w:p>
              </w:tc>
              <w:tc>
                <w:tcPr>
                  <w:tcW w:w="4167" w:type="dxa"/>
                  <w:gridSpan w:val="3"/>
                  <w:tcBorders>
                    <w:tl2br w:val="nil"/>
                    <w:tr2bl w:val="nil"/>
                  </w:tcBorders>
                  <w:noWrap/>
                  <w:vAlign w:val="center"/>
                </w:tcPr>
                <w:p>
                  <w:pPr>
                    <w:autoSpaceDE w:val="0"/>
                    <w:autoSpaceDN w:val="0"/>
                    <w:adjustRightInd w:val="0"/>
                    <w:jc w:val="center"/>
                    <w:rPr>
                      <w:bCs/>
                      <w:szCs w:val="21"/>
                    </w:rPr>
                  </w:pPr>
                  <w:r>
                    <w:rPr>
                      <w:rFonts w:hint="eastAsia"/>
                      <w:bCs/>
                      <w:szCs w:val="21"/>
                    </w:rPr>
                    <w:t>员工的生活垃圾和收集的生活垃圾均交由</w:t>
                  </w:r>
                  <w:r>
                    <w:rPr>
                      <w:rFonts w:hint="eastAsia"/>
                      <w:kern w:val="24"/>
                      <w:szCs w:val="21"/>
                    </w:rPr>
                    <w:t>岳阳缘立清洁服务有限公司转运</w:t>
                  </w:r>
                  <w:r>
                    <w:rPr>
                      <w:rFonts w:hint="eastAsia"/>
                      <w:bCs/>
                      <w:szCs w:val="21"/>
                    </w:rPr>
                    <w:t>岳阳县市容环境卫生服务中心处理，废机油交由临湘市湘北水陆物流有限公司处理</w:t>
                  </w:r>
                </w:p>
              </w:tc>
              <w:tc>
                <w:tcPr>
                  <w:tcW w:w="1198" w:type="dxa"/>
                  <w:tcBorders>
                    <w:tl2br w:val="nil"/>
                    <w:tr2bl w:val="nil"/>
                  </w:tcBorders>
                  <w:noWrap/>
                  <w:vAlign w:val="center"/>
                </w:tcPr>
                <w:p>
                  <w:pPr>
                    <w:autoSpaceDE w:val="0"/>
                    <w:autoSpaceDN w:val="0"/>
                    <w:adjustRightInd w:val="0"/>
                    <w:jc w:val="center"/>
                    <w:rPr>
                      <w:bCs/>
                      <w:szCs w:val="21"/>
                    </w:rPr>
                  </w:pPr>
                  <w:r>
                    <w:rPr>
                      <w:rFonts w:hint="eastAsia"/>
                      <w:bCs/>
                      <w:szCs w:val="21"/>
                    </w:rPr>
                    <w:t>/</w:t>
                  </w:r>
                </w:p>
              </w:tc>
            </w:tr>
          </w:tbl>
          <w:p>
            <w:pPr>
              <w:spacing w:line="360" w:lineRule="auto"/>
              <w:ind w:firstLine="480" w:firstLineChars="200"/>
              <w:rPr>
                <w:sz w:val="24"/>
                <w:szCs w:val="24"/>
              </w:rPr>
            </w:pPr>
            <w:r>
              <w:rPr>
                <w:rFonts w:hint="eastAsia"/>
                <w:sz w:val="24"/>
                <w:szCs w:val="24"/>
              </w:rPr>
              <w:t>（2）项目设备情况</w:t>
            </w:r>
          </w:p>
          <w:p>
            <w:pPr>
              <w:spacing w:line="360" w:lineRule="auto"/>
              <w:ind w:firstLine="480" w:firstLineChars="200"/>
              <w:rPr>
                <w:sz w:val="24"/>
                <w:szCs w:val="24"/>
              </w:rPr>
            </w:pPr>
            <w:r>
              <w:rPr>
                <w:sz w:val="24"/>
                <w:szCs w:val="24"/>
              </w:rPr>
              <w:t>项目主要生产设备见表</w:t>
            </w:r>
            <w:r>
              <w:rPr>
                <w:rFonts w:hint="eastAsia"/>
                <w:sz w:val="24"/>
                <w:szCs w:val="24"/>
              </w:rPr>
              <w:t>2-8</w:t>
            </w:r>
            <w:r>
              <w:rPr>
                <w:sz w:val="24"/>
                <w:szCs w:val="24"/>
              </w:rPr>
              <w:t>：</w:t>
            </w:r>
          </w:p>
          <w:p>
            <w:pPr>
              <w:spacing w:line="360" w:lineRule="auto"/>
              <w:jc w:val="center"/>
              <w:rPr>
                <w:rFonts w:cs="宋体"/>
                <w:b/>
                <w:szCs w:val="21"/>
              </w:rPr>
            </w:pPr>
            <w:r>
              <w:rPr>
                <w:rFonts w:hint="eastAsia" w:cs="宋体"/>
                <w:b/>
                <w:szCs w:val="21"/>
              </w:rPr>
              <w:t>表2-8  二期扩建部分设备</w:t>
            </w:r>
          </w:p>
          <w:tbl>
            <w:tblPr>
              <w:tblStyle w:val="25"/>
              <w:tblW w:w="782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304"/>
              <w:gridCol w:w="1304"/>
              <w:gridCol w:w="929"/>
              <w:gridCol w:w="805"/>
              <w:gridCol w:w="1656"/>
              <w:gridCol w:w="182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304" w:type="dxa"/>
                  <w:tcBorders>
                    <w:tl2br w:val="nil"/>
                    <w:tr2bl w:val="nil"/>
                  </w:tcBorders>
                </w:tcPr>
                <w:p>
                  <w:pPr>
                    <w:spacing w:line="360" w:lineRule="auto"/>
                    <w:jc w:val="center"/>
                    <w:rPr>
                      <w:rFonts w:cs="宋体"/>
                      <w:b/>
                      <w:szCs w:val="21"/>
                    </w:rPr>
                  </w:pPr>
                  <w:r>
                    <w:rPr>
                      <w:rFonts w:hint="eastAsia" w:cs="宋体"/>
                      <w:b/>
                      <w:szCs w:val="21"/>
                    </w:rPr>
                    <w:t>名称</w:t>
                  </w:r>
                </w:p>
              </w:tc>
              <w:tc>
                <w:tcPr>
                  <w:tcW w:w="1304" w:type="dxa"/>
                  <w:tcBorders>
                    <w:tl2br w:val="nil"/>
                    <w:tr2bl w:val="nil"/>
                  </w:tcBorders>
                </w:tcPr>
                <w:p>
                  <w:pPr>
                    <w:spacing w:line="360" w:lineRule="auto"/>
                    <w:jc w:val="center"/>
                    <w:rPr>
                      <w:rFonts w:cs="宋体"/>
                      <w:b/>
                      <w:szCs w:val="21"/>
                    </w:rPr>
                  </w:pPr>
                  <w:r>
                    <w:rPr>
                      <w:rFonts w:hint="eastAsia" w:cs="宋体"/>
                      <w:b/>
                      <w:szCs w:val="21"/>
                    </w:rPr>
                    <w:t>船舶类型</w:t>
                  </w:r>
                </w:p>
              </w:tc>
              <w:tc>
                <w:tcPr>
                  <w:tcW w:w="929" w:type="dxa"/>
                  <w:tcBorders>
                    <w:tl2br w:val="nil"/>
                    <w:tr2bl w:val="nil"/>
                  </w:tcBorders>
                </w:tcPr>
                <w:p>
                  <w:pPr>
                    <w:spacing w:line="360" w:lineRule="auto"/>
                    <w:jc w:val="center"/>
                    <w:rPr>
                      <w:rFonts w:cs="宋体"/>
                      <w:b/>
                      <w:szCs w:val="21"/>
                    </w:rPr>
                  </w:pPr>
                  <w:r>
                    <w:rPr>
                      <w:rFonts w:hint="eastAsia" w:cs="宋体"/>
                      <w:b/>
                      <w:szCs w:val="21"/>
                    </w:rPr>
                    <w:t>总吨位</w:t>
                  </w:r>
                </w:p>
              </w:tc>
              <w:tc>
                <w:tcPr>
                  <w:tcW w:w="805" w:type="dxa"/>
                  <w:tcBorders>
                    <w:tl2br w:val="nil"/>
                    <w:tr2bl w:val="nil"/>
                  </w:tcBorders>
                </w:tcPr>
                <w:p>
                  <w:pPr>
                    <w:spacing w:line="360" w:lineRule="auto"/>
                    <w:jc w:val="center"/>
                    <w:rPr>
                      <w:rFonts w:cs="宋体"/>
                      <w:b/>
                      <w:szCs w:val="21"/>
                    </w:rPr>
                  </w:pPr>
                  <w:r>
                    <w:rPr>
                      <w:rFonts w:hint="eastAsia" w:cs="宋体"/>
                      <w:b/>
                      <w:szCs w:val="21"/>
                    </w:rPr>
                    <w:t>净吨</w:t>
                  </w:r>
                </w:p>
              </w:tc>
              <w:tc>
                <w:tcPr>
                  <w:tcW w:w="1656" w:type="dxa"/>
                  <w:tcBorders>
                    <w:tl2br w:val="nil"/>
                    <w:tr2bl w:val="nil"/>
                  </w:tcBorders>
                </w:tcPr>
                <w:p>
                  <w:pPr>
                    <w:spacing w:line="360" w:lineRule="auto"/>
                    <w:jc w:val="center"/>
                    <w:rPr>
                      <w:rFonts w:cs="宋体"/>
                      <w:b/>
                      <w:szCs w:val="21"/>
                    </w:rPr>
                  </w:pPr>
                  <w:r>
                    <w:rPr>
                      <w:rFonts w:hint="eastAsia" w:cs="宋体"/>
                      <w:b/>
                      <w:szCs w:val="21"/>
                    </w:rPr>
                    <w:t>船长、宽、深（m）</w:t>
                  </w:r>
                </w:p>
              </w:tc>
              <w:tc>
                <w:tcPr>
                  <w:tcW w:w="1828" w:type="dxa"/>
                  <w:tcBorders>
                    <w:tl2br w:val="nil"/>
                    <w:tr2bl w:val="nil"/>
                  </w:tcBorders>
                </w:tcPr>
                <w:p>
                  <w:pPr>
                    <w:spacing w:line="360" w:lineRule="auto"/>
                    <w:jc w:val="center"/>
                    <w:rPr>
                      <w:rFonts w:cs="宋体"/>
                      <w:b/>
                      <w:szCs w:val="21"/>
                    </w:rPr>
                  </w:pPr>
                  <w:r>
                    <w:rPr>
                      <w:rFonts w:hint="eastAsia" w:cs="宋体"/>
                      <w:b/>
                      <w:szCs w:val="21"/>
                    </w:rPr>
                    <w:t>主要功能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7826" w:type="dxa"/>
                  <w:gridSpan w:val="6"/>
                  <w:tcBorders>
                    <w:tl2br w:val="nil"/>
                    <w:tr2bl w:val="nil"/>
                  </w:tcBorders>
                </w:tcPr>
                <w:p>
                  <w:pPr>
                    <w:spacing w:line="360" w:lineRule="auto"/>
                    <w:jc w:val="center"/>
                    <w:rPr>
                      <w:rFonts w:cs="宋体"/>
                      <w:b/>
                      <w:szCs w:val="21"/>
                    </w:rPr>
                  </w:pPr>
                  <w:r>
                    <w:rPr>
                      <w:rFonts w:hint="eastAsia" w:cs="宋体"/>
                      <w:b/>
                      <w:szCs w:val="21"/>
                    </w:rPr>
                    <w:t>现有部分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304" w:type="dxa"/>
                  <w:tcBorders>
                    <w:tl2br w:val="nil"/>
                    <w:tr2bl w:val="nil"/>
                  </w:tcBorders>
                  <w:vAlign w:val="center"/>
                </w:tcPr>
                <w:p>
                  <w:pPr>
                    <w:adjustRightInd w:val="0"/>
                    <w:snapToGrid w:val="0"/>
                    <w:spacing w:line="360" w:lineRule="auto"/>
                    <w:jc w:val="center"/>
                    <w:rPr>
                      <w:szCs w:val="21"/>
                    </w:rPr>
                  </w:pPr>
                  <w:r>
                    <w:rPr>
                      <w:szCs w:val="21"/>
                    </w:rPr>
                    <w:t>湘岳阳油1129</w:t>
                  </w:r>
                </w:p>
              </w:tc>
              <w:tc>
                <w:tcPr>
                  <w:tcW w:w="1304" w:type="dxa"/>
                  <w:tcBorders>
                    <w:tl2br w:val="nil"/>
                    <w:tr2bl w:val="nil"/>
                  </w:tcBorders>
                  <w:vAlign w:val="center"/>
                </w:tcPr>
                <w:p>
                  <w:pPr>
                    <w:adjustRightInd w:val="0"/>
                    <w:snapToGrid w:val="0"/>
                    <w:spacing w:line="360" w:lineRule="auto"/>
                    <w:jc w:val="center"/>
                    <w:rPr>
                      <w:szCs w:val="21"/>
                    </w:rPr>
                  </w:pPr>
                  <w:r>
                    <w:rPr>
                      <w:szCs w:val="21"/>
                    </w:rPr>
                    <w:t>液货船</w:t>
                  </w:r>
                </w:p>
              </w:tc>
              <w:tc>
                <w:tcPr>
                  <w:tcW w:w="929" w:type="dxa"/>
                  <w:tcBorders>
                    <w:tl2br w:val="nil"/>
                    <w:tr2bl w:val="nil"/>
                  </w:tcBorders>
                  <w:vAlign w:val="center"/>
                </w:tcPr>
                <w:p>
                  <w:pPr>
                    <w:adjustRightInd w:val="0"/>
                    <w:snapToGrid w:val="0"/>
                    <w:spacing w:line="360" w:lineRule="auto"/>
                    <w:jc w:val="center"/>
                    <w:rPr>
                      <w:szCs w:val="21"/>
                    </w:rPr>
                  </w:pPr>
                  <w:r>
                    <w:rPr>
                      <w:szCs w:val="21"/>
                    </w:rPr>
                    <w:t>53</w:t>
                  </w:r>
                </w:p>
              </w:tc>
              <w:tc>
                <w:tcPr>
                  <w:tcW w:w="805" w:type="dxa"/>
                  <w:tcBorders>
                    <w:tl2br w:val="nil"/>
                    <w:tr2bl w:val="nil"/>
                  </w:tcBorders>
                  <w:vAlign w:val="center"/>
                </w:tcPr>
                <w:p>
                  <w:pPr>
                    <w:adjustRightInd w:val="0"/>
                    <w:snapToGrid w:val="0"/>
                    <w:spacing w:line="360" w:lineRule="auto"/>
                    <w:jc w:val="center"/>
                    <w:rPr>
                      <w:szCs w:val="21"/>
                    </w:rPr>
                  </w:pPr>
                  <w:r>
                    <w:rPr>
                      <w:szCs w:val="21"/>
                    </w:rPr>
                    <w:t>29</w:t>
                  </w:r>
                </w:p>
              </w:tc>
              <w:tc>
                <w:tcPr>
                  <w:tcW w:w="1656" w:type="dxa"/>
                  <w:tcBorders>
                    <w:tl2br w:val="nil"/>
                    <w:tr2bl w:val="nil"/>
                  </w:tcBorders>
                  <w:vAlign w:val="center"/>
                </w:tcPr>
                <w:p>
                  <w:pPr>
                    <w:adjustRightInd w:val="0"/>
                    <w:snapToGrid w:val="0"/>
                    <w:spacing w:line="360" w:lineRule="auto"/>
                    <w:jc w:val="center"/>
                    <w:rPr>
                      <w:szCs w:val="21"/>
                    </w:rPr>
                  </w:pPr>
                  <w:r>
                    <w:rPr>
                      <w:rFonts w:hint="eastAsia"/>
                      <w:szCs w:val="21"/>
                    </w:rPr>
                    <w:t>24.8</w:t>
                  </w:r>
                  <w:r>
                    <w:rPr>
                      <w:szCs w:val="21"/>
                    </w:rPr>
                    <w:t>×4.</w:t>
                  </w:r>
                  <w:r>
                    <w:rPr>
                      <w:rFonts w:hint="eastAsia"/>
                      <w:szCs w:val="21"/>
                    </w:rPr>
                    <w:t>8</w:t>
                  </w:r>
                  <w:r>
                    <w:rPr>
                      <w:szCs w:val="21"/>
                    </w:rPr>
                    <w:t>×1.2</w:t>
                  </w:r>
                </w:p>
              </w:tc>
              <w:tc>
                <w:tcPr>
                  <w:tcW w:w="1828" w:type="dxa"/>
                  <w:tcBorders>
                    <w:tl2br w:val="nil"/>
                    <w:tr2bl w:val="nil"/>
                  </w:tcBorders>
                  <w:vAlign w:val="center"/>
                </w:tcPr>
                <w:p>
                  <w:pPr>
                    <w:adjustRightInd w:val="0"/>
                    <w:snapToGrid w:val="0"/>
                    <w:spacing w:line="360" w:lineRule="auto"/>
                    <w:jc w:val="center"/>
                    <w:rPr>
                      <w:rFonts w:hint="eastAsia" w:eastAsia="宋体"/>
                      <w:szCs w:val="21"/>
                      <w:lang w:eastAsia="zh-CN"/>
                    </w:rPr>
                  </w:pPr>
                  <w:r>
                    <w:rPr>
                      <w:rFonts w:hint="eastAsia"/>
                      <w:szCs w:val="21"/>
                      <w:lang w:eastAsia="zh-CN"/>
                    </w:rPr>
                    <w:t>用于应急备用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826" w:type="dxa"/>
                  <w:gridSpan w:val="6"/>
                  <w:tcBorders>
                    <w:tl2br w:val="nil"/>
                    <w:tr2bl w:val="nil"/>
                  </w:tcBorders>
                  <w:vAlign w:val="center"/>
                </w:tcPr>
                <w:p>
                  <w:pPr>
                    <w:adjustRightInd w:val="0"/>
                    <w:snapToGrid w:val="0"/>
                    <w:spacing w:line="360" w:lineRule="auto"/>
                    <w:jc w:val="center"/>
                    <w:rPr>
                      <w:szCs w:val="21"/>
                    </w:rPr>
                  </w:pPr>
                  <w:r>
                    <w:rPr>
                      <w:rFonts w:hint="eastAsia"/>
                      <w:b/>
                      <w:bCs/>
                      <w:szCs w:val="21"/>
                    </w:rPr>
                    <w:t>一期建设部分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304" w:type="dxa"/>
                  <w:tcBorders>
                    <w:tl2br w:val="nil"/>
                    <w:tr2bl w:val="nil"/>
                  </w:tcBorders>
                  <w:vAlign w:val="center"/>
                </w:tcPr>
                <w:p>
                  <w:pPr>
                    <w:adjustRightInd w:val="0"/>
                    <w:snapToGrid w:val="0"/>
                    <w:spacing w:line="360" w:lineRule="auto"/>
                    <w:jc w:val="center"/>
                    <w:rPr>
                      <w:szCs w:val="21"/>
                    </w:rPr>
                  </w:pPr>
                  <w:r>
                    <w:rPr>
                      <w:szCs w:val="21"/>
                    </w:rPr>
                    <w:t>清源2号</w:t>
                  </w:r>
                </w:p>
              </w:tc>
              <w:tc>
                <w:tcPr>
                  <w:tcW w:w="1304" w:type="dxa"/>
                  <w:tcBorders>
                    <w:tl2br w:val="nil"/>
                    <w:tr2bl w:val="nil"/>
                  </w:tcBorders>
                  <w:vAlign w:val="center"/>
                </w:tcPr>
                <w:p>
                  <w:pPr>
                    <w:adjustRightInd w:val="0"/>
                    <w:snapToGrid w:val="0"/>
                    <w:spacing w:line="360" w:lineRule="auto"/>
                    <w:jc w:val="center"/>
                    <w:rPr>
                      <w:szCs w:val="21"/>
                    </w:rPr>
                  </w:pPr>
                  <w:r>
                    <w:rPr>
                      <w:rFonts w:hint="eastAsia"/>
                      <w:szCs w:val="21"/>
                    </w:rPr>
                    <w:t>污染物接收</w:t>
                  </w:r>
                  <w:r>
                    <w:rPr>
                      <w:szCs w:val="21"/>
                    </w:rPr>
                    <w:t>船</w:t>
                  </w:r>
                </w:p>
              </w:tc>
              <w:tc>
                <w:tcPr>
                  <w:tcW w:w="929" w:type="dxa"/>
                  <w:tcBorders>
                    <w:tl2br w:val="nil"/>
                    <w:tr2bl w:val="nil"/>
                  </w:tcBorders>
                  <w:vAlign w:val="center"/>
                </w:tcPr>
                <w:p>
                  <w:pPr>
                    <w:adjustRightInd w:val="0"/>
                    <w:snapToGrid w:val="0"/>
                    <w:spacing w:line="360" w:lineRule="auto"/>
                    <w:jc w:val="center"/>
                    <w:rPr>
                      <w:szCs w:val="21"/>
                    </w:rPr>
                  </w:pPr>
                  <w:r>
                    <w:rPr>
                      <w:szCs w:val="21"/>
                    </w:rPr>
                    <w:t>107</w:t>
                  </w:r>
                </w:p>
              </w:tc>
              <w:tc>
                <w:tcPr>
                  <w:tcW w:w="805" w:type="dxa"/>
                  <w:tcBorders>
                    <w:tl2br w:val="nil"/>
                    <w:tr2bl w:val="nil"/>
                  </w:tcBorders>
                  <w:vAlign w:val="center"/>
                </w:tcPr>
                <w:p>
                  <w:pPr>
                    <w:adjustRightInd w:val="0"/>
                    <w:snapToGrid w:val="0"/>
                    <w:spacing w:line="360" w:lineRule="auto"/>
                    <w:jc w:val="center"/>
                    <w:rPr>
                      <w:szCs w:val="21"/>
                    </w:rPr>
                  </w:pPr>
                  <w:r>
                    <w:rPr>
                      <w:szCs w:val="21"/>
                    </w:rPr>
                    <w:t>59</w:t>
                  </w:r>
                </w:p>
              </w:tc>
              <w:tc>
                <w:tcPr>
                  <w:tcW w:w="1656" w:type="dxa"/>
                  <w:tcBorders>
                    <w:tl2br w:val="nil"/>
                    <w:tr2bl w:val="nil"/>
                  </w:tcBorders>
                  <w:vAlign w:val="center"/>
                </w:tcPr>
                <w:p>
                  <w:pPr>
                    <w:adjustRightInd w:val="0"/>
                    <w:snapToGrid w:val="0"/>
                    <w:spacing w:line="360" w:lineRule="auto"/>
                    <w:jc w:val="center"/>
                    <w:rPr>
                      <w:szCs w:val="21"/>
                    </w:rPr>
                  </w:pPr>
                  <w:r>
                    <w:rPr>
                      <w:szCs w:val="21"/>
                    </w:rPr>
                    <w:t>29.8×5.8×1.8</w:t>
                  </w:r>
                </w:p>
              </w:tc>
              <w:tc>
                <w:tcPr>
                  <w:tcW w:w="1828" w:type="dxa"/>
                  <w:tcBorders>
                    <w:tl2br w:val="nil"/>
                    <w:tr2bl w:val="nil"/>
                  </w:tcBorders>
                  <w:vAlign w:val="center"/>
                </w:tcPr>
                <w:p>
                  <w:pPr>
                    <w:adjustRightInd w:val="0"/>
                    <w:snapToGrid w:val="0"/>
                    <w:spacing w:line="360" w:lineRule="auto"/>
                    <w:jc w:val="center"/>
                    <w:rPr>
                      <w:szCs w:val="21"/>
                    </w:rPr>
                  </w:pPr>
                  <w:r>
                    <w:rPr>
                      <w:szCs w:val="21"/>
                    </w:rPr>
                    <w:t>用于</w:t>
                  </w:r>
                  <w:r>
                    <w:rPr>
                      <w:rFonts w:hint="eastAsia"/>
                      <w:szCs w:val="21"/>
                    </w:rPr>
                    <w:t>接收</w:t>
                  </w:r>
                  <w:r>
                    <w:rPr>
                      <w:szCs w:val="21"/>
                    </w:rPr>
                    <w:t>暂存含油废水、</w:t>
                  </w:r>
                  <w:r>
                    <w:rPr>
                      <w:rFonts w:hint="eastAsia"/>
                      <w:szCs w:val="21"/>
                    </w:rPr>
                    <w:t>废矿物油、</w:t>
                  </w:r>
                  <w:r>
                    <w:rPr>
                      <w:szCs w:val="21"/>
                    </w:rPr>
                    <w:t>生活污水、生活垃圾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304" w:type="dxa"/>
                  <w:tcBorders>
                    <w:tl2br w:val="nil"/>
                    <w:tr2bl w:val="nil"/>
                  </w:tcBorders>
                  <w:vAlign w:val="center"/>
                </w:tcPr>
                <w:p>
                  <w:pPr>
                    <w:adjustRightInd w:val="0"/>
                    <w:snapToGrid w:val="0"/>
                    <w:spacing w:line="360" w:lineRule="auto"/>
                    <w:jc w:val="center"/>
                    <w:rPr>
                      <w:szCs w:val="21"/>
                    </w:rPr>
                  </w:pPr>
                  <w:r>
                    <w:rPr>
                      <w:szCs w:val="21"/>
                    </w:rPr>
                    <w:t>交通06</w:t>
                  </w:r>
                </w:p>
              </w:tc>
              <w:tc>
                <w:tcPr>
                  <w:tcW w:w="1304" w:type="dxa"/>
                  <w:tcBorders>
                    <w:tl2br w:val="nil"/>
                    <w:tr2bl w:val="nil"/>
                  </w:tcBorders>
                  <w:vAlign w:val="center"/>
                </w:tcPr>
                <w:p>
                  <w:pPr>
                    <w:adjustRightInd w:val="0"/>
                    <w:snapToGrid w:val="0"/>
                    <w:spacing w:line="360" w:lineRule="auto"/>
                    <w:jc w:val="center"/>
                    <w:rPr>
                      <w:szCs w:val="21"/>
                    </w:rPr>
                  </w:pPr>
                  <w:r>
                    <w:rPr>
                      <w:szCs w:val="21"/>
                    </w:rPr>
                    <w:t>交通艇</w:t>
                  </w:r>
                </w:p>
              </w:tc>
              <w:tc>
                <w:tcPr>
                  <w:tcW w:w="929" w:type="dxa"/>
                  <w:tcBorders>
                    <w:tl2br w:val="nil"/>
                    <w:tr2bl w:val="nil"/>
                  </w:tcBorders>
                  <w:vAlign w:val="center"/>
                </w:tcPr>
                <w:p>
                  <w:pPr>
                    <w:adjustRightInd w:val="0"/>
                    <w:snapToGrid w:val="0"/>
                    <w:spacing w:line="360" w:lineRule="auto"/>
                    <w:jc w:val="center"/>
                    <w:rPr>
                      <w:szCs w:val="21"/>
                    </w:rPr>
                  </w:pPr>
                  <w:r>
                    <w:rPr>
                      <w:szCs w:val="21"/>
                    </w:rPr>
                    <w:t>27</w:t>
                  </w:r>
                </w:p>
              </w:tc>
              <w:tc>
                <w:tcPr>
                  <w:tcW w:w="805" w:type="dxa"/>
                  <w:tcBorders>
                    <w:tl2br w:val="nil"/>
                    <w:tr2bl w:val="nil"/>
                  </w:tcBorders>
                  <w:vAlign w:val="center"/>
                </w:tcPr>
                <w:p>
                  <w:pPr>
                    <w:adjustRightInd w:val="0"/>
                    <w:snapToGrid w:val="0"/>
                    <w:spacing w:line="360" w:lineRule="auto"/>
                    <w:jc w:val="center"/>
                    <w:rPr>
                      <w:szCs w:val="21"/>
                    </w:rPr>
                  </w:pPr>
                  <w:r>
                    <w:rPr>
                      <w:szCs w:val="21"/>
                    </w:rPr>
                    <w:t>16</w:t>
                  </w:r>
                </w:p>
              </w:tc>
              <w:tc>
                <w:tcPr>
                  <w:tcW w:w="1656" w:type="dxa"/>
                  <w:tcBorders>
                    <w:tl2br w:val="nil"/>
                    <w:tr2bl w:val="nil"/>
                  </w:tcBorders>
                  <w:vAlign w:val="center"/>
                </w:tcPr>
                <w:p>
                  <w:pPr>
                    <w:adjustRightInd w:val="0"/>
                    <w:snapToGrid w:val="0"/>
                    <w:spacing w:line="360" w:lineRule="auto"/>
                    <w:jc w:val="center"/>
                    <w:rPr>
                      <w:szCs w:val="21"/>
                    </w:rPr>
                  </w:pPr>
                  <w:r>
                    <w:rPr>
                      <w:szCs w:val="21"/>
                    </w:rPr>
                    <w:t>14.98×3.8×0.5</w:t>
                  </w:r>
                </w:p>
              </w:tc>
              <w:tc>
                <w:tcPr>
                  <w:tcW w:w="1828" w:type="dxa"/>
                  <w:tcBorders>
                    <w:tl2br w:val="nil"/>
                    <w:tr2bl w:val="nil"/>
                  </w:tcBorders>
                  <w:vAlign w:val="center"/>
                </w:tcPr>
                <w:p>
                  <w:pPr>
                    <w:adjustRightInd w:val="0"/>
                    <w:snapToGrid w:val="0"/>
                    <w:spacing w:line="360" w:lineRule="auto"/>
                    <w:jc w:val="center"/>
                    <w:rPr>
                      <w:szCs w:val="21"/>
                    </w:rPr>
                  </w:pPr>
                  <w:r>
                    <w:rPr>
                      <w:rFonts w:hint="eastAsia"/>
                      <w:szCs w:val="21"/>
                    </w:rPr>
                    <w:t>用于污染物转运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826" w:type="dxa"/>
                  <w:gridSpan w:val="6"/>
                  <w:tcBorders>
                    <w:tl2br w:val="nil"/>
                    <w:tr2bl w:val="nil"/>
                  </w:tcBorders>
                  <w:vAlign w:val="center"/>
                </w:tcPr>
                <w:p>
                  <w:pPr>
                    <w:adjustRightInd w:val="0"/>
                    <w:snapToGrid w:val="0"/>
                    <w:spacing w:line="360" w:lineRule="auto"/>
                    <w:jc w:val="center"/>
                    <w:rPr>
                      <w:szCs w:val="21"/>
                    </w:rPr>
                  </w:pPr>
                  <w:r>
                    <w:rPr>
                      <w:rFonts w:hint="eastAsia"/>
                      <w:b/>
                      <w:bCs/>
                      <w:szCs w:val="21"/>
                    </w:rPr>
                    <w:t>二期新建部分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304" w:type="dxa"/>
                  <w:tcBorders>
                    <w:tl2br w:val="nil"/>
                    <w:tr2bl w:val="nil"/>
                  </w:tcBorders>
                  <w:vAlign w:val="center"/>
                </w:tcPr>
                <w:p>
                  <w:pPr>
                    <w:adjustRightInd w:val="0"/>
                    <w:snapToGrid w:val="0"/>
                    <w:spacing w:line="360" w:lineRule="auto"/>
                    <w:jc w:val="center"/>
                    <w:rPr>
                      <w:rFonts w:cs="宋体"/>
                      <w:b/>
                      <w:szCs w:val="21"/>
                    </w:rPr>
                  </w:pPr>
                  <w:r>
                    <w:rPr>
                      <w:rFonts w:hint="eastAsia"/>
                      <w:szCs w:val="21"/>
                    </w:rPr>
                    <w:t>油水分离船</w:t>
                  </w:r>
                </w:p>
              </w:tc>
              <w:tc>
                <w:tcPr>
                  <w:tcW w:w="1304" w:type="dxa"/>
                  <w:tcBorders>
                    <w:tl2br w:val="nil"/>
                    <w:tr2bl w:val="nil"/>
                  </w:tcBorders>
                  <w:vAlign w:val="center"/>
                </w:tcPr>
                <w:p>
                  <w:pPr>
                    <w:adjustRightInd w:val="0"/>
                    <w:snapToGrid w:val="0"/>
                    <w:spacing w:line="360" w:lineRule="auto"/>
                    <w:jc w:val="center"/>
                    <w:rPr>
                      <w:rFonts w:cs="宋体"/>
                      <w:b/>
                      <w:szCs w:val="21"/>
                    </w:rPr>
                  </w:pPr>
                  <w:r>
                    <w:rPr>
                      <w:rFonts w:hint="eastAsia" w:cs="宋体"/>
                      <w:bCs/>
                      <w:szCs w:val="21"/>
                    </w:rPr>
                    <w:t>油污水处理船</w:t>
                  </w:r>
                </w:p>
              </w:tc>
              <w:tc>
                <w:tcPr>
                  <w:tcW w:w="929" w:type="dxa"/>
                  <w:tcBorders>
                    <w:tl2br w:val="nil"/>
                    <w:tr2bl w:val="nil"/>
                  </w:tcBorders>
                  <w:vAlign w:val="center"/>
                </w:tcPr>
                <w:p>
                  <w:pPr>
                    <w:adjustRightInd w:val="0"/>
                    <w:snapToGrid w:val="0"/>
                    <w:spacing w:line="360" w:lineRule="auto"/>
                    <w:jc w:val="center"/>
                    <w:rPr>
                      <w:rFonts w:cs="宋体"/>
                      <w:b/>
                      <w:szCs w:val="21"/>
                    </w:rPr>
                  </w:pPr>
                  <w:r>
                    <w:rPr>
                      <w:rFonts w:hint="eastAsia"/>
                      <w:szCs w:val="21"/>
                    </w:rPr>
                    <w:t>570</w:t>
                  </w:r>
                </w:p>
              </w:tc>
              <w:tc>
                <w:tcPr>
                  <w:tcW w:w="805" w:type="dxa"/>
                  <w:tcBorders>
                    <w:tl2br w:val="nil"/>
                    <w:tr2bl w:val="nil"/>
                  </w:tcBorders>
                  <w:vAlign w:val="center"/>
                </w:tcPr>
                <w:p>
                  <w:pPr>
                    <w:adjustRightInd w:val="0"/>
                    <w:snapToGrid w:val="0"/>
                    <w:spacing w:line="360" w:lineRule="auto"/>
                    <w:jc w:val="center"/>
                    <w:rPr>
                      <w:rFonts w:cs="宋体"/>
                      <w:b/>
                      <w:szCs w:val="21"/>
                    </w:rPr>
                  </w:pPr>
                  <w:r>
                    <w:rPr>
                      <w:rFonts w:hint="eastAsia"/>
                      <w:szCs w:val="21"/>
                    </w:rPr>
                    <w:t>400</w:t>
                  </w:r>
                </w:p>
              </w:tc>
              <w:tc>
                <w:tcPr>
                  <w:tcW w:w="1656" w:type="dxa"/>
                  <w:tcBorders>
                    <w:tl2br w:val="nil"/>
                    <w:tr2bl w:val="nil"/>
                  </w:tcBorders>
                  <w:vAlign w:val="center"/>
                </w:tcPr>
                <w:p>
                  <w:pPr>
                    <w:adjustRightInd w:val="0"/>
                    <w:snapToGrid w:val="0"/>
                    <w:spacing w:line="360" w:lineRule="auto"/>
                    <w:jc w:val="center"/>
                    <w:rPr>
                      <w:rFonts w:cs="宋体"/>
                      <w:b/>
                      <w:szCs w:val="21"/>
                    </w:rPr>
                  </w:pPr>
                  <w:r>
                    <w:rPr>
                      <w:rFonts w:hint="eastAsia"/>
                      <w:szCs w:val="21"/>
                    </w:rPr>
                    <w:t>50</w:t>
                  </w:r>
                  <w:r>
                    <w:rPr>
                      <w:szCs w:val="21"/>
                    </w:rPr>
                    <w:t>×</w:t>
                  </w:r>
                  <w:r>
                    <w:rPr>
                      <w:rFonts w:hint="eastAsia"/>
                      <w:szCs w:val="21"/>
                    </w:rPr>
                    <w:t>12</w:t>
                  </w:r>
                  <w:r>
                    <w:rPr>
                      <w:szCs w:val="21"/>
                    </w:rPr>
                    <w:t>×</w:t>
                  </w:r>
                  <w:r>
                    <w:rPr>
                      <w:rFonts w:hint="eastAsia"/>
                      <w:szCs w:val="21"/>
                    </w:rPr>
                    <w:t>3</w:t>
                  </w:r>
                </w:p>
              </w:tc>
              <w:tc>
                <w:tcPr>
                  <w:tcW w:w="1828" w:type="dxa"/>
                  <w:tcBorders>
                    <w:tl2br w:val="nil"/>
                    <w:tr2bl w:val="nil"/>
                  </w:tcBorders>
                  <w:vAlign w:val="center"/>
                </w:tcPr>
                <w:p>
                  <w:pPr>
                    <w:adjustRightInd w:val="0"/>
                    <w:snapToGrid w:val="0"/>
                    <w:spacing w:line="360" w:lineRule="auto"/>
                    <w:jc w:val="center"/>
                    <w:rPr>
                      <w:rFonts w:cs="宋体"/>
                      <w:b/>
                      <w:szCs w:val="21"/>
                    </w:rPr>
                  </w:pPr>
                  <w:r>
                    <w:rPr>
                      <w:szCs w:val="21"/>
                    </w:rPr>
                    <w:t>用于安装油水分离设备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304" w:type="dxa"/>
                  <w:tcBorders>
                    <w:tl2br w:val="nil"/>
                    <w:tr2bl w:val="nil"/>
                  </w:tcBorders>
                  <w:vAlign w:val="center"/>
                </w:tcPr>
                <w:p>
                  <w:pPr>
                    <w:adjustRightInd w:val="0"/>
                    <w:snapToGrid w:val="0"/>
                    <w:spacing w:line="360" w:lineRule="auto"/>
                    <w:jc w:val="center"/>
                    <w:rPr>
                      <w:rFonts w:cs="宋体"/>
                      <w:b/>
                      <w:szCs w:val="21"/>
                    </w:rPr>
                  </w:pPr>
                  <w:r>
                    <w:rPr>
                      <w:szCs w:val="21"/>
                    </w:rPr>
                    <w:t>清源3号</w:t>
                  </w:r>
                </w:p>
              </w:tc>
              <w:tc>
                <w:tcPr>
                  <w:tcW w:w="1304" w:type="dxa"/>
                  <w:tcBorders>
                    <w:tl2br w:val="nil"/>
                    <w:tr2bl w:val="nil"/>
                  </w:tcBorders>
                  <w:vAlign w:val="center"/>
                </w:tcPr>
                <w:p>
                  <w:pPr>
                    <w:adjustRightInd w:val="0"/>
                    <w:snapToGrid w:val="0"/>
                    <w:spacing w:line="360" w:lineRule="auto"/>
                    <w:jc w:val="center"/>
                    <w:rPr>
                      <w:rFonts w:cs="宋体"/>
                      <w:b/>
                      <w:szCs w:val="21"/>
                    </w:rPr>
                  </w:pPr>
                  <w:r>
                    <w:rPr>
                      <w:rFonts w:hint="eastAsia"/>
                      <w:szCs w:val="21"/>
                    </w:rPr>
                    <w:t>污染物接收</w:t>
                  </w:r>
                  <w:r>
                    <w:rPr>
                      <w:szCs w:val="21"/>
                    </w:rPr>
                    <w:t>船</w:t>
                  </w:r>
                </w:p>
              </w:tc>
              <w:tc>
                <w:tcPr>
                  <w:tcW w:w="929" w:type="dxa"/>
                  <w:tcBorders>
                    <w:tl2br w:val="nil"/>
                    <w:tr2bl w:val="nil"/>
                  </w:tcBorders>
                  <w:vAlign w:val="center"/>
                </w:tcPr>
                <w:p>
                  <w:pPr>
                    <w:adjustRightInd w:val="0"/>
                    <w:snapToGrid w:val="0"/>
                    <w:spacing w:line="360" w:lineRule="auto"/>
                    <w:jc w:val="center"/>
                    <w:rPr>
                      <w:rFonts w:cs="宋体"/>
                      <w:b/>
                      <w:szCs w:val="21"/>
                    </w:rPr>
                  </w:pPr>
                  <w:r>
                    <w:rPr>
                      <w:rFonts w:hint="eastAsia"/>
                      <w:szCs w:val="21"/>
                    </w:rPr>
                    <w:t>305</w:t>
                  </w:r>
                </w:p>
              </w:tc>
              <w:tc>
                <w:tcPr>
                  <w:tcW w:w="805" w:type="dxa"/>
                  <w:tcBorders>
                    <w:tl2br w:val="nil"/>
                    <w:tr2bl w:val="nil"/>
                  </w:tcBorders>
                  <w:vAlign w:val="center"/>
                </w:tcPr>
                <w:p>
                  <w:pPr>
                    <w:adjustRightInd w:val="0"/>
                    <w:snapToGrid w:val="0"/>
                    <w:spacing w:line="360" w:lineRule="auto"/>
                    <w:jc w:val="center"/>
                    <w:rPr>
                      <w:rFonts w:cs="宋体"/>
                      <w:b/>
                      <w:szCs w:val="21"/>
                    </w:rPr>
                  </w:pPr>
                  <w:r>
                    <w:rPr>
                      <w:szCs w:val="21"/>
                    </w:rPr>
                    <w:t>1</w:t>
                  </w:r>
                  <w:r>
                    <w:rPr>
                      <w:rFonts w:hint="eastAsia"/>
                      <w:szCs w:val="21"/>
                    </w:rPr>
                    <w:t>64</w:t>
                  </w:r>
                </w:p>
              </w:tc>
              <w:tc>
                <w:tcPr>
                  <w:tcW w:w="1656" w:type="dxa"/>
                  <w:tcBorders>
                    <w:tl2br w:val="nil"/>
                    <w:tr2bl w:val="nil"/>
                  </w:tcBorders>
                  <w:vAlign w:val="center"/>
                </w:tcPr>
                <w:p>
                  <w:pPr>
                    <w:adjustRightInd w:val="0"/>
                    <w:snapToGrid w:val="0"/>
                    <w:spacing w:line="360" w:lineRule="auto"/>
                    <w:jc w:val="center"/>
                    <w:rPr>
                      <w:rFonts w:cs="宋体"/>
                      <w:b/>
                      <w:szCs w:val="21"/>
                    </w:rPr>
                  </w:pPr>
                  <w:r>
                    <w:rPr>
                      <w:szCs w:val="21"/>
                    </w:rPr>
                    <w:t>3</w:t>
                  </w:r>
                  <w:r>
                    <w:rPr>
                      <w:rFonts w:hint="eastAsia"/>
                      <w:szCs w:val="21"/>
                    </w:rPr>
                    <w:t>8</w:t>
                  </w:r>
                  <w:r>
                    <w:rPr>
                      <w:szCs w:val="21"/>
                    </w:rPr>
                    <w:t>×9×2.4</w:t>
                  </w:r>
                </w:p>
              </w:tc>
              <w:tc>
                <w:tcPr>
                  <w:tcW w:w="1828" w:type="dxa"/>
                  <w:tcBorders>
                    <w:tl2br w:val="nil"/>
                    <w:tr2bl w:val="nil"/>
                  </w:tcBorders>
                  <w:vAlign w:val="center"/>
                </w:tcPr>
                <w:p>
                  <w:pPr>
                    <w:adjustRightInd w:val="0"/>
                    <w:snapToGrid w:val="0"/>
                    <w:spacing w:line="360" w:lineRule="auto"/>
                    <w:jc w:val="center"/>
                    <w:rPr>
                      <w:rFonts w:cs="宋体"/>
                      <w:b/>
                      <w:szCs w:val="21"/>
                    </w:rPr>
                  </w:pPr>
                  <w:r>
                    <w:rPr>
                      <w:szCs w:val="21"/>
                    </w:rPr>
                    <w:t>用于</w:t>
                  </w:r>
                  <w:r>
                    <w:rPr>
                      <w:rFonts w:hint="eastAsia"/>
                      <w:szCs w:val="21"/>
                    </w:rPr>
                    <w:t>接收</w:t>
                  </w:r>
                  <w:r>
                    <w:rPr>
                      <w:szCs w:val="21"/>
                    </w:rPr>
                    <w:t>暂存含油废水、</w:t>
                  </w:r>
                  <w:r>
                    <w:rPr>
                      <w:rFonts w:hint="eastAsia"/>
                      <w:szCs w:val="21"/>
                    </w:rPr>
                    <w:t>废矿物油、</w:t>
                  </w:r>
                  <w:r>
                    <w:rPr>
                      <w:szCs w:val="21"/>
                    </w:rPr>
                    <w:t>生活污水、生活垃圾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304" w:type="dxa"/>
                  <w:tcBorders>
                    <w:tl2br w:val="nil"/>
                    <w:tr2bl w:val="nil"/>
                  </w:tcBorders>
                  <w:vAlign w:val="center"/>
                </w:tcPr>
                <w:p>
                  <w:pPr>
                    <w:adjustRightInd w:val="0"/>
                    <w:snapToGrid w:val="0"/>
                    <w:spacing w:line="360" w:lineRule="auto"/>
                    <w:jc w:val="center"/>
                    <w:rPr>
                      <w:rFonts w:cs="宋体"/>
                      <w:b/>
                      <w:szCs w:val="21"/>
                    </w:rPr>
                  </w:pPr>
                  <w:r>
                    <w:rPr>
                      <w:szCs w:val="21"/>
                    </w:rPr>
                    <w:t>清源5号</w:t>
                  </w:r>
                </w:p>
              </w:tc>
              <w:tc>
                <w:tcPr>
                  <w:tcW w:w="1304" w:type="dxa"/>
                  <w:tcBorders>
                    <w:tl2br w:val="nil"/>
                    <w:tr2bl w:val="nil"/>
                  </w:tcBorders>
                  <w:vAlign w:val="center"/>
                </w:tcPr>
                <w:p>
                  <w:pPr>
                    <w:adjustRightInd w:val="0"/>
                    <w:snapToGrid w:val="0"/>
                    <w:spacing w:line="360" w:lineRule="auto"/>
                    <w:jc w:val="center"/>
                    <w:rPr>
                      <w:rFonts w:cs="宋体"/>
                      <w:b/>
                      <w:szCs w:val="21"/>
                    </w:rPr>
                  </w:pPr>
                  <w:r>
                    <w:rPr>
                      <w:rFonts w:hint="eastAsia"/>
                      <w:szCs w:val="21"/>
                    </w:rPr>
                    <w:t>污染物接收</w:t>
                  </w:r>
                  <w:r>
                    <w:rPr>
                      <w:szCs w:val="21"/>
                    </w:rPr>
                    <w:t>船</w:t>
                  </w:r>
                </w:p>
              </w:tc>
              <w:tc>
                <w:tcPr>
                  <w:tcW w:w="929" w:type="dxa"/>
                  <w:tcBorders>
                    <w:tl2br w:val="nil"/>
                    <w:tr2bl w:val="nil"/>
                  </w:tcBorders>
                  <w:vAlign w:val="center"/>
                </w:tcPr>
                <w:p>
                  <w:pPr>
                    <w:adjustRightInd w:val="0"/>
                    <w:snapToGrid w:val="0"/>
                    <w:spacing w:line="360" w:lineRule="auto"/>
                    <w:jc w:val="center"/>
                    <w:rPr>
                      <w:rFonts w:cs="宋体"/>
                      <w:b/>
                      <w:szCs w:val="21"/>
                    </w:rPr>
                  </w:pPr>
                  <w:r>
                    <w:rPr>
                      <w:rFonts w:hint="eastAsia"/>
                      <w:szCs w:val="21"/>
                    </w:rPr>
                    <w:t>305</w:t>
                  </w:r>
                </w:p>
              </w:tc>
              <w:tc>
                <w:tcPr>
                  <w:tcW w:w="805" w:type="dxa"/>
                  <w:tcBorders>
                    <w:tl2br w:val="nil"/>
                    <w:tr2bl w:val="nil"/>
                  </w:tcBorders>
                  <w:vAlign w:val="center"/>
                </w:tcPr>
                <w:p>
                  <w:pPr>
                    <w:adjustRightInd w:val="0"/>
                    <w:snapToGrid w:val="0"/>
                    <w:spacing w:line="360" w:lineRule="auto"/>
                    <w:jc w:val="center"/>
                    <w:rPr>
                      <w:rFonts w:cs="宋体"/>
                      <w:b/>
                      <w:szCs w:val="21"/>
                    </w:rPr>
                  </w:pPr>
                  <w:r>
                    <w:rPr>
                      <w:szCs w:val="21"/>
                    </w:rPr>
                    <w:t>1</w:t>
                  </w:r>
                  <w:r>
                    <w:rPr>
                      <w:rFonts w:hint="eastAsia"/>
                      <w:szCs w:val="21"/>
                    </w:rPr>
                    <w:t>64</w:t>
                  </w:r>
                </w:p>
              </w:tc>
              <w:tc>
                <w:tcPr>
                  <w:tcW w:w="1656" w:type="dxa"/>
                  <w:tcBorders>
                    <w:tl2br w:val="nil"/>
                    <w:tr2bl w:val="nil"/>
                  </w:tcBorders>
                  <w:vAlign w:val="center"/>
                </w:tcPr>
                <w:p>
                  <w:pPr>
                    <w:adjustRightInd w:val="0"/>
                    <w:snapToGrid w:val="0"/>
                    <w:spacing w:line="360" w:lineRule="auto"/>
                    <w:jc w:val="center"/>
                    <w:rPr>
                      <w:rFonts w:cs="宋体"/>
                      <w:b/>
                      <w:szCs w:val="21"/>
                    </w:rPr>
                  </w:pPr>
                  <w:r>
                    <w:rPr>
                      <w:szCs w:val="21"/>
                    </w:rPr>
                    <w:t>3</w:t>
                  </w:r>
                  <w:r>
                    <w:rPr>
                      <w:rFonts w:hint="eastAsia"/>
                      <w:szCs w:val="21"/>
                    </w:rPr>
                    <w:t>8</w:t>
                  </w:r>
                  <w:r>
                    <w:rPr>
                      <w:szCs w:val="21"/>
                    </w:rPr>
                    <w:t>×</w:t>
                  </w:r>
                  <w:r>
                    <w:rPr>
                      <w:rFonts w:hint="eastAsia"/>
                      <w:szCs w:val="21"/>
                    </w:rPr>
                    <w:t>9</w:t>
                  </w:r>
                  <w:r>
                    <w:rPr>
                      <w:szCs w:val="21"/>
                    </w:rPr>
                    <w:t>×2.4</w:t>
                  </w:r>
                </w:p>
              </w:tc>
              <w:tc>
                <w:tcPr>
                  <w:tcW w:w="1828" w:type="dxa"/>
                  <w:tcBorders>
                    <w:tl2br w:val="nil"/>
                    <w:tr2bl w:val="nil"/>
                  </w:tcBorders>
                  <w:vAlign w:val="center"/>
                </w:tcPr>
                <w:p>
                  <w:pPr>
                    <w:adjustRightInd w:val="0"/>
                    <w:snapToGrid w:val="0"/>
                    <w:spacing w:line="360" w:lineRule="auto"/>
                    <w:jc w:val="center"/>
                    <w:rPr>
                      <w:rFonts w:cs="宋体"/>
                      <w:b/>
                      <w:szCs w:val="21"/>
                    </w:rPr>
                  </w:pPr>
                  <w:r>
                    <w:rPr>
                      <w:szCs w:val="21"/>
                    </w:rPr>
                    <w:t>用于</w:t>
                  </w:r>
                  <w:r>
                    <w:rPr>
                      <w:rFonts w:hint="eastAsia"/>
                      <w:szCs w:val="21"/>
                    </w:rPr>
                    <w:t>接收</w:t>
                  </w:r>
                  <w:r>
                    <w:rPr>
                      <w:szCs w:val="21"/>
                    </w:rPr>
                    <w:t>暂存含油废水、</w:t>
                  </w:r>
                  <w:r>
                    <w:rPr>
                      <w:rFonts w:hint="eastAsia"/>
                      <w:szCs w:val="21"/>
                    </w:rPr>
                    <w:t>废矿物油、</w:t>
                  </w:r>
                  <w:r>
                    <w:rPr>
                      <w:szCs w:val="21"/>
                    </w:rPr>
                    <w:t>生活污水、生活垃圾</w:t>
                  </w:r>
                </w:p>
              </w:tc>
            </w:tr>
          </w:tbl>
          <w:p>
            <w:pPr>
              <w:pStyle w:val="2"/>
              <w:jc w:val="center"/>
            </w:pPr>
            <w:r>
              <w:rPr>
                <w:rFonts w:hint="eastAsia" w:cs="宋体"/>
                <w:b/>
                <w:szCs w:val="21"/>
              </w:rPr>
              <w:t>表</w:t>
            </w:r>
            <w:r>
              <w:rPr>
                <w:rFonts w:hint="eastAsia"/>
                <w:b/>
                <w:szCs w:val="21"/>
              </w:rPr>
              <w:t>2-9一期</w:t>
            </w:r>
            <w:r>
              <w:rPr>
                <w:rFonts w:hint="eastAsia" w:cs="宋体"/>
                <w:b/>
                <w:szCs w:val="21"/>
              </w:rPr>
              <w:t>回收废机油专用船船舱吨位</w:t>
            </w:r>
          </w:p>
          <w:tbl>
            <w:tblPr>
              <w:tblStyle w:val="24"/>
              <w:tblW w:w="765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553"/>
              <w:gridCol w:w="2552"/>
              <w:gridCol w:w="255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舱型</w:t>
                  </w: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个数</w:t>
                  </w:r>
                  <w:r>
                    <w:rPr>
                      <w:rFonts w:hint="eastAsia" w:ascii="Times New Roman" w:hAnsi="Times New Roman" w:cs="Times New Roman"/>
                      <w:kern w:val="2"/>
                      <w:sz w:val="21"/>
                      <w:szCs w:val="21"/>
                    </w:rPr>
                    <w:t>（个）</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吨位</w:t>
                  </w:r>
                  <w:r>
                    <w:rPr>
                      <w:rFonts w:hint="eastAsia" w:ascii="Times New Roman" w:hAnsi="Times New Roman" w:cs="Times New Roman"/>
                      <w:kern w:val="2"/>
                      <w:sz w:val="21"/>
                      <w:szCs w:val="21"/>
                    </w:rPr>
                    <w:t>（t）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7658" w:type="dxa"/>
                  <w:gridSpan w:val="3"/>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hint="eastAsia" w:ascii="Times New Roman" w:hAnsi="Times New Roman" w:cs="Times New Roman"/>
                      <w:b/>
                      <w:bCs/>
                      <w:kern w:val="2"/>
                      <w:sz w:val="21"/>
                      <w:szCs w:val="21"/>
                    </w:rPr>
                    <w:t>现有部分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7658" w:type="dxa"/>
                  <w:gridSpan w:val="3"/>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湘岳阳油1129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sz w:val="21"/>
                      <w:szCs w:val="21"/>
                    </w:rPr>
                  </w:pPr>
                  <w:r>
                    <w:rPr>
                      <w:rFonts w:ascii="Times New Roman" w:hAnsi="Times New Roman" w:cs="Times New Roman"/>
                      <w:kern w:val="2"/>
                      <w:sz w:val="21"/>
                      <w:szCs w:val="21"/>
                    </w:rPr>
                    <w:t>安全气舱</w:t>
                  </w: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sz w:val="21"/>
                      <w:szCs w:val="21"/>
                    </w:rPr>
                  </w:pPr>
                  <w:r>
                    <w:rPr>
                      <w:rFonts w:ascii="Times New Roman" w:hAnsi="Times New Roman" w:cs="Times New Roman"/>
                      <w:kern w:val="2"/>
                      <w:sz w:val="21"/>
                      <w:szCs w:val="21"/>
                    </w:rPr>
                    <w:t>8</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sz w:val="21"/>
                      <w:szCs w:val="21"/>
                    </w:rPr>
                  </w:pPr>
                  <w:r>
                    <w:rPr>
                      <w:rFonts w:ascii="Times New Roman" w:hAnsi="Times New Roman" w:cs="Times New Roman"/>
                      <w:kern w:val="2"/>
                      <w:sz w:val="21"/>
                      <w:szCs w:val="21"/>
                    </w:rPr>
                    <w:t>16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2553" w:type="dxa"/>
                  <w:vMerge w:val="restart"/>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sz w:val="21"/>
                      <w:szCs w:val="21"/>
                    </w:rPr>
                  </w:pPr>
                  <w:r>
                    <w:rPr>
                      <w:rFonts w:ascii="Times New Roman" w:hAnsi="Times New Roman" w:cs="Times New Roman"/>
                      <w:kern w:val="2"/>
                      <w:sz w:val="21"/>
                      <w:szCs w:val="21"/>
                    </w:rPr>
                    <w:t>油舱</w:t>
                  </w:r>
                </w:p>
                <w:p>
                  <w:pPr>
                    <w:jc w:val="center"/>
                    <w:rPr>
                      <w:szCs w:val="21"/>
                    </w:rPr>
                  </w:pPr>
                </w:p>
                <w:p>
                  <w:pPr>
                    <w:jc w:val="center"/>
                    <w:rPr>
                      <w:szCs w:val="21"/>
                    </w:rPr>
                  </w:pP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sz w:val="21"/>
                      <w:szCs w:val="21"/>
                    </w:rPr>
                  </w:pPr>
                  <w:r>
                    <w:rPr>
                      <w:rFonts w:ascii="Times New Roman" w:hAnsi="Times New Roman" w:cs="Times New Roman"/>
                      <w:kern w:val="2"/>
                      <w:sz w:val="21"/>
                      <w:szCs w:val="21"/>
                    </w:rPr>
                    <w:t>1</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sz w:val="21"/>
                      <w:szCs w:val="21"/>
                    </w:rPr>
                  </w:pPr>
                  <w:r>
                    <w:rPr>
                      <w:rFonts w:ascii="Times New Roman" w:hAnsi="Times New Roman" w:cs="Times New Roman"/>
                      <w:kern w:val="2"/>
                      <w:sz w:val="21"/>
                      <w:szCs w:val="21"/>
                    </w:rPr>
                    <w:t>18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2553" w:type="dxa"/>
                  <w:vMerge w:val="continue"/>
                  <w:tcBorders>
                    <w:tl2br w:val="nil"/>
                    <w:tr2bl w:val="nil"/>
                  </w:tcBorders>
                  <w:noWrap/>
                  <w:vAlign w:val="center"/>
                </w:tcPr>
                <w:p>
                  <w:pPr>
                    <w:jc w:val="center"/>
                    <w:rPr>
                      <w:szCs w:val="21"/>
                    </w:rPr>
                  </w:pP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sz w:val="21"/>
                      <w:szCs w:val="21"/>
                    </w:rPr>
                  </w:pPr>
                  <w:r>
                    <w:rPr>
                      <w:rFonts w:ascii="Times New Roman" w:hAnsi="Times New Roman" w:cs="Times New Roman"/>
                      <w:kern w:val="2"/>
                      <w:sz w:val="21"/>
                      <w:szCs w:val="21"/>
                    </w:rPr>
                    <w:t>1</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sz w:val="21"/>
                      <w:szCs w:val="21"/>
                    </w:rPr>
                  </w:pPr>
                  <w:r>
                    <w:rPr>
                      <w:rFonts w:ascii="Times New Roman" w:hAnsi="Times New Roman" w:cs="Times New Roman"/>
                      <w:kern w:val="2"/>
                      <w:sz w:val="21"/>
                      <w:szCs w:val="21"/>
                    </w:rPr>
                    <w:t>17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2553" w:type="dxa"/>
                  <w:vMerge w:val="continue"/>
                  <w:tcBorders>
                    <w:tl2br w:val="nil"/>
                    <w:tr2bl w:val="nil"/>
                  </w:tcBorders>
                  <w:noWrap/>
                  <w:vAlign w:val="center"/>
                </w:tcPr>
                <w:p>
                  <w:pPr>
                    <w:jc w:val="center"/>
                    <w:rPr>
                      <w:szCs w:val="21"/>
                    </w:rPr>
                  </w:pP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sz w:val="21"/>
                      <w:szCs w:val="21"/>
                    </w:rPr>
                  </w:pPr>
                  <w:r>
                    <w:rPr>
                      <w:rFonts w:ascii="Times New Roman" w:hAnsi="Times New Roman" w:cs="Times New Roman"/>
                      <w:kern w:val="2"/>
                      <w:sz w:val="21"/>
                      <w:szCs w:val="21"/>
                    </w:rPr>
                    <w:t>4</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sz w:val="21"/>
                      <w:szCs w:val="21"/>
                    </w:rPr>
                  </w:pPr>
                  <w:r>
                    <w:rPr>
                      <w:rFonts w:ascii="Times New Roman" w:hAnsi="Times New Roman" w:cs="Times New Roman"/>
                      <w:kern w:val="2"/>
                      <w:sz w:val="21"/>
                      <w:szCs w:val="21"/>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7658" w:type="dxa"/>
                  <w:gridSpan w:val="3"/>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hint="eastAsia" w:ascii="Times New Roman" w:hAnsi="Times New Roman" w:cs="Times New Roman"/>
                      <w:b/>
                      <w:bCs/>
                      <w:kern w:val="2"/>
                      <w:sz w:val="21"/>
                      <w:szCs w:val="21"/>
                    </w:rPr>
                    <w:t>一期建设部分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7658" w:type="dxa"/>
                  <w:gridSpan w:val="3"/>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清源2号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2553" w:type="dxa"/>
                  <w:tcBorders>
                    <w:tl2br w:val="nil"/>
                    <w:tr2bl w:val="nil"/>
                  </w:tcBorders>
                  <w:noWrap/>
                  <w:vAlign w:val="center"/>
                </w:tcPr>
                <w:p>
                  <w:pPr>
                    <w:jc w:val="center"/>
                    <w:rPr>
                      <w:szCs w:val="21"/>
                    </w:rPr>
                  </w:pPr>
                  <w:r>
                    <w:rPr>
                      <w:szCs w:val="21"/>
                    </w:rPr>
                    <w:t>安全气舱</w:t>
                  </w: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8</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40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2553" w:type="dxa"/>
                  <w:tcBorders>
                    <w:tl2br w:val="nil"/>
                    <w:tr2bl w:val="nil"/>
                  </w:tcBorders>
                  <w:noWrap/>
                  <w:vAlign w:val="center"/>
                </w:tcPr>
                <w:p>
                  <w:pPr>
                    <w:jc w:val="center"/>
                    <w:rPr>
                      <w:szCs w:val="21"/>
                    </w:rPr>
                  </w:pPr>
                  <w:r>
                    <w:rPr>
                      <w:szCs w:val="21"/>
                    </w:rPr>
                    <w:t>油舱</w:t>
                  </w: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2</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35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2553" w:type="dxa"/>
                  <w:tcBorders>
                    <w:tl2br w:val="nil"/>
                    <w:tr2bl w:val="nil"/>
                  </w:tcBorders>
                  <w:noWrap/>
                  <w:vAlign w:val="center"/>
                </w:tcPr>
                <w:p>
                  <w:pPr>
                    <w:jc w:val="center"/>
                    <w:rPr>
                      <w:szCs w:val="21"/>
                    </w:rPr>
                  </w:pPr>
                  <w:r>
                    <w:rPr>
                      <w:szCs w:val="21"/>
                    </w:rPr>
                    <w:t>生活污水舱</w:t>
                  </w: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2</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60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553" w:type="dxa"/>
                  <w:tcBorders>
                    <w:tl2br w:val="nil"/>
                    <w:tr2bl w:val="nil"/>
                  </w:tcBorders>
                  <w:noWrap/>
                  <w:vAlign w:val="center"/>
                </w:tcPr>
                <w:p>
                  <w:pPr>
                    <w:jc w:val="center"/>
                    <w:rPr>
                      <w:szCs w:val="21"/>
                    </w:rPr>
                  </w:pPr>
                  <w:r>
                    <w:rPr>
                      <w:szCs w:val="21"/>
                    </w:rPr>
                    <w:t>垃圾贮存箱</w:t>
                  </w: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3</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658" w:type="dxa"/>
                  <w:gridSpan w:val="3"/>
                  <w:tcBorders>
                    <w:tl2br w:val="nil"/>
                    <w:tr2bl w:val="nil"/>
                  </w:tcBorders>
                  <w:noWrap/>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岳阳交通06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553" w:type="dxa"/>
                  <w:tcBorders>
                    <w:tl2br w:val="nil"/>
                    <w:tr2bl w:val="nil"/>
                  </w:tcBorders>
                  <w:noWrap/>
                  <w:vAlign w:val="center"/>
                </w:tcPr>
                <w:p>
                  <w:pPr>
                    <w:jc w:val="center"/>
                    <w:rPr>
                      <w:szCs w:val="21"/>
                    </w:rPr>
                  </w:pPr>
                  <w:r>
                    <w:rPr>
                      <w:szCs w:val="21"/>
                    </w:rPr>
                    <w:t>安全气舱</w:t>
                  </w: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4</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12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553" w:type="dxa"/>
                  <w:tcBorders>
                    <w:tl2br w:val="nil"/>
                    <w:tr2bl w:val="nil"/>
                  </w:tcBorders>
                  <w:noWrap/>
                  <w:vAlign w:val="center"/>
                </w:tcPr>
                <w:p>
                  <w:pPr>
                    <w:jc w:val="center"/>
                    <w:rPr>
                      <w:szCs w:val="21"/>
                    </w:rPr>
                  </w:pPr>
                  <w:r>
                    <w:rPr>
                      <w:szCs w:val="21"/>
                    </w:rPr>
                    <w:t>生活污水贮存舱</w:t>
                  </w: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1</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553" w:type="dxa"/>
                  <w:tcBorders>
                    <w:tl2br w:val="nil"/>
                    <w:tr2bl w:val="nil"/>
                  </w:tcBorders>
                  <w:noWrap/>
                  <w:vAlign w:val="center"/>
                </w:tcPr>
                <w:p>
                  <w:pPr>
                    <w:jc w:val="center"/>
                    <w:rPr>
                      <w:szCs w:val="21"/>
                    </w:rPr>
                  </w:pPr>
                  <w:r>
                    <w:rPr>
                      <w:szCs w:val="21"/>
                    </w:rPr>
                    <w:t>生活垃圾贮存舱</w:t>
                  </w: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2</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7658" w:type="dxa"/>
                  <w:gridSpan w:val="3"/>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hint="eastAsia" w:ascii="Times New Roman" w:hAnsi="Times New Roman" w:cs="Times New Roman"/>
                      <w:b/>
                      <w:bCs/>
                      <w:kern w:val="2"/>
                      <w:sz w:val="21"/>
                      <w:szCs w:val="21"/>
                    </w:rPr>
                    <w:t>二期新建部分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7658" w:type="dxa"/>
                  <w:gridSpan w:val="3"/>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清源3号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553" w:type="dxa"/>
                  <w:tcBorders>
                    <w:tl2br w:val="nil"/>
                    <w:tr2bl w:val="nil"/>
                  </w:tcBorders>
                  <w:noWrap/>
                  <w:vAlign w:val="center"/>
                </w:tcPr>
                <w:p>
                  <w:pPr>
                    <w:jc w:val="center"/>
                    <w:rPr>
                      <w:szCs w:val="21"/>
                    </w:rPr>
                  </w:pPr>
                  <w:r>
                    <w:rPr>
                      <w:szCs w:val="21"/>
                    </w:rPr>
                    <w:t>安全气舱</w:t>
                  </w: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8</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60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2553" w:type="dxa"/>
                  <w:tcBorders>
                    <w:tl2br w:val="nil"/>
                    <w:tr2bl w:val="nil"/>
                  </w:tcBorders>
                  <w:noWrap/>
                  <w:vAlign w:val="center"/>
                </w:tcPr>
                <w:p>
                  <w:pPr>
                    <w:jc w:val="center"/>
                    <w:rPr>
                      <w:szCs w:val="21"/>
                    </w:rPr>
                  </w:pPr>
                  <w:r>
                    <w:rPr>
                      <w:szCs w:val="21"/>
                    </w:rPr>
                    <w:t>油舱</w:t>
                  </w: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2</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100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2553" w:type="dxa"/>
                  <w:tcBorders>
                    <w:tl2br w:val="nil"/>
                    <w:tr2bl w:val="nil"/>
                  </w:tcBorders>
                  <w:noWrap/>
                  <w:vAlign w:val="center"/>
                </w:tcPr>
                <w:p>
                  <w:pPr>
                    <w:jc w:val="center"/>
                    <w:rPr>
                      <w:szCs w:val="21"/>
                    </w:rPr>
                  </w:pPr>
                  <w:r>
                    <w:rPr>
                      <w:szCs w:val="21"/>
                    </w:rPr>
                    <w:t>生活污水舱</w:t>
                  </w: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2</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190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2553" w:type="dxa"/>
                  <w:tcBorders>
                    <w:tl2br w:val="nil"/>
                    <w:tr2bl w:val="nil"/>
                  </w:tcBorders>
                  <w:noWrap/>
                  <w:vAlign w:val="center"/>
                </w:tcPr>
                <w:p>
                  <w:pPr>
                    <w:jc w:val="center"/>
                    <w:rPr>
                      <w:szCs w:val="21"/>
                    </w:rPr>
                  </w:pPr>
                  <w:r>
                    <w:rPr>
                      <w:szCs w:val="21"/>
                    </w:rPr>
                    <w:t>垃圾贮存箱</w:t>
                  </w: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3</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7658" w:type="dxa"/>
                  <w:gridSpan w:val="3"/>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清源5号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2553" w:type="dxa"/>
                  <w:tcBorders>
                    <w:tl2br w:val="nil"/>
                    <w:tr2bl w:val="nil"/>
                  </w:tcBorders>
                  <w:noWrap/>
                  <w:vAlign w:val="center"/>
                </w:tcPr>
                <w:p>
                  <w:pPr>
                    <w:jc w:val="center"/>
                    <w:rPr>
                      <w:szCs w:val="21"/>
                    </w:rPr>
                  </w:pPr>
                  <w:r>
                    <w:rPr>
                      <w:szCs w:val="21"/>
                    </w:rPr>
                    <w:t>安全气舱</w:t>
                  </w: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8</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60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2553" w:type="dxa"/>
                  <w:tcBorders>
                    <w:tl2br w:val="nil"/>
                    <w:tr2bl w:val="nil"/>
                  </w:tcBorders>
                  <w:noWrap/>
                  <w:vAlign w:val="center"/>
                </w:tcPr>
                <w:p>
                  <w:pPr>
                    <w:jc w:val="center"/>
                    <w:rPr>
                      <w:szCs w:val="21"/>
                    </w:rPr>
                  </w:pPr>
                  <w:r>
                    <w:rPr>
                      <w:szCs w:val="21"/>
                    </w:rPr>
                    <w:t>油舱</w:t>
                  </w: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2</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100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2553" w:type="dxa"/>
                  <w:tcBorders>
                    <w:tl2br w:val="nil"/>
                    <w:tr2bl w:val="nil"/>
                  </w:tcBorders>
                  <w:noWrap/>
                  <w:vAlign w:val="center"/>
                </w:tcPr>
                <w:p>
                  <w:pPr>
                    <w:jc w:val="center"/>
                    <w:rPr>
                      <w:szCs w:val="21"/>
                    </w:rPr>
                  </w:pPr>
                  <w:r>
                    <w:rPr>
                      <w:szCs w:val="21"/>
                    </w:rPr>
                    <w:t>生活污水舱</w:t>
                  </w: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2</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190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2553" w:type="dxa"/>
                  <w:tcBorders>
                    <w:tl2br w:val="nil"/>
                    <w:tr2bl w:val="nil"/>
                  </w:tcBorders>
                  <w:noWrap/>
                  <w:vAlign w:val="center"/>
                </w:tcPr>
                <w:p>
                  <w:pPr>
                    <w:jc w:val="center"/>
                    <w:rPr>
                      <w:szCs w:val="21"/>
                    </w:rPr>
                  </w:pPr>
                  <w:r>
                    <w:rPr>
                      <w:szCs w:val="21"/>
                    </w:rPr>
                    <w:t>垃圾贮存箱</w:t>
                  </w: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3</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658" w:type="dxa"/>
                  <w:gridSpan w:val="3"/>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hint="eastAsia" w:ascii="Times New Roman" w:hAnsi="Times New Roman" w:cs="Times New Roman"/>
                      <w:kern w:val="2"/>
                      <w:sz w:val="21"/>
                      <w:szCs w:val="21"/>
                    </w:rPr>
                    <w:t>油水分离船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553" w:type="dxa"/>
                  <w:tcBorders>
                    <w:tl2br w:val="nil"/>
                    <w:tr2bl w:val="nil"/>
                  </w:tcBorders>
                  <w:noWrap/>
                  <w:vAlign w:val="center"/>
                </w:tcPr>
                <w:p>
                  <w:pPr>
                    <w:jc w:val="center"/>
                    <w:rPr>
                      <w:szCs w:val="21"/>
                    </w:rPr>
                  </w:pPr>
                  <w:r>
                    <w:rPr>
                      <w:szCs w:val="21"/>
                    </w:rPr>
                    <w:t>安全气舱</w:t>
                  </w: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8</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60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553" w:type="dxa"/>
                  <w:tcBorders>
                    <w:tl2br w:val="nil"/>
                    <w:tr2bl w:val="nil"/>
                  </w:tcBorders>
                  <w:noWrap/>
                  <w:vAlign w:val="center"/>
                </w:tcPr>
                <w:p>
                  <w:pPr>
                    <w:jc w:val="center"/>
                    <w:rPr>
                      <w:szCs w:val="21"/>
                    </w:rPr>
                  </w:pPr>
                  <w:r>
                    <w:rPr>
                      <w:szCs w:val="21"/>
                    </w:rPr>
                    <w:t>油舱</w:t>
                  </w: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2</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100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553" w:type="dxa"/>
                  <w:tcBorders>
                    <w:tl2br w:val="nil"/>
                    <w:tr2bl w:val="nil"/>
                  </w:tcBorders>
                  <w:noWrap/>
                  <w:vAlign w:val="center"/>
                </w:tcPr>
                <w:p>
                  <w:pPr>
                    <w:jc w:val="center"/>
                    <w:rPr>
                      <w:szCs w:val="21"/>
                    </w:rPr>
                  </w:pPr>
                  <w:r>
                    <w:rPr>
                      <w:szCs w:val="21"/>
                    </w:rPr>
                    <w:t>生活污水舱</w:t>
                  </w: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2</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190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553" w:type="dxa"/>
                  <w:vAlign w:val="center"/>
                </w:tcPr>
                <w:p>
                  <w:pPr>
                    <w:jc w:val="center"/>
                    <w:rPr>
                      <w:szCs w:val="21"/>
                    </w:rPr>
                  </w:pPr>
                  <w:r>
                    <w:rPr>
                      <w:szCs w:val="21"/>
                    </w:rPr>
                    <w:t>垃圾贮存箱</w:t>
                  </w:r>
                </w:p>
              </w:tc>
              <w:tc>
                <w:tcPr>
                  <w:tcW w:w="2552" w:type="dxa"/>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3</w:t>
                  </w:r>
                </w:p>
              </w:tc>
              <w:tc>
                <w:tcPr>
                  <w:tcW w:w="2553" w:type="dxa"/>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3</w:t>
                  </w:r>
                </w:p>
              </w:tc>
            </w:tr>
          </w:tbl>
          <w:p>
            <w:pPr>
              <w:adjustRightInd w:val="0"/>
              <w:snapToGrid w:val="0"/>
              <w:spacing w:line="360" w:lineRule="auto"/>
              <w:rPr>
                <w:sz w:val="24"/>
                <w:szCs w:val="24"/>
                <w:u w:val="single"/>
              </w:rPr>
            </w:pPr>
            <w:r>
              <w:rPr>
                <w:rFonts w:hint="eastAsia"/>
                <w:b/>
                <w:bCs/>
                <w:sz w:val="24"/>
                <w:szCs w:val="24"/>
              </w:rPr>
              <w:t xml:space="preserve">  </w:t>
            </w:r>
            <w:r>
              <w:rPr>
                <w:rFonts w:hint="eastAsia"/>
                <w:b/>
                <w:bCs/>
                <w:sz w:val="24"/>
                <w:szCs w:val="24"/>
                <w:u w:val="single"/>
              </w:rPr>
              <w:t xml:space="preserve">  </w:t>
            </w:r>
            <w:r>
              <w:rPr>
                <w:rFonts w:hint="eastAsia"/>
                <w:b w:val="0"/>
                <w:bCs w:val="0"/>
                <w:sz w:val="24"/>
                <w:szCs w:val="24"/>
                <w:u w:val="single"/>
                <w:lang w:eastAsia="zh-CN"/>
              </w:rPr>
              <w:t>项目应急船和油水分离船不进行外出参与收集，但油水分离船储存污染物，则</w:t>
            </w:r>
            <w:r>
              <w:rPr>
                <w:rFonts w:hint="eastAsia"/>
                <w:sz w:val="24"/>
                <w:szCs w:val="24"/>
                <w:u w:val="single"/>
              </w:rPr>
              <w:t>项目</w:t>
            </w:r>
            <w:r>
              <w:rPr>
                <w:rFonts w:hint="eastAsia"/>
                <w:sz w:val="24"/>
                <w:szCs w:val="24"/>
                <w:u w:val="single"/>
                <w:lang w:val="en-US" w:eastAsia="zh-CN"/>
              </w:rPr>
              <w:t>5</w:t>
            </w:r>
            <w:r>
              <w:rPr>
                <w:rFonts w:hint="eastAsia"/>
                <w:sz w:val="24"/>
                <w:szCs w:val="24"/>
                <w:u w:val="single"/>
              </w:rPr>
              <w:t>条船舶油舱</w:t>
            </w:r>
            <w:r>
              <w:rPr>
                <w:rFonts w:hint="eastAsia"/>
                <w:sz w:val="24"/>
                <w:szCs w:val="24"/>
                <w:u w:val="single"/>
                <w:lang w:val="en-US" w:eastAsia="zh-CN"/>
              </w:rPr>
              <w:t>335</w:t>
            </w:r>
            <w:r>
              <w:rPr>
                <w:rFonts w:hint="eastAsia"/>
                <w:sz w:val="24"/>
                <w:szCs w:val="24"/>
                <w:u w:val="single"/>
              </w:rPr>
              <w:t>t、污水舱</w:t>
            </w:r>
            <w:r>
              <w:rPr>
                <w:rFonts w:hint="eastAsia"/>
                <w:sz w:val="24"/>
                <w:szCs w:val="24"/>
                <w:u w:val="single"/>
                <w:lang w:val="en-US" w:eastAsia="zh-CN"/>
              </w:rPr>
              <w:t>640</w:t>
            </w:r>
            <w:r>
              <w:rPr>
                <w:rFonts w:hint="eastAsia"/>
                <w:sz w:val="24"/>
                <w:szCs w:val="24"/>
                <w:u w:val="single"/>
              </w:rPr>
              <w:t>t，项目污水为每六天处理一次，恶劣天气除外，则项目一年转运52次，污水舱容积按达到80%计算，则年转运污水量可达26624t/a，污水舱能满足项目19300t污水接收量转运。项目废机油年转运次数为5次，油舱容积按达到80%计算，则年转运废机油量可达</w:t>
            </w:r>
            <w:r>
              <w:rPr>
                <w:rFonts w:hint="eastAsia"/>
                <w:sz w:val="24"/>
                <w:szCs w:val="24"/>
                <w:u w:val="single"/>
                <w:lang w:val="en-US" w:eastAsia="zh-CN"/>
              </w:rPr>
              <w:t>1340</w:t>
            </w:r>
            <w:r>
              <w:rPr>
                <w:rFonts w:hint="eastAsia"/>
                <w:sz w:val="24"/>
                <w:szCs w:val="24"/>
                <w:u w:val="single"/>
              </w:rPr>
              <w:t>t/a，能够满足项目1000t废机油接收量转运。船舶垃圾暂存箱可暂存38t，项目每三天转运一次，年转运次数为122次，则可转运量为3708.8t，能够满足项目船舶垃圾600t的转运。</w:t>
            </w:r>
          </w:p>
          <w:p>
            <w:pPr>
              <w:adjustRightInd w:val="0"/>
              <w:snapToGrid w:val="0"/>
              <w:spacing w:line="360" w:lineRule="auto"/>
              <w:rPr>
                <w:b/>
                <w:bCs/>
                <w:sz w:val="24"/>
                <w:szCs w:val="24"/>
              </w:rPr>
            </w:pPr>
            <w:r>
              <w:rPr>
                <w:rFonts w:hint="eastAsia"/>
                <w:b/>
                <w:bCs/>
                <w:sz w:val="24"/>
                <w:szCs w:val="24"/>
              </w:rPr>
              <w:t>其他设备：</w:t>
            </w:r>
          </w:p>
          <w:p>
            <w:pPr>
              <w:pStyle w:val="23"/>
              <w:ind w:left="0" w:leftChars="0" w:firstLine="0" w:firstLineChars="0"/>
              <w:jc w:val="center"/>
              <w:rPr>
                <w:b/>
                <w:bCs/>
                <w:szCs w:val="21"/>
              </w:rPr>
            </w:pPr>
            <w:r>
              <w:rPr>
                <w:rFonts w:hint="eastAsia"/>
                <w:b/>
                <w:bCs/>
                <w:szCs w:val="21"/>
              </w:rPr>
              <w:t>表2-10  其他设备一览表</w:t>
            </w:r>
          </w:p>
          <w:tbl>
            <w:tblPr>
              <w:tblStyle w:val="25"/>
              <w:tblW w:w="782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608"/>
              <w:gridCol w:w="4274"/>
              <w:gridCol w:w="94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djustRightInd w:val="0"/>
                    <w:snapToGrid w:val="0"/>
                    <w:spacing w:line="360" w:lineRule="auto"/>
                    <w:jc w:val="center"/>
                    <w:rPr>
                      <w:b/>
                      <w:bCs/>
                      <w:szCs w:val="21"/>
                    </w:rPr>
                  </w:pPr>
                  <w:r>
                    <w:rPr>
                      <w:rFonts w:hint="eastAsia"/>
                      <w:b/>
                      <w:bCs/>
                      <w:szCs w:val="21"/>
                    </w:rPr>
                    <w:t>名称</w:t>
                  </w:r>
                </w:p>
              </w:tc>
              <w:tc>
                <w:tcPr>
                  <w:tcW w:w="4274" w:type="dxa"/>
                  <w:tcBorders>
                    <w:tl2br w:val="nil"/>
                    <w:tr2bl w:val="nil"/>
                  </w:tcBorders>
                  <w:vAlign w:val="center"/>
                </w:tcPr>
                <w:p>
                  <w:pPr>
                    <w:adjustRightInd w:val="0"/>
                    <w:snapToGrid w:val="0"/>
                    <w:spacing w:line="360" w:lineRule="auto"/>
                    <w:jc w:val="center"/>
                    <w:rPr>
                      <w:b/>
                      <w:bCs/>
                      <w:szCs w:val="21"/>
                    </w:rPr>
                  </w:pPr>
                  <w:r>
                    <w:rPr>
                      <w:rFonts w:hint="eastAsia"/>
                      <w:b/>
                      <w:bCs/>
                      <w:szCs w:val="21"/>
                    </w:rPr>
                    <w:t>数量</w:t>
                  </w:r>
                </w:p>
              </w:tc>
              <w:tc>
                <w:tcPr>
                  <w:tcW w:w="944" w:type="dxa"/>
                  <w:tcBorders>
                    <w:tl2br w:val="nil"/>
                    <w:tr2bl w:val="nil"/>
                  </w:tcBorders>
                  <w:vAlign w:val="center"/>
                </w:tcPr>
                <w:p>
                  <w:pPr>
                    <w:adjustRightInd w:val="0"/>
                    <w:snapToGrid w:val="0"/>
                    <w:spacing w:line="360" w:lineRule="auto"/>
                    <w:jc w:val="center"/>
                    <w:rPr>
                      <w:b/>
                      <w:bCs/>
                      <w:szCs w:val="21"/>
                    </w:rPr>
                  </w:pPr>
                  <w:r>
                    <w:rPr>
                      <w:rFonts w:hint="eastAsia"/>
                      <w:b/>
                      <w:bCs/>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826" w:type="dxa"/>
                  <w:gridSpan w:val="3"/>
                  <w:tcBorders>
                    <w:tl2br w:val="nil"/>
                    <w:tr2bl w:val="nil"/>
                  </w:tcBorders>
                  <w:vAlign w:val="center"/>
                </w:tcPr>
                <w:p>
                  <w:pPr>
                    <w:adjustRightInd w:val="0"/>
                    <w:snapToGrid w:val="0"/>
                    <w:spacing w:line="360" w:lineRule="auto"/>
                    <w:jc w:val="center"/>
                    <w:rPr>
                      <w:b/>
                      <w:bCs/>
                      <w:szCs w:val="21"/>
                    </w:rPr>
                  </w:pPr>
                  <w:r>
                    <w:rPr>
                      <w:rFonts w:hint="eastAsia"/>
                      <w:b/>
                      <w:bCs/>
                      <w:szCs w:val="21"/>
                    </w:rPr>
                    <w:t>现有部分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826" w:type="dxa"/>
                  <w:gridSpan w:val="3"/>
                  <w:tcBorders>
                    <w:tl2br w:val="nil"/>
                    <w:tr2bl w:val="nil"/>
                  </w:tcBorders>
                  <w:vAlign w:val="center"/>
                </w:tcPr>
                <w:p>
                  <w:pPr>
                    <w:adjustRightInd w:val="0"/>
                    <w:snapToGrid w:val="0"/>
                    <w:spacing w:line="360" w:lineRule="auto"/>
                    <w:jc w:val="center"/>
                    <w:rPr>
                      <w:szCs w:val="21"/>
                    </w:rPr>
                  </w:pPr>
                  <w:r>
                    <w:rPr>
                      <w:rFonts w:hint="eastAsia"/>
                      <w:szCs w:val="21"/>
                    </w:rPr>
                    <w:t>湘岳阳1129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szCs w:val="21"/>
                    </w:rPr>
                  </w:pPr>
                  <w:r>
                    <w:rPr>
                      <w:rFonts w:hint="eastAsia" w:cs="宋体"/>
                      <w:szCs w:val="21"/>
                    </w:rPr>
                    <w:t>锚设备</w:t>
                  </w:r>
                </w:p>
              </w:tc>
              <w:tc>
                <w:tcPr>
                  <w:tcW w:w="4274" w:type="dxa"/>
                  <w:tcBorders>
                    <w:tl2br w:val="nil"/>
                    <w:tr2bl w:val="nil"/>
                  </w:tcBorders>
                  <w:vAlign w:val="center"/>
                </w:tcPr>
                <w:p>
                  <w:pPr>
                    <w:autoSpaceDN w:val="0"/>
                    <w:jc w:val="center"/>
                    <w:textAlignment w:val="center"/>
                  </w:pPr>
                  <w:r>
                    <w:rPr>
                      <w:rFonts w:hint="eastAsia" w:cs="宋体"/>
                    </w:rPr>
                    <w:t>舾装数</w:t>
                  </w:r>
                  <w:r>
                    <w:t>128</w:t>
                  </w:r>
                  <w:r>
                    <w:rPr>
                      <w:rFonts w:hint="eastAsia" w:cs="宋体"/>
                    </w:rPr>
                    <w:t>个，锚数量</w:t>
                  </w:r>
                  <w:r>
                    <w:t>2</w:t>
                  </w:r>
                  <w:r>
                    <w:rPr>
                      <w:rFonts w:hint="eastAsia" w:cs="宋体"/>
                    </w:rPr>
                    <w:t>个，锚机数量</w:t>
                  </w:r>
                  <w:r>
                    <w:t>1</w:t>
                  </w:r>
                  <w:r>
                    <w:rPr>
                      <w:rFonts w:hint="eastAsia" w:cs="宋体"/>
                    </w:rPr>
                    <w:t>台</w:t>
                  </w:r>
                </w:p>
              </w:tc>
              <w:tc>
                <w:tcPr>
                  <w:tcW w:w="944" w:type="dxa"/>
                  <w:tcBorders>
                    <w:tl2br w:val="nil"/>
                    <w:tr2bl w:val="nil"/>
                  </w:tcBorders>
                  <w:vAlign w:val="center"/>
                </w:tcPr>
                <w:p>
                  <w:pPr>
                    <w:adjustRightInd w:val="0"/>
                    <w:snapToGrid w:val="0"/>
                    <w:spacing w:line="360" w:lineRule="auto"/>
                    <w:jc w:val="center"/>
                    <w:rPr>
                      <w:b/>
                      <w:bCs/>
                      <w:sz w:val="24"/>
                      <w:szCs w:val="24"/>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szCs w:val="21"/>
                    </w:rPr>
                  </w:pPr>
                  <w:r>
                    <w:rPr>
                      <w:rFonts w:hint="eastAsia" w:cs="宋体"/>
                      <w:szCs w:val="21"/>
                    </w:rPr>
                    <w:t>舵设备</w:t>
                  </w:r>
                </w:p>
              </w:tc>
              <w:tc>
                <w:tcPr>
                  <w:tcW w:w="4274" w:type="dxa"/>
                  <w:tcBorders>
                    <w:tl2br w:val="nil"/>
                    <w:tr2bl w:val="nil"/>
                  </w:tcBorders>
                  <w:vAlign w:val="center"/>
                </w:tcPr>
                <w:p>
                  <w:pPr>
                    <w:autoSpaceDN w:val="0"/>
                    <w:jc w:val="center"/>
                    <w:textAlignment w:val="center"/>
                  </w:pPr>
                  <w:r>
                    <w:rPr>
                      <w:rFonts w:hint="eastAsia" w:cs="宋体"/>
                    </w:rPr>
                    <w:t>舵数量</w:t>
                  </w:r>
                  <w:r>
                    <w:t>2</w:t>
                  </w:r>
                  <w:r>
                    <w:rPr>
                      <w:rFonts w:hint="eastAsia" w:cs="宋体"/>
                    </w:rPr>
                    <w:t>个</w:t>
                  </w:r>
                </w:p>
              </w:tc>
              <w:tc>
                <w:tcPr>
                  <w:tcW w:w="944" w:type="dxa"/>
                  <w:tcBorders>
                    <w:tl2br w:val="nil"/>
                    <w:tr2bl w:val="nil"/>
                  </w:tcBorders>
                  <w:vAlign w:val="center"/>
                </w:tcPr>
                <w:p>
                  <w:pPr>
                    <w:adjustRightInd w:val="0"/>
                    <w:snapToGrid w:val="0"/>
                    <w:spacing w:line="360" w:lineRule="auto"/>
                    <w:jc w:val="center"/>
                    <w:rPr>
                      <w:b/>
                      <w:bCs/>
                      <w:sz w:val="24"/>
                      <w:szCs w:val="24"/>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szCs w:val="21"/>
                    </w:rPr>
                  </w:pPr>
                  <w:r>
                    <w:rPr>
                      <w:rFonts w:hint="eastAsia" w:cs="宋体"/>
                      <w:szCs w:val="21"/>
                    </w:rPr>
                    <w:t>消防设备</w:t>
                  </w:r>
                </w:p>
              </w:tc>
              <w:tc>
                <w:tcPr>
                  <w:tcW w:w="4274" w:type="dxa"/>
                  <w:tcBorders>
                    <w:tl2br w:val="nil"/>
                    <w:tr2bl w:val="nil"/>
                  </w:tcBorders>
                  <w:vAlign w:val="center"/>
                </w:tcPr>
                <w:p>
                  <w:pPr>
                    <w:autoSpaceDN w:val="0"/>
                    <w:jc w:val="center"/>
                    <w:textAlignment w:val="center"/>
                  </w:pPr>
                  <w:r>
                    <w:rPr>
                      <w:rFonts w:hint="eastAsia" w:cs="宋体"/>
                    </w:rPr>
                    <w:t>水消防泵</w:t>
                  </w:r>
                  <w:r>
                    <w:t>1</w:t>
                  </w:r>
                  <w:r>
                    <w:rPr>
                      <w:rFonts w:hint="eastAsia" w:cs="宋体"/>
                    </w:rPr>
                    <w:t>台，消火栓</w:t>
                  </w:r>
                  <w:r>
                    <w:t>2</w:t>
                  </w:r>
                  <w:r>
                    <w:rPr>
                      <w:rFonts w:hint="eastAsia" w:cs="宋体"/>
                    </w:rPr>
                    <w:t>个，水枪</w:t>
                  </w:r>
                  <w:r>
                    <w:t>1</w:t>
                  </w:r>
                  <w:r>
                    <w:rPr>
                      <w:rFonts w:hint="eastAsia" w:cs="宋体"/>
                    </w:rPr>
                    <w:t>支</w:t>
                  </w:r>
                </w:p>
              </w:tc>
              <w:tc>
                <w:tcPr>
                  <w:tcW w:w="944" w:type="dxa"/>
                  <w:tcBorders>
                    <w:tl2br w:val="nil"/>
                    <w:tr2bl w:val="nil"/>
                  </w:tcBorders>
                  <w:vAlign w:val="center"/>
                </w:tcPr>
                <w:p>
                  <w:pPr>
                    <w:adjustRightInd w:val="0"/>
                    <w:snapToGrid w:val="0"/>
                    <w:spacing w:line="360" w:lineRule="auto"/>
                    <w:jc w:val="center"/>
                    <w:rPr>
                      <w:b/>
                      <w:bCs/>
                      <w:sz w:val="24"/>
                      <w:szCs w:val="24"/>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szCs w:val="21"/>
                    </w:rPr>
                  </w:pPr>
                  <w:r>
                    <w:rPr>
                      <w:rFonts w:hint="eastAsia" w:cs="宋体"/>
                      <w:szCs w:val="21"/>
                    </w:rPr>
                    <w:t>航行设备</w:t>
                  </w:r>
                </w:p>
              </w:tc>
              <w:tc>
                <w:tcPr>
                  <w:tcW w:w="4274" w:type="dxa"/>
                  <w:tcBorders>
                    <w:tl2br w:val="nil"/>
                    <w:tr2bl w:val="nil"/>
                  </w:tcBorders>
                  <w:vAlign w:val="center"/>
                </w:tcPr>
                <w:p>
                  <w:pPr>
                    <w:autoSpaceDN w:val="0"/>
                    <w:jc w:val="center"/>
                    <w:textAlignment w:val="center"/>
                  </w:pPr>
                  <w:r>
                    <w:rPr>
                      <w:rFonts w:hint="eastAsia" w:cs="宋体"/>
                    </w:rPr>
                    <w:t>测深杆</w:t>
                  </w:r>
                  <w:r>
                    <w:t>2</w:t>
                  </w:r>
                  <w:r>
                    <w:rPr>
                      <w:rFonts w:hint="eastAsia" w:cs="宋体"/>
                    </w:rPr>
                    <w:t>个，望远镜</w:t>
                  </w:r>
                  <w:r>
                    <w:t>1</w:t>
                  </w:r>
                  <w:r>
                    <w:rPr>
                      <w:rFonts w:hint="eastAsia" w:cs="宋体"/>
                    </w:rPr>
                    <w:t>个</w:t>
                  </w:r>
                </w:p>
              </w:tc>
              <w:tc>
                <w:tcPr>
                  <w:tcW w:w="944" w:type="dxa"/>
                  <w:tcBorders>
                    <w:tl2br w:val="nil"/>
                    <w:tr2bl w:val="nil"/>
                  </w:tcBorders>
                  <w:vAlign w:val="center"/>
                </w:tcPr>
                <w:p>
                  <w:pPr>
                    <w:adjustRightInd w:val="0"/>
                    <w:snapToGrid w:val="0"/>
                    <w:spacing w:line="360" w:lineRule="auto"/>
                    <w:jc w:val="center"/>
                    <w:rPr>
                      <w:b/>
                      <w:bCs/>
                      <w:sz w:val="24"/>
                      <w:szCs w:val="24"/>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2608" w:type="dxa"/>
                  <w:tcBorders>
                    <w:tl2br w:val="nil"/>
                    <w:tr2bl w:val="nil"/>
                  </w:tcBorders>
                  <w:vAlign w:val="center"/>
                </w:tcPr>
                <w:p>
                  <w:pPr>
                    <w:autoSpaceDN w:val="0"/>
                    <w:jc w:val="center"/>
                    <w:textAlignment w:val="center"/>
                    <w:rPr>
                      <w:szCs w:val="21"/>
                    </w:rPr>
                  </w:pPr>
                  <w:r>
                    <w:rPr>
                      <w:rFonts w:hint="eastAsia" w:cs="宋体"/>
                      <w:szCs w:val="21"/>
                    </w:rPr>
                    <w:t>信号设备</w:t>
                  </w:r>
                </w:p>
              </w:tc>
              <w:tc>
                <w:tcPr>
                  <w:tcW w:w="4274" w:type="dxa"/>
                  <w:tcBorders>
                    <w:tl2br w:val="nil"/>
                    <w:tr2bl w:val="nil"/>
                  </w:tcBorders>
                  <w:vAlign w:val="center"/>
                </w:tcPr>
                <w:p>
                  <w:pPr>
                    <w:autoSpaceDN w:val="0"/>
                    <w:jc w:val="center"/>
                    <w:textAlignment w:val="center"/>
                  </w:pPr>
                  <w:r>
                    <w:rPr>
                      <w:rFonts w:hint="eastAsia" w:cs="宋体"/>
                    </w:rPr>
                    <w:t>国旗、号笛、红旗、桅灯、尾灯、信号旗各</w:t>
                  </w:r>
                  <w:r>
                    <w:t>1</w:t>
                  </w:r>
                  <w:r>
                    <w:rPr>
                      <w:rFonts w:hint="eastAsia" w:cs="宋体"/>
                    </w:rPr>
                    <w:t>个，环照灯</w:t>
                  </w:r>
                  <w:r>
                    <w:t>4</w:t>
                  </w:r>
                  <w:r>
                    <w:rPr>
                      <w:rFonts w:hint="eastAsia" w:cs="宋体"/>
                    </w:rPr>
                    <w:t>个，闪光灯</w:t>
                  </w:r>
                  <w:r>
                    <w:t>3</w:t>
                  </w:r>
                  <w:r>
                    <w:rPr>
                      <w:rFonts w:hint="eastAsia" w:cs="宋体"/>
                    </w:rPr>
                    <w:t>个，舷灯</w:t>
                  </w:r>
                  <w:r>
                    <w:t>2</w:t>
                  </w:r>
                  <w:r>
                    <w:rPr>
                      <w:rFonts w:hint="eastAsia" w:cs="宋体"/>
                    </w:rPr>
                    <w:t>个</w:t>
                  </w:r>
                </w:p>
              </w:tc>
              <w:tc>
                <w:tcPr>
                  <w:tcW w:w="944" w:type="dxa"/>
                  <w:tcBorders>
                    <w:tl2br w:val="nil"/>
                    <w:tr2bl w:val="nil"/>
                  </w:tcBorders>
                  <w:vAlign w:val="center"/>
                </w:tcPr>
                <w:p>
                  <w:pPr>
                    <w:adjustRightInd w:val="0"/>
                    <w:snapToGrid w:val="0"/>
                    <w:spacing w:line="360" w:lineRule="auto"/>
                    <w:jc w:val="center"/>
                    <w:rPr>
                      <w:b/>
                      <w:bCs/>
                      <w:sz w:val="24"/>
                      <w:szCs w:val="24"/>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rFonts w:cs="宋体"/>
                      <w:szCs w:val="21"/>
                    </w:rPr>
                  </w:pPr>
                  <w:r>
                    <w:rPr>
                      <w:rFonts w:hint="eastAsia" w:cs="宋体"/>
                      <w:szCs w:val="21"/>
                    </w:rPr>
                    <w:t>柴油发电机</w:t>
                  </w:r>
                </w:p>
              </w:tc>
              <w:tc>
                <w:tcPr>
                  <w:tcW w:w="4274" w:type="dxa"/>
                  <w:tcBorders>
                    <w:tl2br w:val="nil"/>
                    <w:tr2bl w:val="nil"/>
                  </w:tcBorders>
                  <w:vAlign w:val="center"/>
                </w:tcPr>
                <w:p>
                  <w:pPr>
                    <w:autoSpaceDN w:val="0"/>
                    <w:jc w:val="center"/>
                    <w:textAlignment w:val="center"/>
                    <w:rPr>
                      <w:rFonts w:cs="宋体"/>
                      <w:szCs w:val="21"/>
                    </w:rPr>
                  </w:pPr>
                  <w:r>
                    <w:rPr>
                      <w:rFonts w:hint="eastAsia" w:cs="宋体"/>
                      <w:szCs w:val="21"/>
                    </w:rPr>
                    <w:t>2台（1台16KW、1台12KW）</w:t>
                  </w:r>
                </w:p>
              </w:tc>
              <w:tc>
                <w:tcPr>
                  <w:tcW w:w="944" w:type="dxa"/>
                  <w:tcBorders>
                    <w:tl2br w:val="nil"/>
                    <w:tr2bl w:val="nil"/>
                  </w:tcBorders>
                  <w:vAlign w:val="center"/>
                </w:tcPr>
                <w:p>
                  <w:pPr>
                    <w:adjustRightInd w:val="0"/>
                    <w:snapToGrid w:val="0"/>
                    <w:spacing w:line="360" w:lineRule="auto"/>
                    <w:jc w:val="center"/>
                    <w:rPr>
                      <w:rFonts w:cs="宋体"/>
                      <w:szCs w:val="21"/>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rFonts w:cs="宋体"/>
                      <w:szCs w:val="21"/>
                    </w:rPr>
                  </w:pPr>
                  <w:r>
                    <w:rPr>
                      <w:rFonts w:hint="eastAsia" w:cs="宋体"/>
                      <w:szCs w:val="21"/>
                    </w:rPr>
                    <w:t>油水分离器</w:t>
                  </w:r>
                </w:p>
              </w:tc>
              <w:tc>
                <w:tcPr>
                  <w:tcW w:w="4274" w:type="dxa"/>
                  <w:tcBorders>
                    <w:tl2br w:val="nil"/>
                    <w:tr2bl w:val="nil"/>
                  </w:tcBorders>
                  <w:vAlign w:val="center"/>
                </w:tcPr>
                <w:p>
                  <w:pPr>
                    <w:autoSpaceDN w:val="0"/>
                    <w:jc w:val="center"/>
                    <w:textAlignment w:val="center"/>
                    <w:rPr>
                      <w:rFonts w:cs="宋体"/>
                      <w:szCs w:val="21"/>
                    </w:rPr>
                  </w:pPr>
                  <w:r>
                    <w:rPr>
                      <w:rFonts w:hint="eastAsia" w:cs="宋体"/>
                      <w:szCs w:val="21"/>
                    </w:rPr>
                    <w:t>1套（YWC型油水分离装置）</w:t>
                  </w:r>
                </w:p>
              </w:tc>
              <w:tc>
                <w:tcPr>
                  <w:tcW w:w="944" w:type="dxa"/>
                  <w:tcBorders>
                    <w:tl2br w:val="nil"/>
                    <w:tr2bl w:val="nil"/>
                  </w:tcBorders>
                  <w:vAlign w:val="center"/>
                </w:tcPr>
                <w:p>
                  <w:pPr>
                    <w:adjustRightInd w:val="0"/>
                    <w:snapToGrid w:val="0"/>
                    <w:spacing w:line="360" w:lineRule="auto"/>
                    <w:jc w:val="center"/>
                    <w:rPr>
                      <w:rFonts w:cs="宋体"/>
                      <w:szCs w:val="21"/>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7826" w:type="dxa"/>
                  <w:gridSpan w:val="3"/>
                  <w:tcBorders>
                    <w:tl2br w:val="nil"/>
                    <w:tr2bl w:val="nil"/>
                  </w:tcBorders>
                  <w:vAlign w:val="center"/>
                </w:tcPr>
                <w:p>
                  <w:pPr>
                    <w:adjustRightInd w:val="0"/>
                    <w:snapToGrid w:val="0"/>
                    <w:spacing w:line="360" w:lineRule="auto"/>
                    <w:jc w:val="center"/>
                    <w:rPr>
                      <w:rFonts w:cs="宋体"/>
                      <w:szCs w:val="21"/>
                    </w:rPr>
                  </w:pPr>
                  <w:r>
                    <w:rPr>
                      <w:rFonts w:hint="eastAsia"/>
                      <w:b/>
                      <w:bCs/>
                      <w:szCs w:val="21"/>
                    </w:rPr>
                    <w:t>一期建设部分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826" w:type="dxa"/>
                  <w:gridSpan w:val="3"/>
                  <w:tcBorders>
                    <w:tl2br w:val="nil"/>
                    <w:tr2bl w:val="nil"/>
                  </w:tcBorders>
                  <w:vAlign w:val="center"/>
                </w:tcPr>
                <w:p>
                  <w:pPr>
                    <w:adjustRightInd w:val="0"/>
                    <w:snapToGrid w:val="0"/>
                    <w:spacing w:line="360" w:lineRule="auto"/>
                    <w:jc w:val="center"/>
                    <w:rPr>
                      <w:rFonts w:cs="宋体"/>
                      <w:szCs w:val="21"/>
                    </w:rPr>
                  </w:pPr>
                  <w:r>
                    <w:rPr>
                      <w:rFonts w:hint="eastAsia"/>
                      <w:szCs w:val="21"/>
                    </w:rPr>
                    <w:t>岳阳交通06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rFonts w:cs="宋体"/>
                      <w:szCs w:val="21"/>
                    </w:rPr>
                  </w:pPr>
                  <w:r>
                    <w:rPr>
                      <w:rFonts w:hint="eastAsia" w:cs="宋体"/>
                      <w:szCs w:val="21"/>
                    </w:rPr>
                    <w:t>锚设备</w:t>
                  </w:r>
                </w:p>
              </w:tc>
              <w:tc>
                <w:tcPr>
                  <w:tcW w:w="4274" w:type="dxa"/>
                  <w:tcBorders>
                    <w:tl2br w:val="nil"/>
                    <w:tr2bl w:val="nil"/>
                  </w:tcBorders>
                  <w:vAlign w:val="center"/>
                </w:tcPr>
                <w:p>
                  <w:pPr>
                    <w:autoSpaceDN w:val="0"/>
                    <w:jc w:val="center"/>
                    <w:textAlignment w:val="center"/>
                    <w:rPr>
                      <w:rFonts w:cs="宋体"/>
                    </w:rPr>
                  </w:pPr>
                  <w:r>
                    <w:rPr>
                      <w:rFonts w:hint="eastAsia" w:cs="宋体"/>
                    </w:rPr>
                    <w:t>20kg四爪锚1个、25m丙纶绳锚索1根，25m丙纶绳系船索2根</w:t>
                  </w:r>
                </w:p>
              </w:tc>
              <w:tc>
                <w:tcPr>
                  <w:tcW w:w="944" w:type="dxa"/>
                  <w:tcBorders>
                    <w:tl2br w:val="nil"/>
                    <w:tr2bl w:val="nil"/>
                  </w:tcBorders>
                  <w:vAlign w:val="center"/>
                </w:tcPr>
                <w:p>
                  <w:pPr>
                    <w:adjustRightInd w:val="0"/>
                    <w:snapToGrid w:val="0"/>
                    <w:spacing w:line="360" w:lineRule="auto"/>
                    <w:jc w:val="center"/>
                    <w:rPr>
                      <w:b/>
                      <w:bCs/>
                      <w:sz w:val="24"/>
                      <w:szCs w:val="24"/>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rFonts w:cs="宋体"/>
                      <w:szCs w:val="21"/>
                    </w:rPr>
                  </w:pPr>
                  <w:r>
                    <w:rPr>
                      <w:rFonts w:hint="eastAsia" w:cs="宋体"/>
                      <w:szCs w:val="21"/>
                    </w:rPr>
                    <w:t>消防设备</w:t>
                  </w:r>
                </w:p>
              </w:tc>
              <w:tc>
                <w:tcPr>
                  <w:tcW w:w="4274" w:type="dxa"/>
                  <w:tcBorders>
                    <w:tl2br w:val="nil"/>
                    <w:tr2bl w:val="nil"/>
                  </w:tcBorders>
                  <w:vAlign w:val="center"/>
                </w:tcPr>
                <w:p>
                  <w:pPr>
                    <w:autoSpaceDN w:val="0"/>
                    <w:jc w:val="center"/>
                    <w:textAlignment w:val="center"/>
                    <w:rPr>
                      <w:rFonts w:cs="宋体"/>
                    </w:rPr>
                  </w:pPr>
                  <w:r>
                    <w:rPr>
                      <w:rFonts w:hint="eastAsia" w:cs="宋体"/>
                    </w:rPr>
                    <w:t>灭火器4只、消防水桶2个</w:t>
                  </w:r>
                </w:p>
              </w:tc>
              <w:tc>
                <w:tcPr>
                  <w:tcW w:w="944" w:type="dxa"/>
                  <w:tcBorders>
                    <w:tl2br w:val="nil"/>
                    <w:tr2bl w:val="nil"/>
                  </w:tcBorders>
                  <w:vAlign w:val="center"/>
                </w:tcPr>
                <w:p>
                  <w:pPr>
                    <w:adjustRightInd w:val="0"/>
                    <w:snapToGrid w:val="0"/>
                    <w:spacing w:line="360" w:lineRule="auto"/>
                    <w:jc w:val="center"/>
                    <w:rPr>
                      <w:b/>
                      <w:bCs/>
                      <w:sz w:val="24"/>
                      <w:szCs w:val="24"/>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rFonts w:cs="宋体"/>
                      <w:szCs w:val="21"/>
                    </w:rPr>
                  </w:pPr>
                  <w:r>
                    <w:rPr>
                      <w:rFonts w:hint="eastAsia" w:cs="宋体"/>
                      <w:szCs w:val="21"/>
                    </w:rPr>
                    <w:t>信号设备</w:t>
                  </w:r>
                </w:p>
              </w:tc>
              <w:tc>
                <w:tcPr>
                  <w:tcW w:w="4274" w:type="dxa"/>
                  <w:tcBorders>
                    <w:tl2br w:val="nil"/>
                    <w:tr2bl w:val="nil"/>
                  </w:tcBorders>
                  <w:vAlign w:val="center"/>
                </w:tcPr>
                <w:p>
                  <w:pPr>
                    <w:autoSpaceDN w:val="0"/>
                    <w:jc w:val="center"/>
                    <w:textAlignment w:val="center"/>
                    <w:rPr>
                      <w:rFonts w:cs="宋体"/>
                    </w:rPr>
                  </w:pPr>
                  <w:r>
                    <w:rPr>
                      <w:rFonts w:hint="eastAsia" w:cs="宋体"/>
                    </w:rPr>
                    <w:t>手电筒1只、环照灯3盏，尾灯1盏，航灯2盏，黑球体1个，红旗、白旗、国旗各1面</w:t>
                  </w:r>
                </w:p>
              </w:tc>
              <w:tc>
                <w:tcPr>
                  <w:tcW w:w="944" w:type="dxa"/>
                  <w:tcBorders>
                    <w:tl2br w:val="nil"/>
                    <w:tr2bl w:val="nil"/>
                  </w:tcBorders>
                  <w:vAlign w:val="center"/>
                </w:tcPr>
                <w:p>
                  <w:pPr>
                    <w:adjustRightInd w:val="0"/>
                    <w:snapToGrid w:val="0"/>
                    <w:spacing w:line="360" w:lineRule="auto"/>
                    <w:jc w:val="center"/>
                    <w:rPr>
                      <w:b/>
                      <w:bCs/>
                      <w:sz w:val="24"/>
                      <w:szCs w:val="24"/>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826" w:type="dxa"/>
                  <w:gridSpan w:val="3"/>
                  <w:tcBorders>
                    <w:tl2br w:val="nil"/>
                    <w:tr2bl w:val="nil"/>
                  </w:tcBorders>
                  <w:vAlign w:val="center"/>
                </w:tcPr>
                <w:p>
                  <w:pPr>
                    <w:adjustRightInd w:val="0"/>
                    <w:snapToGrid w:val="0"/>
                    <w:spacing w:line="360" w:lineRule="auto"/>
                    <w:jc w:val="center"/>
                    <w:rPr>
                      <w:b/>
                      <w:bCs/>
                      <w:sz w:val="24"/>
                      <w:szCs w:val="24"/>
                    </w:rPr>
                  </w:pPr>
                  <w:r>
                    <w:rPr>
                      <w:rFonts w:hint="eastAsia"/>
                      <w:szCs w:val="21"/>
                    </w:rPr>
                    <w:t>清源2号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rFonts w:cs="宋体"/>
                      <w:szCs w:val="21"/>
                    </w:rPr>
                  </w:pPr>
                  <w:r>
                    <w:rPr>
                      <w:rFonts w:hint="eastAsia" w:cs="宋体"/>
                      <w:szCs w:val="21"/>
                    </w:rPr>
                    <w:t>锚设备</w:t>
                  </w:r>
                </w:p>
              </w:tc>
              <w:tc>
                <w:tcPr>
                  <w:tcW w:w="4274" w:type="dxa"/>
                  <w:tcBorders>
                    <w:tl2br w:val="nil"/>
                    <w:tr2bl w:val="nil"/>
                  </w:tcBorders>
                  <w:vAlign w:val="center"/>
                </w:tcPr>
                <w:p>
                  <w:pPr>
                    <w:autoSpaceDN w:val="0"/>
                    <w:jc w:val="center"/>
                    <w:textAlignment w:val="center"/>
                    <w:rPr>
                      <w:rFonts w:cs="宋体"/>
                    </w:rPr>
                  </w:pPr>
                  <w:r>
                    <w:rPr>
                      <w:rFonts w:hint="eastAsia" w:cs="宋体"/>
                    </w:rPr>
                    <w:t>霍尔锚2个，锚链82.5m、锚机一台</w:t>
                  </w:r>
                </w:p>
              </w:tc>
              <w:tc>
                <w:tcPr>
                  <w:tcW w:w="944" w:type="dxa"/>
                  <w:tcBorders>
                    <w:tl2br w:val="nil"/>
                    <w:tr2bl w:val="nil"/>
                  </w:tcBorders>
                  <w:vAlign w:val="center"/>
                </w:tcPr>
                <w:p>
                  <w:pPr>
                    <w:adjustRightInd w:val="0"/>
                    <w:snapToGrid w:val="0"/>
                    <w:spacing w:line="360" w:lineRule="auto"/>
                    <w:jc w:val="center"/>
                    <w:rPr>
                      <w:b/>
                      <w:bCs/>
                      <w:sz w:val="24"/>
                      <w:szCs w:val="24"/>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rFonts w:cs="宋体"/>
                      <w:szCs w:val="21"/>
                    </w:rPr>
                  </w:pPr>
                  <w:r>
                    <w:rPr>
                      <w:rFonts w:hint="eastAsia" w:cs="宋体"/>
                      <w:szCs w:val="21"/>
                    </w:rPr>
                    <w:t>舵设备</w:t>
                  </w:r>
                </w:p>
              </w:tc>
              <w:tc>
                <w:tcPr>
                  <w:tcW w:w="4274" w:type="dxa"/>
                  <w:tcBorders>
                    <w:tl2br w:val="nil"/>
                    <w:tr2bl w:val="nil"/>
                  </w:tcBorders>
                  <w:vAlign w:val="center"/>
                </w:tcPr>
                <w:p>
                  <w:pPr>
                    <w:autoSpaceDN w:val="0"/>
                    <w:jc w:val="center"/>
                    <w:textAlignment w:val="center"/>
                    <w:rPr>
                      <w:rFonts w:cs="宋体"/>
                    </w:rPr>
                  </w:pPr>
                  <w:r>
                    <w:rPr>
                      <w:rFonts w:hint="eastAsia" w:cs="宋体"/>
                    </w:rPr>
                    <w:t>舵数量</w:t>
                  </w:r>
                  <w:r>
                    <w:t>2</w:t>
                  </w:r>
                  <w:r>
                    <w:rPr>
                      <w:rFonts w:hint="eastAsia" w:cs="宋体"/>
                    </w:rPr>
                    <w:t>个</w:t>
                  </w:r>
                </w:p>
              </w:tc>
              <w:tc>
                <w:tcPr>
                  <w:tcW w:w="944" w:type="dxa"/>
                  <w:tcBorders>
                    <w:tl2br w:val="nil"/>
                    <w:tr2bl w:val="nil"/>
                  </w:tcBorders>
                  <w:vAlign w:val="center"/>
                </w:tcPr>
                <w:p>
                  <w:pPr>
                    <w:adjustRightInd w:val="0"/>
                    <w:snapToGrid w:val="0"/>
                    <w:spacing w:line="360" w:lineRule="auto"/>
                    <w:jc w:val="center"/>
                    <w:rPr>
                      <w:b/>
                      <w:bCs/>
                      <w:sz w:val="24"/>
                      <w:szCs w:val="24"/>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rFonts w:cs="宋体"/>
                      <w:szCs w:val="21"/>
                    </w:rPr>
                  </w:pPr>
                  <w:r>
                    <w:rPr>
                      <w:rFonts w:hint="eastAsia" w:cs="宋体"/>
                      <w:szCs w:val="21"/>
                    </w:rPr>
                    <w:t>消防设备</w:t>
                  </w:r>
                </w:p>
              </w:tc>
              <w:tc>
                <w:tcPr>
                  <w:tcW w:w="4274" w:type="dxa"/>
                  <w:tcBorders>
                    <w:tl2br w:val="nil"/>
                    <w:tr2bl w:val="nil"/>
                  </w:tcBorders>
                  <w:vAlign w:val="center"/>
                </w:tcPr>
                <w:p>
                  <w:pPr>
                    <w:autoSpaceDN w:val="0"/>
                    <w:jc w:val="center"/>
                    <w:textAlignment w:val="center"/>
                    <w:rPr>
                      <w:rFonts w:cs="宋体"/>
                    </w:rPr>
                  </w:pPr>
                  <w:r>
                    <w:rPr>
                      <w:rFonts w:hint="eastAsia" w:cs="宋体"/>
                    </w:rPr>
                    <w:t>消防枪1支、黄沙箱2个、太平斧1把</w:t>
                  </w:r>
                </w:p>
              </w:tc>
              <w:tc>
                <w:tcPr>
                  <w:tcW w:w="944" w:type="dxa"/>
                  <w:tcBorders>
                    <w:tl2br w:val="nil"/>
                    <w:tr2bl w:val="nil"/>
                  </w:tcBorders>
                  <w:vAlign w:val="center"/>
                </w:tcPr>
                <w:p>
                  <w:pPr>
                    <w:adjustRightInd w:val="0"/>
                    <w:snapToGrid w:val="0"/>
                    <w:spacing w:line="360" w:lineRule="auto"/>
                    <w:jc w:val="center"/>
                    <w:rPr>
                      <w:b/>
                      <w:bCs/>
                      <w:sz w:val="24"/>
                      <w:szCs w:val="24"/>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rFonts w:cs="宋体"/>
                      <w:szCs w:val="21"/>
                    </w:rPr>
                  </w:pPr>
                  <w:r>
                    <w:rPr>
                      <w:rFonts w:hint="eastAsia" w:cs="宋体"/>
                      <w:szCs w:val="21"/>
                    </w:rPr>
                    <w:t>信号设备</w:t>
                  </w:r>
                </w:p>
              </w:tc>
              <w:tc>
                <w:tcPr>
                  <w:tcW w:w="4274" w:type="dxa"/>
                  <w:tcBorders>
                    <w:tl2br w:val="nil"/>
                    <w:tr2bl w:val="nil"/>
                  </w:tcBorders>
                  <w:vAlign w:val="center"/>
                </w:tcPr>
                <w:p>
                  <w:pPr>
                    <w:autoSpaceDN w:val="0"/>
                    <w:jc w:val="center"/>
                    <w:textAlignment w:val="center"/>
                    <w:rPr>
                      <w:rFonts w:cs="宋体"/>
                    </w:rPr>
                  </w:pPr>
                  <w:r>
                    <w:rPr>
                      <w:rFonts w:hint="eastAsia" w:cs="宋体"/>
                    </w:rPr>
                    <w:t>百环照灯1个、白栀灯1个、白尾灯1个、国际信号旗1面，号笛1个，红环照灯2个，红旗1面，航灯2个</w:t>
                  </w:r>
                </w:p>
              </w:tc>
              <w:tc>
                <w:tcPr>
                  <w:tcW w:w="944" w:type="dxa"/>
                  <w:tcBorders>
                    <w:tl2br w:val="nil"/>
                    <w:tr2bl w:val="nil"/>
                  </w:tcBorders>
                  <w:vAlign w:val="center"/>
                </w:tcPr>
                <w:p>
                  <w:pPr>
                    <w:adjustRightInd w:val="0"/>
                    <w:snapToGrid w:val="0"/>
                    <w:spacing w:line="360" w:lineRule="auto"/>
                    <w:jc w:val="center"/>
                    <w:rPr>
                      <w:b/>
                      <w:bCs/>
                      <w:sz w:val="24"/>
                      <w:szCs w:val="24"/>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7826" w:type="dxa"/>
                  <w:gridSpan w:val="3"/>
                  <w:tcBorders>
                    <w:tl2br w:val="nil"/>
                    <w:tr2bl w:val="nil"/>
                  </w:tcBorders>
                  <w:vAlign w:val="center"/>
                </w:tcPr>
                <w:p>
                  <w:pPr>
                    <w:adjustRightInd w:val="0"/>
                    <w:snapToGrid w:val="0"/>
                    <w:spacing w:line="360" w:lineRule="auto"/>
                    <w:jc w:val="center"/>
                    <w:rPr>
                      <w:b/>
                      <w:bCs/>
                      <w:sz w:val="24"/>
                      <w:szCs w:val="24"/>
                    </w:rPr>
                  </w:pPr>
                  <w:r>
                    <w:rPr>
                      <w:rFonts w:hint="eastAsia"/>
                      <w:b/>
                      <w:bCs/>
                      <w:szCs w:val="21"/>
                    </w:rPr>
                    <w:t>二期新建部分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826" w:type="dxa"/>
                  <w:gridSpan w:val="3"/>
                  <w:tcBorders>
                    <w:tl2br w:val="nil"/>
                    <w:tr2bl w:val="nil"/>
                  </w:tcBorders>
                  <w:vAlign w:val="center"/>
                </w:tcPr>
                <w:p>
                  <w:pPr>
                    <w:adjustRightInd w:val="0"/>
                    <w:snapToGrid w:val="0"/>
                    <w:spacing w:line="360" w:lineRule="auto"/>
                    <w:jc w:val="center"/>
                    <w:rPr>
                      <w:szCs w:val="21"/>
                    </w:rPr>
                  </w:pPr>
                  <w:r>
                    <w:rPr>
                      <w:rFonts w:hint="eastAsia"/>
                      <w:szCs w:val="21"/>
                    </w:rPr>
                    <w:t>清源3号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rFonts w:cs="宋体"/>
                      <w:szCs w:val="21"/>
                    </w:rPr>
                  </w:pPr>
                  <w:r>
                    <w:rPr>
                      <w:rFonts w:hint="eastAsia" w:cs="宋体"/>
                      <w:szCs w:val="21"/>
                    </w:rPr>
                    <w:t>锚设备</w:t>
                  </w:r>
                </w:p>
              </w:tc>
              <w:tc>
                <w:tcPr>
                  <w:tcW w:w="4274" w:type="dxa"/>
                  <w:tcBorders>
                    <w:tl2br w:val="nil"/>
                    <w:tr2bl w:val="nil"/>
                  </w:tcBorders>
                  <w:vAlign w:val="center"/>
                </w:tcPr>
                <w:p>
                  <w:pPr>
                    <w:autoSpaceDN w:val="0"/>
                    <w:jc w:val="center"/>
                    <w:textAlignment w:val="center"/>
                    <w:rPr>
                      <w:rFonts w:cs="宋体"/>
                    </w:rPr>
                  </w:pPr>
                  <w:r>
                    <w:rPr>
                      <w:rFonts w:hint="eastAsia" w:cs="宋体"/>
                    </w:rPr>
                    <w:t>霍尔锚2个，锚机一台</w:t>
                  </w:r>
                </w:p>
              </w:tc>
              <w:tc>
                <w:tcPr>
                  <w:tcW w:w="944" w:type="dxa"/>
                  <w:tcBorders>
                    <w:tl2br w:val="nil"/>
                    <w:tr2bl w:val="nil"/>
                  </w:tcBorders>
                  <w:vAlign w:val="center"/>
                </w:tcPr>
                <w:p>
                  <w:pPr>
                    <w:adjustRightInd w:val="0"/>
                    <w:snapToGrid w:val="0"/>
                    <w:spacing w:line="360" w:lineRule="auto"/>
                    <w:jc w:val="center"/>
                    <w:rPr>
                      <w:b/>
                      <w:bCs/>
                      <w:sz w:val="24"/>
                      <w:szCs w:val="24"/>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rFonts w:cs="宋体"/>
                      <w:szCs w:val="21"/>
                    </w:rPr>
                  </w:pPr>
                  <w:r>
                    <w:rPr>
                      <w:rFonts w:hint="eastAsia" w:cs="宋体"/>
                      <w:szCs w:val="21"/>
                    </w:rPr>
                    <w:t>舵设备</w:t>
                  </w:r>
                </w:p>
              </w:tc>
              <w:tc>
                <w:tcPr>
                  <w:tcW w:w="4274" w:type="dxa"/>
                  <w:tcBorders>
                    <w:tl2br w:val="nil"/>
                    <w:tr2bl w:val="nil"/>
                  </w:tcBorders>
                  <w:vAlign w:val="center"/>
                </w:tcPr>
                <w:p>
                  <w:pPr>
                    <w:autoSpaceDN w:val="0"/>
                    <w:jc w:val="center"/>
                    <w:textAlignment w:val="center"/>
                    <w:rPr>
                      <w:rFonts w:cs="宋体"/>
                    </w:rPr>
                  </w:pPr>
                  <w:r>
                    <w:rPr>
                      <w:rFonts w:hint="eastAsia" w:cs="宋体"/>
                    </w:rPr>
                    <w:t>舵数量</w:t>
                  </w:r>
                  <w:r>
                    <w:t>2</w:t>
                  </w:r>
                  <w:r>
                    <w:rPr>
                      <w:rFonts w:hint="eastAsia" w:cs="宋体"/>
                    </w:rPr>
                    <w:t>个</w:t>
                  </w:r>
                </w:p>
              </w:tc>
              <w:tc>
                <w:tcPr>
                  <w:tcW w:w="944" w:type="dxa"/>
                  <w:tcBorders>
                    <w:tl2br w:val="nil"/>
                    <w:tr2bl w:val="nil"/>
                  </w:tcBorders>
                  <w:vAlign w:val="center"/>
                </w:tcPr>
                <w:p>
                  <w:pPr>
                    <w:adjustRightInd w:val="0"/>
                    <w:snapToGrid w:val="0"/>
                    <w:spacing w:line="360" w:lineRule="auto"/>
                    <w:jc w:val="center"/>
                    <w:rPr>
                      <w:b/>
                      <w:bCs/>
                      <w:sz w:val="24"/>
                      <w:szCs w:val="24"/>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rFonts w:cs="宋体"/>
                      <w:szCs w:val="21"/>
                    </w:rPr>
                  </w:pPr>
                  <w:r>
                    <w:rPr>
                      <w:rFonts w:hint="eastAsia" w:cs="宋体"/>
                      <w:szCs w:val="21"/>
                    </w:rPr>
                    <w:t>消防设备</w:t>
                  </w:r>
                </w:p>
              </w:tc>
              <w:tc>
                <w:tcPr>
                  <w:tcW w:w="4274" w:type="dxa"/>
                  <w:tcBorders>
                    <w:tl2br w:val="nil"/>
                    <w:tr2bl w:val="nil"/>
                  </w:tcBorders>
                  <w:vAlign w:val="center"/>
                </w:tcPr>
                <w:p>
                  <w:pPr>
                    <w:autoSpaceDN w:val="0"/>
                    <w:jc w:val="center"/>
                    <w:textAlignment w:val="center"/>
                    <w:rPr>
                      <w:rFonts w:cs="宋体"/>
                    </w:rPr>
                  </w:pPr>
                  <w:r>
                    <w:rPr>
                      <w:rFonts w:hint="eastAsia" w:cs="宋体"/>
                    </w:rPr>
                    <w:t>消防枪1支、黄沙箱2个、灭火器2个</w:t>
                  </w:r>
                </w:p>
              </w:tc>
              <w:tc>
                <w:tcPr>
                  <w:tcW w:w="944" w:type="dxa"/>
                  <w:tcBorders>
                    <w:tl2br w:val="nil"/>
                    <w:tr2bl w:val="nil"/>
                  </w:tcBorders>
                  <w:vAlign w:val="center"/>
                </w:tcPr>
                <w:p>
                  <w:pPr>
                    <w:adjustRightInd w:val="0"/>
                    <w:snapToGrid w:val="0"/>
                    <w:spacing w:line="360" w:lineRule="auto"/>
                    <w:jc w:val="center"/>
                    <w:rPr>
                      <w:b/>
                      <w:bCs/>
                      <w:sz w:val="24"/>
                      <w:szCs w:val="24"/>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rFonts w:cs="宋体"/>
                      <w:szCs w:val="21"/>
                    </w:rPr>
                  </w:pPr>
                  <w:r>
                    <w:rPr>
                      <w:rFonts w:hint="eastAsia" w:cs="宋体"/>
                      <w:szCs w:val="21"/>
                    </w:rPr>
                    <w:t>信号设备</w:t>
                  </w:r>
                </w:p>
              </w:tc>
              <w:tc>
                <w:tcPr>
                  <w:tcW w:w="4274" w:type="dxa"/>
                  <w:tcBorders>
                    <w:tl2br w:val="nil"/>
                    <w:tr2bl w:val="nil"/>
                  </w:tcBorders>
                  <w:vAlign w:val="center"/>
                </w:tcPr>
                <w:p>
                  <w:pPr>
                    <w:autoSpaceDN w:val="0"/>
                    <w:jc w:val="center"/>
                    <w:textAlignment w:val="center"/>
                    <w:rPr>
                      <w:rFonts w:cs="宋体"/>
                    </w:rPr>
                  </w:pPr>
                  <w:r>
                    <w:rPr>
                      <w:rFonts w:hint="eastAsia" w:cs="宋体"/>
                    </w:rPr>
                    <w:t>百环照灯1个、白栀灯1个、国际信号旗1面，号笛1个，红环照灯2个，红旗1面</w:t>
                  </w:r>
                </w:p>
              </w:tc>
              <w:tc>
                <w:tcPr>
                  <w:tcW w:w="944" w:type="dxa"/>
                  <w:tcBorders>
                    <w:tl2br w:val="nil"/>
                    <w:tr2bl w:val="nil"/>
                  </w:tcBorders>
                  <w:vAlign w:val="center"/>
                </w:tcPr>
                <w:p>
                  <w:pPr>
                    <w:adjustRightInd w:val="0"/>
                    <w:snapToGrid w:val="0"/>
                    <w:spacing w:line="360" w:lineRule="auto"/>
                    <w:jc w:val="center"/>
                    <w:rPr>
                      <w:b/>
                      <w:bCs/>
                      <w:sz w:val="24"/>
                      <w:szCs w:val="24"/>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826" w:type="dxa"/>
                  <w:gridSpan w:val="3"/>
                  <w:tcBorders>
                    <w:tl2br w:val="nil"/>
                    <w:tr2bl w:val="nil"/>
                  </w:tcBorders>
                  <w:vAlign w:val="center"/>
                </w:tcPr>
                <w:p>
                  <w:pPr>
                    <w:adjustRightInd w:val="0"/>
                    <w:snapToGrid w:val="0"/>
                    <w:spacing w:line="360" w:lineRule="auto"/>
                    <w:jc w:val="center"/>
                    <w:rPr>
                      <w:szCs w:val="21"/>
                    </w:rPr>
                  </w:pPr>
                  <w:r>
                    <w:rPr>
                      <w:rFonts w:hint="eastAsia"/>
                      <w:szCs w:val="21"/>
                    </w:rPr>
                    <w:t>清源5号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rFonts w:cs="宋体"/>
                      <w:szCs w:val="21"/>
                    </w:rPr>
                  </w:pPr>
                  <w:r>
                    <w:rPr>
                      <w:rFonts w:hint="eastAsia" w:cs="宋体"/>
                      <w:szCs w:val="21"/>
                    </w:rPr>
                    <w:t>锚设备</w:t>
                  </w:r>
                </w:p>
              </w:tc>
              <w:tc>
                <w:tcPr>
                  <w:tcW w:w="4274" w:type="dxa"/>
                  <w:tcBorders>
                    <w:tl2br w:val="nil"/>
                    <w:tr2bl w:val="nil"/>
                  </w:tcBorders>
                  <w:vAlign w:val="center"/>
                </w:tcPr>
                <w:p>
                  <w:pPr>
                    <w:autoSpaceDN w:val="0"/>
                    <w:jc w:val="center"/>
                    <w:textAlignment w:val="center"/>
                    <w:rPr>
                      <w:rFonts w:cs="宋体"/>
                      <w:szCs w:val="21"/>
                    </w:rPr>
                  </w:pPr>
                  <w:r>
                    <w:rPr>
                      <w:rFonts w:hint="eastAsia" w:cs="宋体"/>
                      <w:szCs w:val="21"/>
                    </w:rPr>
                    <w:t>霍尔锚2个，锚机一台</w:t>
                  </w:r>
                </w:p>
              </w:tc>
              <w:tc>
                <w:tcPr>
                  <w:tcW w:w="944" w:type="dxa"/>
                  <w:tcBorders>
                    <w:tl2br w:val="nil"/>
                    <w:tr2bl w:val="nil"/>
                  </w:tcBorders>
                  <w:vAlign w:val="center"/>
                </w:tcPr>
                <w:p>
                  <w:pPr>
                    <w:adjustRightInd w:val="0"/>
                    <w:snapToGrid w:val="0"/>
                    <w:spacing w:line="360" w:lineRule="auto"/>
                    <w:jc w:val="center"/>
                    <w:rPr>
                      <w:szCs w:val="21"/>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rFonts w:cs="宋体"/>
                      <w:szCs w:val="21"/>
                    </w:rPr>
                  </w:pPr>
                  <w:r>
                    <w:rPr>
                      <w:rFonts w:hint="eastAsia" w:cs="宋体"/>
                      <w:szCs w:val="21"/>
                    </w:rPr>
                    <w:t>舵设备</w:t>
                  </w:r>
                </w:p>
              </w:tc>
              <w:tc>
                <w:tcPr>
                  <w:tcW w:w="4274" w:type="dxa"/>
                  <w:tcBorders>
                    <w:tl2br w:val="nil"/>
                    <w:tr2bl w:val="nil"/>
                  </w:tcBorders>
                  <w:vAlign w:val="center"/>
                </w:tcPr>
                <w:p>
                  <w:pPr>
                    <w:autoSpaceDN w:val="0"/>
                    <w:jc w:val="center"/>
                    <w:textAlignment w:val="center"/>
                    <w:rPr>
                      <w:rFonts w:cs="宋体"/>
                      <w:szCs w:val="21"/>
                    </w:rPr>
                  </w:pPr>
                  <w:r>
                    <w:rPr>
                      <w:rFonts w:hint="eastAsia" w:cs="宋体"/>
                      <w:szCs w:val="21"/>
                    </w:rPr>
                    <w:t>舵数量</w:t>
                  </w:r>
                  <w:r>
                    <w:rPr>
                      <w:szCs w:val="21"/>
                    </w:rPr>
                    <w:t>2</w:t>
                  </w:r>
                  <w:r>
                    <w:rPr>
                      <w:rFonts w:hint="eastAsia" w:cs="宋体"/>
                      <w:szCs w:val="21"/>
                    </w:rPr>
                    <w:t>个</w:t>
                  </w:r>
                </w:p>
              </w:tc>
              <w:tc>
                <w:tcPr>
                  <w:tcW w:w="944" w:type="dxa"/>
                  <w:tcBorders>
                    <w:tl2br w:val="nil"/>
                    <w:tr2bl w:val="nil"/>
                  </w:tcBorders>
                  <w:vAlign w:val="center"/>
                </w:tcPr>
                <w:p>
                  <w:pPr>
                    <w:adjustRightInd w:val="0"/>
                    <w:snapToGrid w:val="0"/>
                    <w:spacing w:line="360" w:lineRule="auto"/>
                    <w:jc w:val="center"/>
                    <w:rPr>
                      <w:szCs w:val="21"/>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rFonts w:cs="宋体"/>
                      <w:szCs w:val="21"/>
                    </w:rPr>
                  </w:pPr>
                  <w:r>
                    <w:rPr>
                      <w:rFonts w:hint="eastAsia" w:cs="宋体"/>
                      <w:szCs w:val="21"/>
                    </w:rPr>
                    <w:t>消防设备</w:t>
                  </w:r>
                </w:p>
              </w:tc>
              <w:tc>
                <w:tcPr>
                  <w:tcW w:w="4274" w:type="dxa"/>
                  <w:tcBorders>
                    <w:tl2br w:val="nil"/>
                    <w:tr2bl w:val="nil"/>
                  </w:tcBorders>
                  <w:vAlign w:val="center"/>
                </w:tcPr>
                <w:p>
                  <w:pPr>
                    <w:autoSpaceDN w:val="0"/>
                    <w:jc w:val="center"/>
                    <w:textAlignment w:val="center"/>
                    <w:rPr>
                      <w:rFonts w:cs="宋体"/>
                      <w:szCs w:val="21"/>
                    </w:rPr>
                  </w:pPr>
                  <w:r>
                    <w:rPr>
                      <w:rFonts w:hint="eastAsia" w:cs="宋体"/>
                      <w:szCs w:val="21"/>
                    </w:rPr>
                    <w:t>消防泵1个、灭火器2个</w:t>
                  </w:r>
                </w:p>
              </w:tc>
              <w:tc>
                <w:tcPr>
                  <w:tcW w:w="944" w:type="dxa"/>
                  <w:tcBorders>
                    <w:tl2br w:val="nil"/>
                    <w:tr2bl w:val="nil"/>
                  </w:tcBorders>
                  <w:vAlign w:val="center"/>
                </w:tcPr>
                <w:p>
                  <w:pPr>
                    <w:adjustRightInd w:val="0"/>
                    <w:snapToGrid w:val="0"/>
                    <w:spacing w:line="360" w:lineRule="auto"/>
                    <w:jc w:val="center"/>
                    <w:rPr>
                      <w:szCs w:val="21"/>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2608" w:type="dxa"/>
                  <w:tcBorders>
                    <w:tl2br w:val="nil"/>
                    <w:tr2bl w:val="nil"/>
                  </w:tcBorders>
                  <w:vAlign w:val="center"/>
                </w:tcPr>
                <w:p>
                  <w:pPr>
                    <w:autoSpaceDN w:val="0"/>
                    <w:jc w:val="center"/>
                    <w:textAlignment w:val="center"/>
                    <w:rPr>
                      <w:rFonts w:cs="宋体"/>
                      <w:szCs w:val="21"/>
                    </w:rPr>
                  </w:pPr>
                  <w:r>
                    <w:rPr>
                      <w:rFonts w:hint="eastAsia" w:cs="宋体"/>
                      <w:szCs w:val="21"/>
                    </w:rPr>
                    <w:t>信号设备</w:t>
                  </w:r>
                </w:p>
              </w:tc>
              <w:tc>
                <w:tcPr>
                  <w:tcW w:w="4274" w:type="dxa"/>
                  <w:tcBorders>
                    <w:tl2br w:val="nil"/>
                    <w:tr2bl w:val="nil"/>
                  </w:tcBorders>
                  <w:vAlign w:val="center"/>
                </w:tcPr>
                <w:p>
                  <w:pPr>
                    <w:autoSpaceDN w:val="0"/>
                    <w:jc w:val="center"/>
                    <w:textAlignment w:val="center"/>
                    <w:rPr>
                      <w:rFonts w:cs="宋体"/>
                      <w:szCs w:val="21"/>
                    </w:rPr>
                  </w:pPr>
                  <w:r>
                    <w:rPr>
                      <w:rFonts w:hint="eastAsia" w:cs="宋体"/>
                      <w:szCs w:val="21"/>
                    </w:rPr>
                    <w:t>百环照灯1个、白栀灯1个、国际信号旗1面，号笛1个，红环照灯2个，红旗1面</w:t>
                  </w:r>
                </w:p>
              </w:tc>
              <w:tc>
                <w:tcPr>
                  <w:tcW w:w="944" w:type="dxa"/>
                  <w:tcBorders>
                    <w:tl2br w:val="nil"/>
                    <w:tr2bl w:val="nil"/>
                  </w:tcBorders>
                  <w:vAlign w:val="center"/>
                </w:tcPr>
                <w:p>
                  <w:pPr>
                    <w:adjustRightInd w:val="0"/>
                    <w:snapToGrid w:val="0"/>
                    <w:spacing w:line="360" w:lineRule="auto"/>
                    <w:jc w:val="center"/>
                    <w:rPr>
                      <w:szCs w:val="21"/>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826" w:type="dxa"/>
                  <w:gridSpan w:val="3"/>
                  <w:tcBorders>
                    <w:tl2br w:val="nil"/>
                    <w:tr2bl w:val="nil"/>
                  </w:tcBorders>
                  <w:vAlign w:val="center"/>
                </w:tcPr>
                <w:p>
                  <w:pPr>
                    <w:autoSpaceDN w:val="0"/>
                    <w:jc w:val="center"/>
                    <w:textAlignment w:val="center"/>
                    <w:rPr>
                      <w:rFonts w:cs="宋体"/>
                      <w:szCs w:val="21"/>
                    </w:rPr>
                  </w:pPr>
                  <w:r>
                    <w:rPr>
                      <w:rFonts w:hint="eastAsia" w:cs="宋体"/>
                      <w:szCs w:val="21"/>
                    </w:rPr>
                    <w:t>油水分离船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rFonts w:cs="宋体"/>
                      <w:szCs w:val="21"/>
                    </w:rPr>
                  </w:pPr>
                  <w:r>
                    <w:rPr>
                      <w:rFonts w:hint="eastAsia" w:cs="宋体"/>
                      <w:szCs w:val="21"/>
                    </w:rPr>
                    <w:t>锚设备</w:t>
                  </w:r>
                </w:p>
              </w:tc>
              <w:tc>
                <w:tcPr>
                  <w:tcW w:w="4274" w:type="dxa"/>
                  <w:tcBorders>
                    <w:tl2br w:val="nil"/>
                    <w:tr2bl w:val="nil"/>
                  </w:tcBorders>
                  <w:vAlign w:val="center"/>
                </w:tcPr>
                <w:p>
                  <w:pPr>
                    <w:autoSpaceDN w:val="0"/>
                    <w:jc w:val="center"/>
                    <w:textAlignment w:val="center"/>
                    <w:rPr>
                      <w:rFonts w:cs="宋体"/>
                    </w:rPr>
                  </w:pPr>
                  <w:r>
                    <w:rPr>
                      <w:rFonts w:hint="eastAsia" w:cs="宋体"/>
                    </w:rPr>
                    <w:t>霍尔锚2个，锚机一台</w:t>
                  </w:r>
                </w:p>
              </w:tc>
              <w:tc>
                <w:tcPr>
                  <w:tcW w:w="944" w:type="dxa"/>
                  <w:tcBorders>
                    <w:tl2br w:val="nil"/>
                    <w:tr2bl w:val="nil"/>
                  </w:tcBorders>
                </w:tcPr>
                <w:p>
                  <w:pPr>
                    <w:autoSpaceDN w:val="0"/>
                    <w:jc w:val="center"/>
                    <w:textAlignment w:val="center"/>
                    <w:rPr>
                      <w:rFonts w:cs="宋体"/>
                      <w:szCs w:val="21"/>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rFonts w:cs="宋体"/>
                      <w:szCs w:val="21"/>
                    </w:rPr>
                  </w:pPr>
                  <w:r>
                    <w:rPr>
                      <w:rFonts w:hint="eastAsia" w:cs="宋体"/>
                      <w:szCs w:val="21"/>
                    </w:rPr>
                    <w:t>舵设备</w:t>
                  </w:r>
                </w:p>
              </w:tc>
              <w:tc>
                <w:tcPr>
                  <w:tcW w:w="4274" w:type="dxa"/>
                  <w:tcBorders>
                    <w:tl2br w:val="nil"/>
                    <w:tr2bl w:val="nil"/>
                  </w:tcBorders>
                  <w:vAlign w:val="center"/>
                </w:tcPr>
                <w:p>
                  <w:pPr>
                    <w:autoSpaceDN w:val="0"/>
                    <w:jc w:val="center"/>
                    <w:textAlignment w:val="center"/>
                    <w:rPr>
                      <w:rFonts w:cs="宋体"/>
                    </w:rPr>
                  </w:pPr>
                  <w:r>
                    <w:rPr>
                      <w:rFonts w:hint="eastAsia" w:cs="宋体"/>
                    </w:rPr>
                    <w:t>舵数量</w:t>
                  </w:r>
                  <w:r>
                    <w:t>2</w:t>
                  </w:r>
                  <w:r>
                    <w:rPr>
                      <w:rFonts w:hint="eastAsia" w:cs="宋体"/>
                    </w:rPr>
                    <w:t>个</w:t>
                  </w:r>
                </w:p>
              </w:tc>
              <w:tc>
                <w:tcPr>
                  <w:tcW w:w="944" w:type="dxa"/>
                  <w:tcBorders>
                    <w:tl2br w:val="nil"/>
                    <w:tr2bl w:val="nil"/>
                  </w:tcBorders>
                </w:tcPr>
                <w:p>
                  <w:pPr>
                    <w:autoSpaceDN w:val="0"/>
                    <w:jc w:val="center"/>
                    <w:textAlignment w:val="center"/>
                    <w:rPr>
                      <w:rFonts w:cs="宋体"/>
                      <w:szCs w:val="21"/>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rFonts w:cs="宋体"/>
                      <w:szCs w:val="21"/>
                    </w:rPr>
                  </w:pPr>
                  <w:r>
                    <w:rPr>
                      <w:rFonts w:hint="eastAsia" w:cs="宋体"/>
                      <w:szCs w:val="21"/>
                    </w:rPr>
                    <w:t>消防设备</w:t>
                  </w:r>
                </w:p>
              </w:tc>
              <w:tc>
                <w:tcPr>
                  <w:tcW w:w="4274" w:type="dxa"/>
                  <w:tcBorders>
                    <w:tl2br w:val="nil"/>
                    <w:tr2bl w:val="nil"/>
                  </w:tcBorders>
                  <w:vAlign w:val="center"/>
                </w:tcPr>
                <w:p>
                  <w:pPr>
                    <w:autoSpaceDN w:val="0"/>
                    <w:jc w:val="center"/>
                    <w:textAlignment w:val="center"/>
                    <w:rPr>
                      <w:rFonts w:cs="宋体"/>
                    </w:rPr>
                  </w:pPr>
                  <w:r>
                    <w:rPr>
                      <w:rFonts w:hint="eastAsia" w:cs="宋体"/>
                    </w:rPr>
                    <w:t>消防枪1支、黄沙箱2个、灭火器2个</w:t>
                  </w:r>
                </w:p>
              </w:tc>
              <w:tc>
                <w:tcPr>
                  <w:tcW w:w="944" w:type="dxa"/>
                  <w:tcBorders>
                    <w:tl2br w:val="nil"/>
                    <w:tr2bl w:val="nil"/>
                  </w:tcBorders>
                </w:tcPr>
                <w:p>
                  <w:pPr>
                    <w:autoSpaceDN w:val="0"/>
                    <w:jc w:val="center"/>
                    <w:textAlignment w:val="center"/>
                    <w:rPr>
                      <w:rFonts w:cs="宋体"/>
                      <w:szCs w:val="21"/>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rFonts w:cs="宋体"/>
                      <w:szCs w:val="21"/>
                    </w:rPr>
                  </w:pPr>
                  <w:r>
                    <w:rPr>
                      <w:rFonts w:hint="eastAsia" w:cs="宋体"/>
                      <w:szCs w:val="21"/>
                    </w:rPr>
                    <w:t>信号设备</w:t>
                  </w:r>
                </w:p>
              </w:tc>
              <w:tc>
                <w:tcPr>
                  <w:tcW w:w="4274" w:type="dxa"/>
                  <w:tcBorders>
                    <w:tl2br w:val="nil"/>
                    <w:tr2bl w:val="nil"/>
                  </w:tcBorders>
                  <w:vAlign w:val="center"/>
                </w:tcPr>
                <w:p>
                  <w:pPr>
                    <w:autoSpaceDN w:val="0"/>
                    <w:jc w:val="center"/>
                    <w:textAlignment w:val="center"/>
                    <w:rPr>
                      <w:rFonts w:cs="宋体"/>
                    </w:rPr>
                  </w:pPr>
                  <w:r>
                    <w:rPr>
                      <w:rFonts w:hint="eastAsia" w:cs="宋体"/>
                    </w:rPr>
                    <w:t>百环照灯2个、白栀灯2个、国际信号旗1面，号笛1个，红环照灯3个，红旗1面</w:t>
                  </w:r>
                </w:p>
              </w:tc>
              <w:tc>
                <w:tcPr>
                  <w:tcW w:w="944" w:type="dxa"/>
                  <w:tcBorders>
                    <w:tl2br w:val="nil"/>
                    <w:tr2bl w:val="nil"/>
                  </w:tcBorders>
                </w:tcPr>
                <w:p>
                  <w:pPr>
                    <w:autoSpaceDN w:val="0"/>
                    <w:jc w:val="center"/>
                    <w:textAlignment w:val="center"/>
                    <w:rPr>
                      <w:rFonts w:cs="宋体"/>
                      <w:szCs w:val="21"/>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7826" w:type="dxa"/>
                  <w:gridSpan w:val="3"/>
                  <w:tcBorders>
                    <w:tl2br w:val="nil"/>
                    <w:tr2bl w:val="nil"/>
                  </w:tcBorders>
                  <w:vAlign w:val="center"/>
                </w:tcPr>
                <w:p>
                  <w:pPr>
                    <w:autoSpaceDN w:val="0"/>
                    <w:jc w:val="center"/>
                    <w:textAlignment w:val="center"/>
                    <w:rPr>
                      <w:rFonts w:cs="宋体"/>
                      <w:szCs w:val="21"/>
                    </w:rPr>
                  </w:pPr>
                  <w:r>
                    <w:rPr>
                      <w:rFonts w:hint="eastAsia" w:cs="宋体"/>
                      <w:szCs w:val="21"/>
                    </w:rPr>
                    <w:t>已有救援设备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rFonts w:cs="宋体"/>
                      <w:szCs w:val="21"/>
                    </w:rPr>
                  </w:pPr>
                  <w:r>
                    <w:rPr>
                      <w:rFonts w:hint="eastAsia" w:cs="宋体"/>
                      <w:szCs w:val="21"/>
                    </w:rPr>
                    <w:t>围油栏</w:t>
                  </w:r>
                </w:p>
              </w:tc>
              <w:tc>
                <w:tcPr>
                  <w:tcW w:w="4274" w:type="dxa"/>
                  <w:tcBorders>
                    <w:tl2br w:val="nil"/>
                    <w:tr2bl w:val="nil"/>
                  </w:tcBorders>
                  <w:vAlign w:val="center"/>
                </w:tcPr>
                <w:p>
                  <w:pPr>
                    <w:autoSpaceDN w:val="0"/>
                    <w:jc w:val="center"/>
                    <w:textAlignment w:val="center"/>
                    <w:rPr>
                      <w:rFonts w:cs="宋体"/>
                      <w:szCs w:val="21"/>
                    </w:rPr>
                  </w:pPr>
                  <w:r>
                    <w:rPr>
                      <w:rFonts w:hint="eastAsia" w:cs="宋体"/>
                      <w:szCs w:val="21"/>
                    </w:rPr>
                    <w:t>PVC浮子式800m</w:t>
                  </w:r>
                </w:p>
              </w:tc>
              <w:tc>
                <w:tcPr>
                  <w:tcW w:w="944" w:type="dxa"/>
                  <w:tcBorders>
                    <w:tl2br w:val="nil"/>
                    <w:tr2bl w:val="nil"/>
                  </w:tcBorders>
                </w:tcPr>
                <w:p>
                  <w:pPr>
                    <w:autoSpaceDN w:val="0"/>
                    <w:jc w:val="center"/>
                    <w:textAlignment w:val="center"/>
                    <w:rPr>
                      <w:rFonts w:cs="宋体"/>
                      <w:szCs w:val="21"/>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rFonts w:cs="宋体"/>
                      <w:szCs w:val="21"/>
                    </w:rPr>
                  </w:pPr>
                  <w:r>
                    <w:rPr>
                      <w:rFonts w:hint="eastAsia" w:cs="宋体"/>
                      <w:szCs w:val="21"/>
                    </w:rPr>
                    <w:t>吸油棉</w:t>
                  </w:r>
                </w:p>
              </w:tc>
              <w:tc>
                <w:tcPr>
                  <w:tcW w:w="4274" w:type="dxa"/>
                  <w:tcBorders>
                    <w:tl2br w:val="nil"/>
                    <w:tr2bl w:val="nil"/>
                  </w:tcBorders>
                  <w:vAlign w:val="center"/>
                </w:tcPr>
                <w:p>
                  <w:pPr>
                    <w:autoSpaceDN w:val="0"/>
                    <w:jc w:val="center"/>
                    <w:textAlignment w:val="center"/>
                    <w:rPr>
                      <w:rFonts w:cs="宋体"/>
                      <w:szCs w:val="21"/>
                    </w:rPr>
                  </w:pPr>
                  <w:r>
                    <w:rPr>
                      <w:rFonts w:hint="eastAsia" w:cs="宋体"/>
                      <w:szCs w:val="21"/>
                    </w:rPr>
                    <w:t>500m</w:t>
                  </w:r>
                </w:p>
              </w:tc>
              <w:tc>
                <w:tcPr>
                  <w:tcW w:w="944" w:type="dxa"/>
                  <w:tcBorders>
                    <w:tl2br w:val="nil"/>
                    <w:tr2bl w:val="nil"/>
                  </w:tcBorders>
                </w:tcPr>
                <w:p>
                  <w:pPr>
                    <w:autoSpaceDN w:val="0"/>
                    <w:jc w:val="center"/>
                    <w:textAlignment w:val="center"/>
                    <w:rPr>
                      <w:rFonts w:cs="宋体"/>
                      <w:szCs w:val="21"/>
                    </w:rPr>
                  </w:pPr>
                  <w:r>
                    <w:rPr>
                      <w:rFonts w:hint="eastAsia" w:cs="宋体"/>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608" w:type="dxa"/>
                  <w:tcBorders>
                    <w:tl2br w:val="nil"/>
                    <w:tr2bl w:val="nil"/>
                  </w:tcBorders>
                  <w:vAlign w:val="center"/>
                </w:tcPr>
                <w:p>
                  <w:pPr>
                    <w:autoSpaceDN w:val="0"/>
                    <w:jc w:val="center"/>
                    <w:textAlignment w:val="center"/>
                    <w:rPr>
                      <w:rFonts w:cs="宋体"/>
                      <w:szCs w:val="21"/>
                    </w:rPr>
                  </w:pPr>
                  <w:r>
                    <w:rPr>
                      <w:rFonts w:hint="eastAsia" w:cs="宋体"/>
                      <w:szCs w:val="21"/>
                    </w:rPr>
                    <w:t>吸油索</w:t>
                  </w:r>
                </w:p>
              </w:tc>
              <w:tc>
                <w:tcPr>
                  <w:tcW w:w="4274" w:type="dxa"/>
                  <w:tcBorders>
                    <w:tl2br w:val="nil"/>
                    <w:tr2bl w:val="nil"/>
                  </w:tcBorders>
                  <w:vAlign w:val="center"/>
                </w:tcPr>
                <w:p>
                  <w:pPr>
                    <w:autoSpaceDN w:val="0"/>
                    <w:jc w:val="center"/>
                    <w:textAlignment w:val="center"/>
                    <w:rPr>
                      <w:rFonts w:cs="宋体"/>
                      <w:szCs w:val="21"/>
                    </w:rPr>
                  </w:pPr>
                  <w:r>
                    <w:rPr>
                      <w:rFonts w:hint="eastAsia" w:cs="宋体"/>
                      <w:szCs w:val="21"/>
                    </w:rPr>
                    <w:t>300m</w:t>
                  </w:r>
                </w:p>
              </w:tc>
              <w:tc>
                <w:tcPr>
                  <w:tcW w:w="944" w:type="dxa"/>
                  <w:tcBorders>
                    <w:tl2br w:val="nil"/>
                    <w:tr2bl w:val="nil"/>
                  </w:tcBorders>
                </w:tcPr>
                <w:p>
                  <w:pPr>
                    <w:autoSpaceDN w:val="0"/>
                    <w:jc w:val="center"/>
                    <w:textAlignment w:val="center"/>
                    <w:rPr>
                      <w:rFonts w:cs="宋体"/>
                      <w:szCs w:val="21"/>
                    </w:rPr>
                  </w:pPr>
                  <w:r>
                    <w:rPr>
                      <w:rFonts w:hint="eastAsia" w:cs="宋体"/>
                      <w:szCs w:val="21"/>
                    </w:rPr>
                    <w:t>/</w:t>
                  </w:r>
                </w:p>
              </w:tc>
            </w:tr>
          </w:tbl>
          <w:p>
            <w:pPr>
              <w:adjustRightInd w:val="0"/>
              <w:snapToGrid w:val="0"/>
              <w:spacing w:line="360" w:lineRule="auto"/>
              <w:rPr>
                <w:b/>
                <w:bCs/>
                <w:sz w:val="24"/>
                <w:szCs w:val="24"/>
              </w:rPr>
            </w:pPr>
            <w:r>
              <w:rPr>
                <w:rFonts w:hint="eastAsia"/>
                <w:b/>
                <w:bCs/>
                <w:sz w:val="24"/>
                <w:szCs w:val="24"/>
              </w:rPr>
              <w:t>（3）项目原辅材料</w:t>
            </w:r>
          </w:p>
          <w:p>
            <w:pPr>
              <w:spacing w:line="360" w:lineRule="auto"/>
              <w:ind w:firstLine="480" w:firstLineChars="200"/>
              <w:jc w:val="center"/>
              <w:rPr>
                <w:b/>
                <w:szCs w:val="21"/>
              </w:rPr>
            </w:pPr>
            <w:r>
              <w:rPr>
                <w:sz w:val="24"/>
              </w:rPr>
              <w:t>根据建设方提供的资料，本项目主要原辅材料具体情况见表</w:t>
            </w:r>
            <w:r>
              <w:rPr>
                <w:rFonts w:hint="eastAsia"/>
                <w:sz w:val="24"/>
              </w:rPr>
              <w:t>2-11</w:t>
            </w:r>
            <w:r>
              <w:rPr>
                <w:sz w:val="24"/>
              </w:rPr>
              <w:t>。</w:t>
            </w:r>
            <w:r>
              <w:rPr>
                <w:b/>
                <w:szCs w:val="21"/>
              </w:rPr>
              <w:br w:type="textWrapping"/>
            </w:r>
            <w:r>
              <w:rPr>
                <w:b/>
                <w:szCs w:val="21"/>
              </w:rPr>
              <w:t>表</w:t>
            </w:r>
            <w:r>
              <w:rPr>
                <w:rFonts w:hint="eastAsia"/>
                <w:b/>
                <w:szCs w:val="21"/>
              </w:rPr>
              <w:t>2-11</w:t>
            </w:r>
            <w:r>
              <w:rPr>
                <w:b/>
                <w:szCs w:val="21"/>
              </w:rPr>
              <w:t>项目主要原辅材料表</w:t>
            </w:r>
          </w:p>
          <w:tbl>
            <w:tblPr>
              <w:tblStyle w:val="25"/>
              <w:tblpPr w:leftFromText="180" w:rightFromText="180" w:vertAnchor="text" w:horzAnchor="page" w:tblpX="132" w:tblpY="42"/>
              <w:tblOverlap w:val="never"/>
              <w:tblW w:w="751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73"/>
              <w:gridCol w:w="1704"/>
              <w:gridCol w:w="1609"/>
              <w:gridCol w:w="1477"/>
              <w:gridCol w:w="175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973" w:type="dxa"/>
                  <w:tcBorders>
                    <w:tl2br w:val="nil"/>
                    <w:tr2bl w:val="nil"/>
                  </w:tcBorders>
                  <w:noWrap/>
                  <w:vAlign w:val="center"/>
                </w:tcPr>
                <w:p>
                  <w:pPr>
                    <w:jc w:val="center"/>
                    <w:rPr>
                      <w:szCs w:val="21"/>
                    </w:rPr>
                  </w:pPr>
                  <w:r>
                    <w:rPr>
                      <w:szCs w:val="21"/>
                    </w:rPr>
                    <w:t>序号</w:t>
                  </w:r>
                </w:p>
              </w:tc>
              <w:tc>
                <w:tcPr>
                  <w:tcW w:w="1704" w:type="dxa"/>
                  <w:tcBorders>
                    <w:tl2br w:val="nil"/>
                    <w:tr2bl w:val="nil"/>
                  </w:tcBorders>
                  <w:noWrap/>
                  <w:vAlign w:val="center"/>
                </w:tcPr>
                <w:p>
                  <w:pPr>
                    <w:jc w:val="center"/>
                    <w:rPr>
                      <w:szCs w:val="21"/>
                    </w:rPr>
                  </w:pPr>
                  <w:r>
                    <w:rPr>
                      <w:szCs w:val="21"/>
                    </w:rPr>
                    <w:t>原辅材料名称</w:t>
                  </w:r>
                </w:p>
              </w:tc>
              <w:tc>
                <w:tcPr>
                  <w:tcW w:w="1609" w:type="dxa"/>
                  <w:tcBorders>
                    <w:tl2br w:val="nil"/>
                    <w:tr2bl w:val="nil"/>
                  </w:tcBorders>
                  <w:noWrap/>
                  <w:vAlign w:val="center"/>
                </w:tcPr>
                <w:p>
                  <w:pPr>
                    <w:jc w:val="center"/>
                    <w:rPr>
                      <w:szCs w:val="21"/>
                    </w:rPr>
                  </w:pPr>
                  <w:r>
                    <w:rPr>
                      <w:rFonts w:hint="eastAsia"/>
                      <w:szCs w:val="21"/>
                    </w:rPr>
                    <w:t>二期建设完成后</w:t>
                  </w:r>
                  <w:r>
                    <w:rPr>
                      <w:szCs w:val="21"/>
                    </w:rPr>
                    <w:t>年用量（t/a）</w:t>
                  </w:r>
                </w:p>
              </w:tc>
              <w:tc>
                <w:tcPr>
                  <w:tcW w:w="1477" w:type="dxa"/>
                  <w:tcBorders>
                    <w:tl2br w:val="nil"/>
                    <w:tr2bl w:val="nil"/>
                  </w:tcBorders>
                  <w:noWrap/>
                  <w:vAlign w:val="center"/>
                </w:tcPr>
                <w:p>
                  <w:pPr>
                    <w:jc w:val="center"/>
                    <w:rPr>
                      <w:szCs w:val="21"/>
                    </w:rPr>
                  </w:pPr>
                  <w:r>
                    <w:rPr>
                      <w:rFonts w:hint="eastAsia"/>
                      <w:szCs w:val="21"/>
                    </w:rPr>
                    <w:t>来源</w:t>
                  </w:r>
                </w:p>
              </w:tc>
              <w:tc>
                <w:tcPr>
                  <w:tcW w:w="1754" w:type="dxa"/>
                  <w:tcBorders>
                    <w:tl2br w:val="nil"/>
                    <w:tr2bl w:val="nil"/>
                  </w:tcBorders>
                  <w:noWrap/>
                  <w:vAlign w:val="center"/>
                </w:tcPr>
                <w:p>
                  <w:pPr>
                    <w:jc w:val="center"/>
                    <w:rPr>
                      <w:szCs w:val="21"/>
                    </w:rPr>
                  </w:pPr>
                  <w:r>
                    <w:rPr>
                      <w:rFonts w:hint="eastAsia"/>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973" w:type="dxa"/>
                  <w:tcBorders>
                    <w:tl2br w:val="nil"/>
                    <w:tr2bl w:val="nil"/>
                  </w:tcBorders>
                  <w:noWrap/>
                  <w:vAlign w:val="center"/>
                </w:tcPr>
                <w:p>
                  <w:pPr>
                    <w:jc w:val="center"/>
                    <w:rPr>
                      <w:szCs w:val="21"/>
                    </w:rPr>
                  </w:pPr>
                  <w:r>
                    <w:rPr>
                      <w:szCs w:val="21"/>
                    </w:rPr>
                    <w:t>1</w:t>
                  </w:r>
                </w:p>
              </w:tc>
              <w:tc>
                <w:tcPr>
                  <w:tcW w:w="1704" w:type="dxa"/>
                  <w:tcBorders>
                    <w:tl2br w:val="nil"/>
                    <w:tr2bl w:val="nil"/>
                  </w:tcBorders>
                  <w:noWrap/>
                  <w:vAlign w:val="center"/>
                </w:tcPr>
                <w:p>
                  <w:pPr>
                    <w:spacing w:after="160"/>
                    <w:jc w:val="center"/>
                    <w:rPr>
                      <w:kern w:val="0"/>
                      <w:szCs w:val="21"/>
                    </w:rPr>
                  </w:pPr>
                  <w:r>
                    <w:rPr>
                      <w:rFonts w:hint="eastAsia"/>
                      <w:kern w:val="0"/>
                      <w:szCs w:val="21"/>
                    </w:rPr>
                    <w:t>柴油</w:t>
                  </w:r>
                </w:p>
              </w:tc>
              <w:tc>
                <w:tcPr>
                  <w:tcW w:w="1609" w:type="dxa"/>
                  <w:tcBorders>
                    <w:tl2br w:val="nil"/>
                    <w:tr2bl w:val="nil"/>
                  </w:tcBorders>
                  <w:noWrap/>
                  <w:vAlign w:val="center"/>
                </w:tcPr>
                <w:p>
                  <w:pPr>
                    <w:spacing w:after="160"/>
                    <w:jc w:val="center"/>
                    <w:rPr>
                      <w:color w:val="FF0000"/>
                      <w:kern w:val="0"/>
                      <w:szCs w:val="21"/>
                    </w:rPr>
                  </w:pPr>
                  <w:r>
                    <w:rPr>
                      <w:rStyle w:val="30"/>
                      <w:rFonts w:hint="eastAsia"/>
                    </w:rPr>
                    <w:t>150</w:t>
                  </w:r>
                </w:p>
              </w:tc>
              <w:tc>
                <w:tcPr>
                  <w:tcW w:w="1477" w:type="dxa"/>
                  <w:tcBorders>
                    <w:tl2br w:val="nil"/>
                    <w:tr2bl w:val="nil"/>
                  </w:tcBorders>
                  <w:noWrap/>
                  <w:vAlign w:val="center"/>
                </w:tcPr>
                <w:p>
                  <w:pPr>
                    <w:jc w:val="center"/>
                    <w:rPr>
                      <w:szCs w:val="21"/>
                    </w:rPr>
                  </w:pPr>
                  <w:r>
                    <w:rPr>
                      <w:rFonts w:hint="eastAsia"/>
                      <w:szCs w:val="21"/>
                    </w:rPr>
                    <w:t>水上加油船</w:t>
                  </w:r>
                </w:p>
              </w:tc>
              <w:tc>
                <w:tcPr>
                  <w:tcW w:w="1754" w:type="dxa"/>
                  <w:tcBorders>
                    <w:tl2br w:val="nil"/>
                    <w:tr2bl w:val="nil"/>
                  </w:tcBorders>
                  <w:noWrap/>
                  <w:vAlign w:val="center"/>
                </w:tcPr>
                <w:p>
                  <w:pPr>
                    <w:jc w:val="center"/>
                    <w:rPr>
                      <w:szCs w:val="21"/>
                    </w:rPr>
                  </w:pPr>
                  <w:r>
                    <w:rPr>
                      <w:rFonts w:hint="eastAsia"/>
                      <w:szCs w:val="21"/>
                    </w:rPr>
                    <w:t>船只流动作业和柴油发电机</w:t>
                  </w:r>
                </w:p>
              </w:tc>
            </w:tr>
          </w:tbl>
          <w:p>
            <w:pPr>
              <w:pStyle w:val="16"/>
              <w:ind w:left="420"/>
              <w:rPr>
                <w:b/>
                <w:bCs/>
                <w:sz w:val="24"/>
                <w:szCs w:val="24"/>
              </w:rPr>
            </w:pPr>
            <w:r>
              <w:rPr>
                <w:rFonts w:hint="eastAsia"/>
                <w:b/>
                <w:bCs/>
                <w:sz w:val="24"/>
                <w:szCs w:val="24"/>
              </w:rPr>
              <w:t>（4）二期项目接收船舶污染物种类及规模</w:t>
            </w:r>
          </w:p>
          <w:p>
            <w:pPr>
              <w:spacing w:line="360" w:lineRule="auto"/>
              <w:jc w:val="center"/>
              <w:rPr>
                <w:b/>
                <w:szCs w:val="21"/>
              </w:rPr>
            </w:pPr>
          </w:p>
          <w:p>
            <w:pPr>
              <w:spacing w:line="360" w:lineRule="auto"/>
              <w:jc w:val="center"/>
              <w:rPr>
                <w:b/>
                <w:szCs w:val="21"/>
              </w:rPr>
            </w:pPr>
            <w:r>
              <w:rPr>
                <w:b/>
                <w:szCs w:val="21"/>
              </w:rPr>
              <w:t>表</w:t>
            </w:r>
            <w:r>
              <w:rPr>
                <w:rFonts w:hint="eastAsia"/>
                <w:b/>
                <w:szCs w:val="21"/>
              </w:rPr>
              <w:t>2-12项目接收船舶污染物种类及规模</w:t>
            </w:r>
          </w:p>
          <w:tbl>
            <w:tblPr>
              <w:tblStyle w:val="24"/>
              <w:tblpPr w:leftFromText="180" w:rightFromText="180" w:vertAnchor="text" w:horzAnchor="page" w:tblpXSpec="center" w:tblpY="73"/>
              <w:tblOverlap w:val="never"/>
              <w:tblW w:w="735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155"/>
              <w:gridCol w:w="2101"/>
              <w:gridCol w:w="310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2155" w:type="dxa"/>
                  <w:tcBorders>
                    <w:tl2br w:val="nil"/>
                    <w:tr2bl w:val="nil"/>
                  </w:tcBorders>
                  <w:noWrap/>
                  <w:vAlign w:val="center"/>
                </w:tcPr>
                <w:p>
                  <w:pPr>
                    <w:adjustRightInd w:val="0"/>
                    <w:jc w:val="center"/>
                    <w:rPr>
                      <w:szCs w:val="21"/>
                    </w:rPr>
                  </w:pPr>
                  <w:r>
                    <w:rPr>
                      <w:szCs w:val="21"/>
                    </w:rPr>
                    <w:t>产品</w:t>
                  </w:r>
                </w:p>
              </w:tc>
              <w:tc>
                <w:tcPr>
                  <w:tcW w:w="2101" w:type="dxa"/>
                  <w:tcBorders>
                    <w:tl2br w:val="nil"/>
                    <w:tr2bl w:val="nil"/>
                  </w:tcBorders>
                  <w:noWrap/>
                  <w:vAlign w:val="center"/>
                </w:tcPr>
                <w:p>
                  <w:pPr>
                    <w:adjustRightInd w:val="0"/>
                    <w:jc w:val="center"/>
                    <w:rPr>
                      <w:szCs w:val="21"/>
                    </w:rPr>
                  </w:pPr>
                  <w:r>
                    <w:rPr>
                      <w:rFonts w:hint="eastAsia"/>
                      <w:szCs w:val="21"/>
                    </w:rPr>
                    <w:t>二期完成后</w:t>
                  </w:r>
                  <w:r>
                    <w:rPr>
                      <w:szCs w:val="21"/>
                    </w:rPr>
                    <w:t>产</w:t>
                  </w:r>
                  <w:r>
                    <w:rPr>
                      <w:rFonts w:hint="eastAsia"/>
                      <w:szCs w:val="21"/>
                    </w:rPr>
                    <w:t>能</w:t>
                  </w:r>
                  <w:r>
                    <w:rPr>
                      <w:szCs w:val="21"/>
                    </w:rPr>
                    <w:t>（t/a）</w:t>
                  </w:r>
                </w:p>
              </w:tc>
              <w:tc>
                <w:tcPr>
                  <w:tcW w:w="3103" w:type="dxa"/>
                  <w:tcBorders>
                    <w:tl2br w:val="nil"/>
                    <w:tr2bl w:val="nil"/>
                  </w:tcBorders>
                  <w:noWrap/>
                  <w:vAlign w:val="center"/>
                </w:tcPr>
                <w:p>
                  <w:pPr>
                    <w:adjustRightInd w:val="0"/>
                    <w:jc w:val="center"/>
                    <w:rPr>
                      <w:szCs w:val="21"/>
                    </w:rPr>
                  </w:pPr>
                  <w:r>
                    <w:rPr>
                      <w:rFonts w:hint="eastAsia"/>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2155" w:type="dxa"/>
                  <w:tcBorders>
                    <w:tl2br w:val="nil"/>
                    <w:tr2bl w:val="nil"/>
                  </w:tcBorders>
                  <w:noWrap/>
                  <w:vAlign w:val="center"/>
                </w:tcPr>
                <w:p>
                  <w:pPr>
                    <w:spacing w:after="160"/>
                    <w:jc w:val="center"/>
                    <w:rPr>
                      <w:szCs w:val="21"/>
                    </w:rPr>
                  </w:pPr>
                  <w:r>
                    <w:rPr>
                      <w:rFonts w:hint="eastAsia"/>
                      <w:szCs w:val="21"/>
                    </w:rPr>
                    <w:t>废机油</w:t>
                  </w:r>
                </w:p>
              </w:tc>
              <w:tc>
                <w:tcPr>
                  <w:tcW w:w="2101" w:type="dxa"/>
                  <w:tcBorders>
                    <w:tl2br w:val="nil"/>
                    <w:tr2bl w:val="nil"/>
                  </w:tcBorders>
                  <w:noWrap/>
                  <w:vAlign w:val="center"/>
                </w:tcPr>
                <w:p>
                  <w:pPr>
                    <w:spacing w:after="160"/>
                    <w:jc w:val="center"/>
                    <w:rPr>
                      <w:color w:val="FF0000"/>
                      <w:szCs w:val="21"/>
                    </w:rPr>
                  </w:pPr>
                  <w:r>
                    <w:rPr>
                      <w:rFonts w:hint="eastAsia"/>
                      <w:color w:val="000000" w:themeColor="text1"/>
                      <w:szCs w:val="21"/>
                      <w14:textFill>
                        <w14:solidFill>
                          <w14:schemeClr w14:val="tx1"/>
                        </w14:solidFill>
                      </w14:textFill>
                    </w:rPr>
                    <w:t>300</w:t>
                  </w:r>
                </w:p>
              </w:tc>
              <w:tc>
                <w:tcPr>
                  <w:tcW w:w="3103" w:type="dxa"/>
                  <w:tcBorders>
                    <w:tl2br w:val="nil"/>
                    <w:tr2bl w:val="nil"/>
                  </w:tcBorders>
                  <w:noWrap/>
                  <w:vAlign w:val="center"/>
                </w:tcPr>
                <w:p>
                  <w:pPr>
                    <w:spacing w:after="160"/>
                    <w:jc w:val="center"/>
                    <w:rPr>
                      <w:szCs w:val="21"/>
                    </w:rPr>
                  </w:pPr>
                  <w:r>
                    <w:rPr>
                      <w:rFonts w:hint="eastAsia"/>
                      <w:szCs w:val="21"/>
                    </w:rPr>
                    <w:t>接收的废机油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2155" w:type="dxa"/>
                  <w:tcBorders>
                    <w:tl2br w:val="nil"/>
                    <w:tr2bl w:val="nil"/>
                  </w:tcBorders>
                  <w:noWrap/>
                  <w:vAlign w:val="center"/>
                </w:tcPr>
                <w:p>
                  <w:pPr>
                    <w:spacing w:after="160"/>
                    <w:jc w:val="center"/>
                    <w:rPr>
                      <w:szCs w:val="21"/>
                    </w:rPr>
                  </w:pPr>
                  <w:r>
                    <w:rPr>
                      <w:rFonts w:hint="eastAsia"/>
                      <w:szCs w:val="21"/>
                    </w:rPr>
                    <w:t>含油废水</w:t>
                  </w:r>
                </w:p>
              </w:tc>
              <w:tc>
                <w:tcPr>
                  <w:tcW w:w="2101" w:type="dxa"/>
                  <w:tcBorders>
                    <w:tl2br w:val="nil"/>
                    <w:tr2bl w:val="nil"/>
                  </w:tcBorders>
                  <w:noWrap/>
                  <w:vAlign w:val="center"/>
                </w:tcPr>
                <w:p>
                  <w:pPr>
                    <w:spacing w:after="160"/>
                    <w:jc w:val="center"/>
                    <w:rPr>
                      <w:szCs w:val="21"/>
                    </w:rPr>
                  </w:pPr>
                  <w:r>
                    <w:rPr>
                      <w:rFonts w:hint="eastAsia"/>
                      <w:szCs w:val="21"/>
                    </w:rPr>
                    <w:t>10000</w:t>
                  </w:r>
                </w:p>
              </w:tc>
              <w:tc>
                <w:tcPr>
                  <w:tcW w:w="3103" w:type="dxa"/>
                  <w:tcBorders>
                    <w:tl2br w:val="nil"/>
                    <w:tr2bl w:val="nil"/>
                  </w:tcBorders>
                  <w:noWrap/>
                  <w:vAlign w:val="center"/>
                </w:tcPr>
                <w:p>
                  <w:pPr>
                    <w:spacing w:after="160"/>
                    <w:jc w:val="center"/>
                    <w:rPr>
                      <w:szCs w:val="21"/>
                    </w:rPr>
                  </w:pPr>
                  <w:r>
                    <w:rPr>
                      <w:rFonts w:hint="eastAsia"/>
                      <w:szCs w:val="21"/>
                    </w:rPr>
                    <w:t>其中包含分离后废机油量700t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2155" w:type="dxa"/>
                  <w:tcBorders>
                    <w:tl2br w:val="nil"/>
                    <w:tr2bl w:val="nil"/>
                  </w:tcBorders>
                  <w:noWrap/>
                  <w:vAlign w:val="center"/>
                </w:tcPr>
                <w:p>
                  <w:pPr>
                    <w:spacing w:after="160"/>
                    <w:jc w:val="center"/>
                    <w:rPr>
                      <w:szCs w:val="21"/>
                    </w:rPr>
                  </w:pPr>
                  <w:r>
                    <w:rPr>
                      <w:rFonts w:hint="eastAsia"/>
                      <w:szCs w:val="21"/>
                    </w:rPr>
                    <w:t>船舶垃圾</w:t>
                  </w:r>
                </w:p>
              </w:tc>
              <w:tc>
                <w:tcPr>
                  <w:tcW w:w="2101" w:type="dxa"/>
                  <w:tcBorders>
                    <w:tl2br w:val="nil"/>
                    <w:tr2bl w:val="nil"/>
                  </w:tcBorders>
                  <w:noWrap/>
                  <w:vAlign w:val="center"/>
                </w:tcPr>
                <w:p>
                  <w:pPr>
                    <w:spacing w:after="160"/>
                    <w:jc w:val="center"/>
                    <w:rPr>
                      <w:szCs w:val="21"/>
                    </w:rPr>
                  </w:pPr>
                  <w:r>
                    <w:rPr>
                      <w:rFonts w:hint="eastAsia"/>
                      <w:szCs w:val="21"/>
                    </w:rPr>
                    <w:t>600</w:t>
                  </w:r>
                </w:p>
              </w:tc>
              <w:tc>
                <w:tcPr>
                  <w:tcW w:w="3103" w:type="dxa"/>
                  <w:tcBorders>
                    <w:tl2br w:val="nil"/>
                    <w:tr2bl w:val="nil"/>
                  </w:tcBorders>
                  <w:noWrap/>
                  <w:vAlign w:val="center"/>
                </w:tcPr>
                <w:p>
                  <w:pPr>
                    <w:spacing w:after="160"/>
                    <w:jc w:val="center"/>
                    <w:rPr>
                      <w:bCs/>
                      <w:szCs w:val="21"/>
                    </w:rPr>
                  </w:pPr>
                  <w:r>
                    <w:rPr>
                      <w:rFonts w:hint="eastAsia"/>
                      <w:bCs/>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155" w:type="dxa"/>
                  <w:tcBorders>
                    <w:tl2br w:val="nil"/>
                    <w:tr2bl w:val="nil"/>
                  </w:tcBorders>
                  <w:noWrap/>
                  <w:vAlign w:val="center"/>
                </w:tcPr>
                <w:p>
                  <w:pPr>
                    <w:spacing w:after="160"/>
                    <w:jc w:val="center"/>
                    <w:rPr>
                      <w:szCs w:val="21"/>
                    </w:rPr>
                  </w:pPr>
                  <w:r>
                    <w:rPr>
                      <w:rFonts w:hint="eastAsia"/>
                      <w:szCs w:val="21"/>
                    </w:rPr>
                    <w:t>生活污水</w:t>
                  </w:r>
                </w:p>
              </w:tc>
              <w:tc>
                <w:tcPr>
                  <w:tcW w:w="2101" w:type="dxa"/>
                  <w:tcBorders>
                    <w:tl2br w:val="nil"/>
                    <w:tr2bl w:val="nil"/>
                  </w:tcBorders>
                  <w:noWrap/>
                  <w:vAlign w:val="center"/>
                </w:tcPr>
                <w:p>
                  <w:pPr>
                    <w:spacing w:after="160"/>
                    <w:jc w:val="center"/>
                    <w:rPr>
                      <w:szCs w:val="21"/>
                    </w:rPr>
                  </w:pPr>
                  <w:r>
                    <w:rPr>
                      <w:rFonts w:hint="eastAsia"/>
                      <w:szCs w:val="21"/>
                    </w:rPr>
                    <w:t>10000</w:t>
                  </w:r>
                </w:p>
              </w:tc>
              <w:tc>
                <w:tcPr>
                  <w:tcW w:w="3103" w:type="dxa"/>
                  <w:tcBorders>
                    <w:tl2br w:val="nil"/>
                    <w:tr2bl w:val="nil"/>
                  </w:tcBorders>
                  <w:noWrap/>
                  <w:vAlign w:val="center"/>
                </w:tcPr>
                <w:p>
                  <w:pPr>
                    <w:spacing w:after="160"/>
                    <w:jc w:val="center"/>
                    <w:rPr>
                      <w:bCs/>
                      <w:szCs w:val="21"/>
                    </w:rPr>
                  </w:pPr>
                  <w:r>
                    <w:rPr>
                      <w:rFonts w:hint="eastAsia"/>
                      <w:bCs/>
                      <w:szCs w:val="21"/>
                    </w:rPr>
                    <w:t>/</w:t>
                  </w:r>
                </w:p>
              </w:tc>
            </w:tr>
          </w:tbl>
          <w:p>
            <w:pPr>
              <w:spacing w:line="360" w:lineRule="auto"/>
              <w:ind w:left="479" w:leftChars="228"/>
              <w:rPr>
                <w:b/>
                <w:sz w:val="24"/>
                <w:u w:val="single"/>
              </w:rPr>
            </w:pPr>
            <w:r>
              <w:rPr>
                <w:rFonts w:hint="eastAsia"/>
                <w:b/>
                <w:sz w:val="24"/>
                <w:u w:val="single"/>
              </w:rPr>
              <w:t>接受量分析：</w:t>
            </w:r>
          </w:p>
          <w:p>
            <w:pPr>
              <w:spacing w:line="360" w:lineRule="auto"/>
              <w:ind w:firstLine="480" w:firstLineChars="200"/>
              <w:rPr>
                <w:b/>
                <w:sz w:val="24"/>
                <w:u w:val="single"/>
              </w:rPr>
            </w:pPr>
            <w:r>
              <w:rPr>
                <w:rFonts w:hint="eastAsia"/>
                <w:bCs/>
                <w:sz w:val="24"/>
                <w:u w:val="single"/>
              </w:rPr>
              <w:t>根据2015年对洞庭湖水域船舶污染物接收的市场调研，湖南清源环保船舶污染物接收有限公司回收废机油200吨，约占岳阳地区船舶废机油总量的30%，另一家船舶废机油回收单位回收的废机油约占岳阳地区船舶废机油总量的15%，其余55%的船舶还是往江河湖泊直排污水。船舶按照不维修机械只更换机油计算，船舶每马力一年会产生1公斤的废机油，加上维修用油及机械自身漏油计算，每年一马力至少要排岀2公斤以上废油。岳阳县港区其他船舶会逐步増加，该部分船舶的船舶污染物接收需求量会逐步増加。结合市场的空缺，湖南清源环保船舶污染物接收有限公司扩建项目増加对污染物处理，更好的高效率的对湖面进行整治减少其他船只废水偷排入东洞庭湖。水域船舶产生的污染物能够满足项目设计的接受量。</w:t>
            </w:r>
          </w:p>
          <w:p>
            <w:pPr>
              <w:spacing w:line="360" w:lineRule="auto"/>
              <w:ind w:firstLine="482" w:firstLineChars="200"/>
              <w:rPr>
                <w:b/>
                <w:color w:val="000000"/>
                <w:sz w:val="24"/>
                <w:lang w:val="zh-CN"/>
              </w:rPr>
            </w:pPr>
            <w:r>
              <w:rPr>
                <w:rFonts w:hint="eastAsia"/>
                <w:b/>
                <w:sz w:val="24"/>
              </w:rPr>
              <w:t>（5）</w:t>
            </w:r>
            <w:r>
              <w:rPr>
                <w:b/>
                <w:color w:val="000000"/>
                <w:sz w:val="24"/>
                <w:lang w:val="zh-CN"/>
              </w:rPr>
              <w:t>劳动定员及工作班制</w:t>
            </w:r>
          </w:p>
          <w:p>
            <w:pPr>
              <w:spacing w:line="360" w:lineRule="auto"/>
              <w:ind w:firstLine="480" w:firstLineChars="200"/>
              <w:rPr>
                <w:rFonts w:ascii="宋体" w:hAnsi="宋体" w:cs="宋体"/>
                <w:bCs/>
                <w:szCs w:val="21"/>
              </w:rPr>
            </w:pPr>
            <w:r>
              <w:rPr>
                <w:rFonts w:hint="eastAsia"/>
                <w:color w:val="000000"/>
                <w:sz w:val="24"/>
              </w:rPr>
              <w:t>扩建后项目员工为14人，二期增加6人，采用白班制8小时生产、年工作时间为365天（恶劣天气不出行）</w:t>
            </w:r>
            <w:r>
              <w:rPr>
                <w:color w:val="000000"/>
                <w:sz w:val="24"/>
              </w:rPr>
              <w:t>。</w:t>
            </w:r>
            <w:r>
              <w:rPr>
                <w:color w:val="000000"/>
                <w:sz w:val="24"/>
              </w:rPr>
              <w:br w:type="textWrapping"/>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060" w:hRule="atLeast"/>
          <w:jc w:val="center"/>
        </w:trPr>
        <w:tc>
          <w:tcPr>
            <w:tcW w:w="942" w:type="dxa"/>
            <w:tcBorders>
              <w:tl2br w:val="nil"/>
              <w:tr2bl w:val="nil"/>
            </w:tcBorders>
            <w:noWrap/>
            <w:vAlign w:val="center"/>
          </w:tcPr>
          <w:p>
            <w:pPr>
              <w:pStyle w:val="20"/>
              <w:adjustRightInd w:val="0"/>
              <w:snapToGrid w:val="0"/>
              <w:spacing w:before="0" w:beforeAutospacing="0" w:after="0" w:afterAutospacing="0"/>
              <w:jc w:val="center"/>
              <w:rPr>
                <w:sz w:val="21"/>
                <w:szCs w:val="21"/>
              </w:rPr>
            </w:pPr>
            <w:r>
              <w:rPr>
                <w:rFonts w:hint="eastAsia"/>
                <w:sz w:val="21"/>
                <w:szCs w:val="21"/>
              </w:rPr>
              <w:t>工艺流程和产排污环节</w:t>
            </w:r>
          </w:p>
        </w:tc>
        <w:tc>
          <w:tcPr>
            <w:tcW w:w="8042" w:type="dxa"/>
            <w:tcBorders>
              <w:tl2br w:val="nil"/>
              <w:tr2bl w:val="nil"/>
            </w:tcBorders>
            <w:noWrap/>
          </w:tcPr>
          <w:p>
            <w:pPr>
              <w:numPr>
                <w:ilvl w:val="0"/>
                <w:numId w:val="8"/>
              </w:numPr>
              <w:rPr>
                <w:b/>
                <w:bCs/>
                <w:sz w:val="24"/>
                <w:szCs w:val="24"/>
              </w:rPr>
            </w:pPr>
            <w:r>
              <w:rPr>
                <w:b/>
                <w:bCs/>
                <w:sz w:val="24"/>
                <w:szCs w:val="24"/>
              </w:rPr>
              <w:t>工艺流程及产污环节</w:t>
            </w:r>
          </w:p>
          <w:p>
            <w:pPr>
              <w:pStyle w:val="16"/>
              <w:spacing w:line="360" w:lineRule="auto"/>
              <w:ind w:firstLine="482" w:firstLineChars="200"/>
              <w:jc w:val="both"/>
              <w:rPr>
                <w:b/>
                <w:bCs/>
                <w:color w:val="000000"/>
                <w:sz w:val="24"/>
                <w:u w:val="single"/>
              </w:rPr>
            </w:pPr>
            <w:r>
              <w:rPr>
                <w:rFonts w:hint="eastAsia"/>
                <w:b/>
                <w:bCs/>
                <w:color w:val="000000"/>
                <w:sz w:val="24"/>
                <w:u w:val="single"/>
              </w:rPr>
              <w:object>
                <v:shape id="_x0000_i1025" o:spt="75" type="#_x0000_t75" style="height:558.95pt;width:351.15pt;" o:ole="t" filled="f" o:preferrelative="t" stroked="f" coordsize="21600,21600">
                  <v:path/>
                  <v:fill on="f" focussize="0,0"/>
                  <v:stroke on="f" joinstyle="miter"/>
                  <v:imagedata r:id="rId9" o:title=""/>
                  <o:lock v:ext="edit" aspectratio="t"/>
                  <w10:wrap type="none"/>
                  <w10:anchorlock/>
                </v:shape>
                <o:OLEObject Type="Embed" ProgID="Visio.Drawing.11" ShapeID="_x0000_i1025" DrawAspect="Content" ObjectID="_1468075725" r:id="rId8">
                  <o:LockedField>false</o:LockedField>
                </o:OLEObject>
              </w:object>
            </w:r>
          </w:p>
          <w:p>
            <w:pPr>
              <w:pStyle w:val="16"/>
              <w:spacing w:line="360" w:lineRule="auto"/>
              <w:ind w:firstLine="482" w:firstLineChars="200"/>
              <w:jc w:val="center"/>
              <w:rPr>
                <w:b/>
                <w:bCs/>
                <w:color w:val="000000"/>
                <w:sz w:val="24"/>
                <w:u w:val="single"/>
              </w:rPr>
            </w:pPr>
            <w:r>
              <w:rPr>
                <w:rFonts w:hint="eastAsia"/>
                <w:b/>
                <w:bCs/>
                <w:color w:val="000000"/>
                <w:sz w:val="24"/>
                <w:u w:val="single"/>
              </w:rPr>
              <w:t>图2-1  项目运营期工艺流程图及产污节点图</w:t>
            </w:r>
          </w:p>
          <w:p>
            <w:pPr>
              <w:spacing w:line="360" w:lineRule="auto"/>
              <w:ind w:firstLine="480" w:firstLineChars="200"/>
              <w:jc w:val="left"/>
              <w:rPr>
                <w:rFonts w:cs="宋体"/>
                <w:sz w:val="24"/>
                <w:u w:val="single"/>
              </w:rPr>
            </w:pPr>
            <w:r>
              <w:rPr>
                <w:rFonts w:hint="eastAsia" w:cs="宋体"/>
                <w:sz w:val="24"/>
                <w:u w:val="single"/>
              </w:rPr>
              <w:t>1、需要接收污染物的船舶确认污染物类别后，上传船E行，接收船舶通过船E行得知被接收船的污染物以及位置，船员开着回收污染物专用船到达位置，利用自吸油泵把船舶上的含油废水、废机油、生活污水通过胶管输送到相应的专用船舱中；</w:t>
            </w:r>
          </w:p>
          <w:p>
            <w:pPr>
              <w:spacing w:line="360" w:lineRule="auto"/>
              <w:ind w:firstLine="480" w:firstLineChars="200"/>
              <w:jc w:val="left"/>
              <w:rPr>
                <w:rFonts w:cs="宋体"/>
                <w:sz w:val="24"/>
                <w:u w:val="single"/>
              </w:rPr>
            </w:pPr>
            <w:r>
              <w:rPr>
                <w:rFonts w:hint="eastAsia" w:cs="宋体"/>
                <w:sz w:val="24"/>
                <w:u w:val="single"/>
              </w:rPr>
              <w:t>2、接收到的污染物分类暂存，船舶垃圾暂存在船舶垃圾箱中，生活污水暂存在废水专用舱内，废机油暂存在废机油专用舱内，含油废水通过油水分离器进行油水分离，分离好的废机油暂存废机油专用船舱，废水暂存废水船舱。</w:t>
            </w:r>
          </w:p>
          <w:p>
            <w:pPr>
              <w:spacing w:line="360" w:lineRule="auto"/>
              <w:ind w:firstLine="480" w:firstLineChars="200"/>
              <w:jc w:val="left"/>
              <w:rPr>
                <w:rFonts w:cs="宋体"/>
                <w:sz w:val="24"/>
                <w:u w:val="single"/>
              </w:rPr>
            </w:pPr>
            <w:r>
              <w:rPr>
                <w:rFonts w:hint="eastAsia" w:cs="宋体"/>
                <w:sz w:val="24"/>
                <w:u w:val="single"/>
              </w:rPr>
              <w:t>3、当废机油储存量达到船只吨位80%时，通知临湘市湘北水陆</w:t>
            </w:r>
            <w:r>
              <w:rPr>
                <w:rFonts w:hint="eastAsia"/>
                <w:sz w:val="24"/>
                <w:szCs w:val="24"/>
                <w:u w:val="single"/>
              </w:rPr>
              <w:t>物流有限公司进行转运，水域中</w:t>
            </w:r>
            <w:r>
              <w:rPr>
                <w:rFonts w:hint="eastAsia" w:cs="宋体"/>
                <w:sz w:val="24"/>
                <w:u w:val="single"/>
              </w:rPr>
              <w:t>通过转运船舶转运至码头停靠点，在通过输送管输送到废机油专用罐车，然后由临湘市湘北水陆</w:t>
            </w:r>
            <w:r>
              <w:rPr>
                <w:rFonts w:hint="eastAsia"/>
                <w:sz w:val="24"/>
                <w:szCs w:val="24"/>
                <w:u w:val="single"/>
              </w:rPr>
              <w:t>物流有限公司转运</w:t>
            </w:r>
            <w:r>
              <w:rPr>
                <w:rFonts w:hint="eastAsia" w:cs="宋体"/>
                <w:sz w:val="24"/>
                <w:u w:val="single"/>
              </w:rPr>
              <w:t>至远大（湖南）再生燃油股份有限公司处理；</w:t>
            </w:r>
          </w:p>
          <w:p>
            <w:pPr>
              <w:spacing w:line="360" w:lineRule="auto"/>
              <w:ind w:firstLine="480" w:firstLineChars="200"/>
              <w:jc w:val="left"/>
              <w:rPr>
                <w:rFonts w:cs="宋体"/>
                <w:sz w:val="24"/>
                <w:u w:val="single"/>
              </w:rPr>
            </w:pPr>
            <w:r>
              <w:rPr>
                <w:rFonts w:hint="eastAsia" w:cs="宋体"/>
                <w:sz w:val="24"/>
                <w:u w:val="single"/>
              </w:rPr>
              <w:t>4、当分离后废水、生活污水储存量达到船只吨位80%时，通知岳阳缘立清洁服务有限公司进行转运，</w:t>
            </w:r>
            <w:r>
              <w:rPr>
                <w:rFonts w:hint="eastAsia"/>
                <w:sz w:val="24"/>
                <w:szCs w:val="24"/>
                <w:u w:val="single"/>
              </w:rPr>
              <w:t>水域中</w:t>
            </w:r>
            <w:r>
              <w:rPr>
                <w:rFonts w:hint="eastAsia" w:cs="宋体"/>
                <w:sz w:val="24"/>
                <w:u w:val="single"/>
              </w:rPr>
              <w:t>通过转运船舶转运至码头停靠点，在通过输送管输送到废水专用罐车，然后由岳阳缘立清洁服务有限公司</w:t>
            </w:r>
            <w:r>
              <w:rPr>
                <w:rFonts w:hint="eastAsia"/>
                <w:sz w:val="24"/>
                <w:szCs w:val="24"/>
                <w:u w:val="single"/>
              </w:rPr>
              <w:t>转运</w:t>
            </w:r>
            <w:r>
              <w:rPr>
                <w:rFonts w:hint="eastAsia" w:cs="宋体"/>
                <w:sz w:val="24"/>
                <w:u w:val="single"/>
              </w:rPr>
              <w:t>至岳阳县污水处理厂；</w:t>
            </w:r>
          </w:p>
          <w:p>
            <w:pPr>
              <w:pStyle w:val="16"/>
              <w:spacing w:line="360" w:lineRule="auto"/>
              <w:ind w:firstLine="480" w:firstLineChars="200"/>
              <w:jc w:val="both"/>
              <w:rPr>
                <w:b/>
                <w:bCs/>
                <w:color w:val="000000"/>
                <w:sz w:val="24"/>
              </w:rPr>
            </w:pPr>
            <w:r>
              <w:rPr>
                <w:rFonts w:hint="eastAsia" w:cs="宋体"/>
                <w:sz w:val="24"/>
                <w:u w:val="single"/>
              </w:rPr>
              <w:t>5、船舶垃圾：通过人工转运将其他船上垃圾到垃圾收集船上暂存，然后再由人工转运到岸上的垃圾中转站交由环卫部门处理。</w:t>
            </w:r>
            <w:r>
              <w:rPr>
                <w:rFonts w:hint="eastAsia" w:cs="宋体"/>
                <w:sz w:val="24"/>
                <w:u w:val="single"/>
              </w:rPr>
              <w:br w:type="textWrapping"/>
            </w:r>
            <w:r>
              <w:rPr>
                <w:rFonts w:hint="eastAsia" w:cs="宋体"/>
                <w:sz w:val="24"/>
                <w:u w:val="single"/>
              </w:rPr>
              <w:br w:type="textWrapping"/>
            </w:r>
            <w:r>
              <w:rPr>
                <w:rFonts w:hint="eastAsia" w:cs="宋体"/>
                <w:sz w:val="24"/>
                <w:u w:val="single"/>
              </w:rPr>
              <w:br w:type="textWrapping"/>
            </w:r>
            <w:r>
              <w:rPr>
                <w:rFonts w:hint="eastAsia" w:cs="宋体"/>
                <w:sz w:val="24"/>
                <w:u w:val="single"/>
              </w:rPr>
              <w:br w:type="textWrapping"/>
            </w:r>
            <w:r>
              <w:rPr>
                <w:rFonts w:hint="eastAsia" w:cs="宋体"/>
                <w:sz w:val="24"/>
                <w:u w:val="single"/>
              </w:rPr>
              <w:br w:type="textWrapping"/>
            </w:r>
            <w:r>
              <w:rPr>
                <w:rFonts w:hint="eastAsia" w:cs="宋体"/>
                <w:sz w:val="24"/>
                <w:u w:val="single"/>
              </w:rPr>
              <w:br w:type="textWrapping"/>
            </w:r>
            <w:r>
              <w:rPr>
                <w:rFonts w:hint="eastAsia" w:cs="宋体"/>
                <w:sz w:val="24"/>
                <w:u w:val="single"/>
              </w:rPr>
              <w:br w:type="textWrapping"/>
            </w:r>
            <w:r>
              <w:rPr>
                <w:rFonts w:hint="eastAsia" w:cs="宋体"/>
                <w:sz w:val="24"/>
                <w:u w:val="single"/>
              </w:rPr>
              <w:br w:type="textWrapping"/>
            </w:r>
            <w:r>
              <w:rPr>
                <w:rFonts w:hint="eastAsia" w:cs="宋体"/>
                <w:sz w:val="24"/>
                <w:u w:val="single"/>
              </w:rPr>
              <w:br w:type="textWrapping"/>
            </w:r>
            <w:r>
              <w:rPr>
                <w:rFonts w:hint="eastAsia" w:cs="宋体"/>
                <w:sz w:val="24"/>
                <w:u w:val="single"/>
              </w:rPr>
              <w:br w:type="textWrapping"/>
            </w:r>
            <w:r>
              <w:rPr>
                <w:rFonts w:hint="eastAsia" w:cs="宋体"/>
                <w:sz w:val="24"/>
                <w:u w:val="single"/>
              </w:rPr>
              <w:br w:type="textWrapping"/>
            </w:r>
            <w:r>
              <w:rPr>
                <w:rFonts w:hint="eastAsia" w:cs="宋体"/>
                <w:sz w:val="24"/>
                <w:u w:val="single"/>
              </w:rPr>
              <w:br w:type="textWrapping"/>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42" w:type="dxa"/>
            <w:tcBorders>
              <w:tl2br w:val="nil"/>
              <w:tr2bl w:val="nil"/>
            </w:tcBorders>
            <w:noWrap/>
            <w:vAlign w:val="center"/>
          </w:tcPr>
          <w:p>
            <w:pPr>
              <w:pStyle w:val="20"/>
              <w:adjustRightInd w:val="0"/>
              <w:snapToGrid w:val="0"/>
              <w:spacing w:before="0" w:beforeAutospacing="0" w:after="0" w:afterAutospacing="0"/>
              <w:jc w:val="center"/>
              <w:rPr>
                <w:sz w:val="21"/>
                <w:szCs w:val="21"/>
              </w:rPr>
            </w:pPr>
            <w:r>
              <w:rPr>
                <w:rFonts w:hint="eastAsia"/>
                <w:bCs/>
                <w:kern w:val="2"/>
                <w:sz w:val="21"/>
                <w:szCs w:val="21"/>
              </w:rPr>
              <w:t>与项目有关的原有环境污染问题</w:t>
            </w:r>
          </w:p>
        </w:tc>
        <w:tc>
          <w:tcPr>
            <w:tcW w:w="8042" w:type="dxa"/>
            <w:tcBorders>
              <w:tl2br w:val="nil"/>
              <w:tr2bl w:val="nil"/>
            </w:tcBorders>
            <w:noWrap/>
          </w:tcPr>
          <w:p>
            <w:pPr>
              <w:adjustRightInd w:val="0"/>
              <w:snapToGrid w:val="0"/>
              <w:rPr>
                <w:rFonts w:ascii="宋体" w:hAnsi="宋体"/>
                <w:b/>
                <w:sz w:val="24"/>
                <w:szCs w:val="24"/>
              </w:rPr>
            </w:pPr>
            <w:r>
              <w:rPr>
                <w:rFonts w:hint="eastAsia" w:ascii="宋体" w:hAnsi="宋体"/>
                <w:b/>
                <w:sz w:val="24"/>
                <w:szCs w:val="24"/>
              </w:rPr>
              <w:t>一、项目原有工艺流程：</w:t>
            </w:r>
          </w:p>
          <w:p>
            <w:pPr>
              <w:adjustRightInd w:val="0"/>
              <w:snapToGrid w:val="0"/>
              <w:jc w:val="center"/>
              <w:rPr>
                <w:rFonts w:ascii="宋体" w:hAnsi="宋体"/>
                <w:bCs/>
                <w:szCs w:val="21"/>
              </w:rPr>
            </w:pPr>
            <w:r>
              <w:rPr>
                <w:rFonts w:hint="eastAsia" w:ascii="宋体" w:hAnsi="宋体"/>
                <w:bCs/>
                <w:szCs w:val="21"/>
              </w:rPr>
              <w:object>
                <v:shape id="_x0000_i1026" o:spt="75" type="#_x0000_t75" style="height:99pt;width:390.75pt;" o:ole="t" filled="f" o:preferrelative="t" stroked="f" coordsize="21600,21600">
                  <v:path/>
                  <v:fill on="f" focussize="0,0"/>
                  <v:stroke on="f" joinstyle="miter"/>
                  <v:imagedata r:id="rId11" o:title=""/>
                  <o:lock v:ext="edit" aspectratio="f"/>
                  <w10:wrap type="none"/>
                  <w10:anchorlock/>
                </v:shape>
                <o:OLEObject Type="Embed" ProgID="Visio.Drawing.11" ShapeID="_x0000_i1026" DrawAspect="Content" ObjectID="_1468075726" r:id="rId10">
                  <o:LockedField>false</o:LockedField>
                </o:OLEObject>
              </w:object>
            </w:r>
          </w:p>
          <w:p>
            <w:pPr>
              <w:snapToGrid w:val="0"/>
              <w:spacing w:line="360" w:lineRule="auto"/>
              <w:ind w:firstLine="422" w:firstLineChars="200"/>
              <w:jc w:val="center"/>
              <w:rPr>
                <w:b/>
                <w:szCs w:val="21"/>
              </w:rPr>
            </w:pPr>
            <w:r>
              <w:rPr>
                <w:b/>
                <w:szCs w:val="21"/>
              </w:rPr>
              <w:t>图2</w:t>
            </w:r>
            <w:r>
              <w:rPr>
                <w:rFonts w:hint="eastAsia"/>
                <w:b/>
                <w:szCs w:val="21"/>
              </w:rPr>
              <w:t>-2</w:t>
            </w:r>
            <w:r>
              <w:rPr>
                <w:b/>
                <w:szCs w:val="21"/>
              </w:rPr>
              <w:t xml:space="preserve">  原有项目工艺流程图</w:t>
            </w:r>
          </w:p>
          <w:p>
            <w:pPr>
              <w:spacing w:line="360" w:lineRule="auto"/>
              <w:ind w:left="420" w:leftChars="200"/>
              <w:jc w:val="left"/>
              <w:rPr>
                <w:rFonts w:ascii="宋体" w:hAnsi="宋体"/>
                <w:bCs/>
                <w:sz w:val="24"/>
                <w:szCs w:val="24"/>
              </w:rPr>
            </w:pPr>
            <w:r>
              <w:rPr>
                <w:rFonts w:hint="eastAsia" w:ascii="宋体" w:hAnsi="宋体"/>
                <w:bCs/>
                <w:sz w:val="24"/>
                <w:szCs w:val="24"/>
              </w:rPr>
              <w:t>工艺流程阐述：</w:t>
            </w:r>
          </w:p>
          <w:p>
            <w:pPr>
              <w:spacing w:line="360" w:lineRule="auto"/>
              <w:ind w:firstLine="480" w:firstLineChars="200"/>
              <w:jc w:val="left"/>
              <w:rPr>
                <w:rFonts w:cs="宋体"/>
                <w:sz w:val="24"/>
              </w:rPr>
            </w:pPr>
            <w:r>
              <w:rPr>
                <w:rFonts w:hint="eastAsia" w:cs="宋体"/>
                <w:sz w:val="24"/>
              </w:rPr>
              <w:t>1、船员开着回收废机油专用船沿湘阴湘江段—东洞庭湖段面逐个船只收集岳阳市范围内的水域中船舶所产生的含油废水、废机油、船舶垃圾、生活污水；</w:t>
            </w:r>
          </w:p>
          <w:p>
            <w:pPr>
              <w:spacing w:line="360" w:lineRule="auto"/>
              <w:ind w:firstLine="480" w:firstLineChars="200"/>
              <w:jc w:val="left"/>
              <w:rPr>
                <w:rFonts w:cs="宋体"/>
                <w:sz w:val="24"/>
              </w:rPr>
            </w:pPr>
            <w:r>
              <w:rPr>
                <w:rFonts w:hint="eastAsia" w:cs="宋体"/>
                <w:sz w:val="24"/>
              </w:rPr>
              <w:t>2、利用自吸油泵把船舶上的含油废水以及纯油通过胶管输送到回收废机油专用船油舱；</w:t>
            </w:r>
          </w:p>
          <w:p>
            <w:pPr>
              <w:spacing w:line="360" w:lineRule="auto"/>
              <w:ind w:firstLine="480" w:firstLineChars="200"/>
              <w:jc w:val="left"/>
              <w:rPr>
                <w:rFonts w:cs="宋体"/>
                <w:sz w:val="24"/>
              </w:rPr>
            </w:pPr>
            <w:r>
              <w:rPr>
                <w:rFonts w:hint="eastAsia" w:cs="宋体"/>
                <w:sz w:val="24"/>
              </w:rPr>
              <w:t>3、当废机油储存量达到船只吨位时，通知远大（湖南）再生燃油股份有限公司；</w:t>
            </w:r>
          </w:p>
          <w:p>
            <w:pPr>
              <w:autoSpaceDE w:val="0"/>
              <w:autoSpaceDN w:val="0"/>
              <w:adjustRightInd w:val="0"/>
              <w:spacing w:line="360" w:lineRule="auto"/>
              <w:ind w:firstLine="480" w:firstLineChars="200"/>
              <w:rPr>
                <w:sz w:val="24"/>
              </w:rPr>
            </w:pPr>
            <w:r>
              <w:rPr>
                <w:rFonts w:hint="eastAsia" w:cs="宋体"/>
                <w:sz w:val="24"/>
              </w:rPr>
              <w:t>4、利用自吸油泵把回收废机油专用船油舱中的废油通过胶管输送</w:t>
            </w:r>
            <w:r>
              <w:rPr>
                <w:rFonts w:hint="eastAsia" w:cs="宋体"/>
                <w:sz w:val="24"/>
                <w:lang w:eastAsia="zh-CN"/>
              </w:rPr>
              <w:t>至油罐运输车，运输至</w:t>
            </w:r>
            <w:r>
              <w:rPr>
                <w:rFonts w:hint="eastAsia" w:cs="宋体"/>
                <w:sz w:val="24"/>
              </w:rPr>
              <w:t>远大（湖南）再生燃油股份有限公司</w:t>
            </w:r>
            <w:r>
              <w:rPr>
                <w:rFonts w:hint="eastAsia" w:cs="宋体"/>
                <w:sz w:val="24"/>
                <w:lang w:eastAsia="zh-CN"/>
              </w:rPr>
              <w:t>进行处理</w:t>
            </w:r>
            <w:r>
              <w:rPr>
                <w:rFonts w:hint="eastAsia" w:cs="宋体"/>
                <w:sz w:val="24"/>
              </w:rPr>
              <w:t>。</w:t>
            </w:r>
          </w:p>
          <w:p>
            <w:pPr>
              <w:pStyle w:val="2"/>
              <w:spacing w:line="360" w:lineRule="auto"/>
              <w:rPr>
                <w:b/>
                <w:bCs/>
                <w:sz w:val="24"/>
                <w:szCs w:val="24"/>
              </w:rPr>
            </w:pPr>
            <w:r>
              <w:rPr>
                <w:rFonts w:hint="eastAsia"/>
                <w:b/>
                <w:bCs/>
                <w:sz w:val="24"/>
                <w:szCs w:val="24"/>
              </w:rPr>
              <w:t>一、原有项目基本情况</w:t>
            </w:r>
          </w:p>
          <w:p>
            <w:pPr>
              <w:autoSpaceDE w:val="0"/>
              <w:autoSpaceDN w:val="0"/>
              <w:adjustRightInd w:val="0"/>
              <w:spacing w:line="360" w:lineRule="auto"/>
              <w:rPr>
                <w:sz w:val="24"/>
                <w:szCs w:val="24"/>
              </w:rPr>
            </w:pPr>
            <w:r>
              <w:rPr>
                <w:rFonts w:hint="eastAsia"/>
                <w:b/>
                <w:sz w:val="24"/>
                <w:szCs w:val="24"/>
              </w:rPr>
              <w:t>1</w:t>
            </w:r>
            <w:r>
              <w:rPr>
                <w:b/>
                <w:sz w:val="24"/>
                <w:szCs w:val="24"/>
              </w:rPr>
              <w:t>、</w:t>
            </w:r>
            <w:r>
              <w:rPr>
                <w:rFonts w:hint="eastAsia"/>
                <w:b/>
                <w:sz w:val="24"/>
                <w:szCs w:val="24"/>
              </w:rPr>
              <w:t>原有项目</w:t>
            </w:r>
            <w:r>
              <w:rPr>
                <w:b/>
                <w:sz w:val="24"/>
                <w:szCs w:val="24"/>
              </w:rPr>
              <w:t>工程内容及规模</w:t>
            </w:r>
            <w:r>
              <w:rPr>
                <w:b/>
                <w:sz w:val="28"/>
                <w:szCs w:val="28"/>
              </w:rPr>
              <w:br w:type="textWrapping"/>
            </w:r>
            <w:r>
              <w:rPr>
                <w:rFonts w:hint="eastAsia"/>
                <w:sz w:val="24"/>
                <w:szCs w:val="24"/>
              </w:rPr>
              <w:t>（1）工程内容</w:t>
            </w:r>
          </w:p>
          <w:p>
            <w:pPr>
              <w:autoSpaceDE w:val="0"/>
              <w:autoSpaceDN w:val="0"/>
              <w:adjustRightInd w:val="0"/>
              <w:spacing w:line="360" w:lineRule="auto"/>
              <w:ind w:firstLine="462" w:firstLineChars="200"/>
              <w:jc w:val="center"/>
              <w:rPr>
                <w:sz w:val="24"/>
                <w:szCs w:val="24"/>
              </w:rPr>
            </w:pPr>
            <w:r>
              <w:rPr>
                <w:b/>
                <w:spacing w:val="10"/>
                <w:kern w:val="24"/>
                <w:szCs w:val="21"/>
              </w:rPr>
              <w:t>表</w:t>
            </w:r>
            <w:r>
              <w:rPr>
                <w:rFonts w:hint="eastAsia"/>
                <w:b/>
                <w:spacing w:val="10"/>
                <w:kern w:val="24"/>
                <w:szCs w:val="21"/>
              </w:rPr>
              <w:t>2-13</w:t>
            </w:r>
            <w:r>
              <w:rPr>
                <w:b/>
                <w:spacing w:val="10"/>
                <w:kern w:val="24"/>
                <w:szCs w:val="21"/>
              </w:rPr>
              <w:t>项目构成及主要建设内容</w:t>
            </w:r>
          </w:p>
          <w:tbl>
            <w:tblPr>
              <w:tblStyle w:val="24"/>
              <w:tblpPr w:leftFromText="180" w:rightFromText="180" w:vertAnchor="text" w:horzAnchor="page" w:tblpXSpec="center" w:tblpY="113"/>
              <w:tblOverlap w:val="never"/>
              <w:tblW w:w="749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677"/>
              <w:gridCol w:w="866"/>
              <w:gridCol w:w="1393"/>
              <w:gridCol w:w="356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77" w:type="dxa"/>
                  <w:tcBorders>
                    <w:tl2br w:val="nil"/>
                    <w:tr2bl w:val="nil"/>
                  </w:tcBorders>
                  <w:noWrap/>
                  <w:vAlign w:val="center"/>
                </w:tcPr>
                <w:p>
                  <w:pPr>
                    <w:autoSpaceDE w:val="0"/>
                    <w:autoSpaceDN w:val="0"/>
                    <w:adjustRightInd w:val="0"/>
                    <w:jc w:val="center"/>
                    <w:rPr>
                      <w:kern w:val="24"/>
                      <w:szCs w:val="21"/>
                    </w:rPr>
                  </w:pPr>
                  <w:r>
                    <w:rPr>
                      <w:kern w:val="24"/>
                      <w:szCs w:val="21"/>
                    </w:rPr>
                    <w:t>项目组成</w:t>
                  </w:r>
                </w:p>
              </w:tc>
              <w:tc>
                <w:tcPr>
                  <w:tcW w:w="5822" w:type="dxa"/>
                  <w:gridSpan w:val="3"/>
                  <w:tcBorders>
                    <w:tl2br w:val="nil"/>
                    <w:tr2bl w:val="nil"/>
                  </w:tcBorders>
                  <w:noWrap/>
                  <w:vAlign w:val="center"/>
                </w:tcPr>
                <w:p>
                  <w:pPr>
                    <w:autoSpaceDE w:val="0"/>
                    <w:autoSpaceDN w:val="0"/>
                    <w:adjustRightInd w:val="0"/>
                    <w:jc w:val="center"/>
                    <w:rPr>
                      <w:kern w:val="24"/>
                      <w:szCs w:val="21"/>
                    </w:rPr>
                  </w:pPr>
                  <w:r>
                    <w:rPr>
                      <w:kern w:val="24"/>
                      <w:szCs w:val="21"/>
                    </w:rPr>
                    <w:t>建设内容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9" w:hRule="atLeast"/>
                <w:jc w:val="center"/>
              </w:trPr>
              <w:tc>
                <w:tcPr>
                  <w:tcW w:w="1677" w:type="dxa"/>
                  <w:tcBorders>
                    <w:tl2br w:val="nil"/>
                    <w:tr2bl w:val="nil"/>
                  </w:tcBorders>
                  <w:noWrap/>
                  <w:vAlign w:val="center"/>
                </w:tcPr>
                <w:p>
                  <w:pPr>
                    <w:jc w:val="center"/>
                  </w:pPr>
                  <w:r>
                    <w:t>主体工程</w:t>
                  </w:r>
                </w:p>
                <w:p>
                  <w:pPr>
                    <w:jc w:val="center"/>
                  </w:pPr>
                </w:p>
              </w:tc>
              <w:tc>
                <w:tcPr>
                  <w:tcW w:w="5822" w:type="dxa"/>
                  <w:gridSpan w:val="3"/>
                  <w:tcBorders>
                    <w:tl2br w:val="nil"/>
                    <w:tr2bl w:val="nil"/>
                  </w:tcBorders>
                  <w:noWrap/>
                  <w:vAlign w:val="center"/>
                </w:tcPr>
                <w:p>
                  <w:pPr>
                    <w:autoSpaceDE w:val="0"/>
                    <w:autoSpaceDN w:val="0"/>
                    <w:adjustRightInd w:val="0"/>
                    <w:jc w:val="center"/>
                    <w:rPr>
                      <w:kern w:val="24"/>
                      <w:szCs w:val="21"/>
                    </w:rPr>
                  </w:pPr>
                  <w:r>
                    <w:rPr>
                      <w:rFonts w:hint="eastAsia"/>
                      <w:kern w:val="24"/>
                      <w:szCs w:val="21"/>
                    </w:rPr>
                    <w:t>废机油专用船一艘，湘岳阳油1129，总吨位53t，年回收废机油200t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9" w:hRule="atLeast"/>
                <w:jc w:val="center"/>
              </w:trPr>
              <w:tc>
                <w:tcPr>
                  <w:tcW w:w="1677" w:type="dxa"/>
                  <w:vMerge w:val="restart"/>
                  <w:tcBorders>
                    <w:tl2br w:val="nil"/>
                    <w:tr2bl w:val="nil"/>
                  </w:tcBorders>
                  <w:noWrap/>
                  <w:vAlign w:val="center"/>
                </w:tcPr>
                <w:p>
                  <w:pPr>
                    <w:autoSpaceDE w:val="0"/>
                    <w:autoSpaceDN w:val="0"/>
                    <w:adjustRightInd w:val="0"/>
                    <w:jc w:val="center"/>
                    <w:rPr>
                      <w:kern w:val="24"/>
                      <w:szCs w:val="21"/>
                    </w:rPr>
                  </w:pPr>
                  <w:r>
                    <w:rPr>
                      <w:kern w:val="24"/>
                      <w:szCs w:val="21"/>
                    </w:rPr>
                    <w:t>辅助工程</w:t>
                  </w:r>
                </w:p>
              </w:tc>
              <w:tc>
                <w:tcPr>
                  <w:tcW w:w="5822" w:type="dxa"/>
                  <w:gridSpan w:val="3"/>
                  <w:tcBorders>
                    <w:tl2br w:val="nil"/>
                    <w:tr2bl w:val="nil"/>
                  </w:tcBorders>
                  <w:noWrap/>
                  <w:vAlign w:val="center"/>
                </w:tcPr>
                <w:p>
                  <w:pPr>
                    <w:autoSpaceDE w:val="0"/>
                    <w:autoSpaceDN w:val="0"/>
                    <w:adjustRightInd w:val="0"/>
                    <w:jc w:val="center"/>
                    <w:rPr>
                      <w:kern w:val="24"/>
                      <w:szCs w:val="21"/>
                    </w:rPr>
                  </w:pPr>
                  <w:r>
                    <w:rPr>
                      <w:rFonts w:hint="eastAsia"/>
                      <w:kern w:val="24"/>
                      <w:szCs w:val="21"/>
                    </w:rPr>
                    <w:t>回收范围：收集重点水域为东洞庭湖，北至</w:t>
                  </w:r>
                  <w:r>
                    <w:rPr>
                      <w:rFonts w:hint="eastAsia"/>
                      <w:kern w:val="24"/>
                      <w:szCs w:val="21"/>
                      <w:lang w:eastAsia="zh-CN"/>
                    </w:rPr>
                    <w:t>扁山</w:t>
                  </w:r>
                  <w:r>
                    <w:rPr>
                      <w:rFonts w:hint="eastAsia"/>
                      <w:kern w:val="24"/>
                      <w:szCs w:val="21"/>
                    </w:rPr>
                    <w:t>、南至湘阴铁角嘴船厂、西至东湖码头。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1677" w:type="dxa"/>
                  <w:vMerge w:val="continue"/>
                  <w:tcBorders>
                    <w:tl2br w:val="nil"/>
                    <w:tr2bl w:val="nil"/>
                  </w:tcBorders>
                  <w:noWrap/>
                  <w:vAlign w:val="center"/>
                </w:tcPr>
                <w:p>
                  <w:pPr>
                    <w:autoSpaceDE w:val="0"/>
                    <w:autoSpaceDN w:val="0"/>
                    <w:adjustRightInd w:val="0"/>
                    <w:jc w:val="center"/>
                    <w:rPr>
                      <w:kern w:val="24"/>
                      <w:szCs w:val="21"/>
                    </w:rPr>
                  </w:pPr>
                </w:p>
              </w:tc>
              <w:tc>
                <w:tcPr>
                  <w:tcW w:w="5822" w:type="dxa"/>
                  <w:gridSpan w:val="3"/>
                  <w:tcBorders>
                    <w:tl2br w:val="nil"/>
                    <w:tr2bl w:val="nil"/>
                  </w:tcBorders>
                  <w:noWrap/>
                  <w:vAlign w:val="center"/>
                </w:tcPr>
                <w:p>
                  <w:pPr>
                    <w:autoSpaceDE w:val="0"/>
                    <w:autoSpaceDN w:val="0"/>
                    <w:adjustRightInd w:val="0"/>
                    <w:jc w:val="center"/>
                  </w:pPr>
                  <w:r>
                    <w:rPr>
                      <w:rFonts w:hint="eastAsia"/>
                    </w:rPr>
                    <w:t>含油废水：由船舶收集后进行油水分离，分离好的废油经船舱临时贮存，然后交由远大（湖南）再生燃油股份有限公司处理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90" w:hRule="atLeast"/>
                <w:jc w:val="center"/>
              </w:trPr>
              <w:tc>
                <w:tcPr>
                  <w:tcW w:w="1677" w:type="dxa"/>
                  <w:tcBorders>
                    <w:tl2br w:val="nil"/>
                    <w:tr2bl w:val="nil"/>
                  </w:tcBorders>
                  <w:noWrap/>
                  <w:vAlign w:val="center"/>
                </w:tcPr>
                <w:p>
                  <w:pPr>
                    <w:autoSpaceDE w:val="0"/>
                    <w:autoSpaceDN w:val="0"/>
                    <w:adjustRightInd w:val="0"/>
                    <w:jc w:val="center"/>
                    <w:rPr>
                      <w:kern w:val="24"/>
                      <w:szCs w:val="21"/>
                    </w:rPr>
                  </w:pPr>
                  <w:r>
                    <w:rPr>
                      <w:rFonts w:hint="eastAsia"/>
                      <w:kern w:val="24"/>
                      <w:szCs w:val="21"/>
                    </w:rPr>
                    <w:t>公用工程</w:t>
                  </w:r>
                </w:p>
              </w:tc>
              <w:tc>
                <w:tcPr>
                  <w:tcW w:w="2259" w:type="dxa"/>
                  <w:gridSpan w:val="2"/>
                  <w:tcBorders>
                    <w:tl2br w:val="nil"/>
                    <w:tr2bl w:val="nil"/>
                  </w:tcBorders>
                  <w:noWrap/>
                  <w:vAlign w:val="center"/>
                </w:tcPr>
                <w:p>
                  <w:pPr>
                    <w:autoSpaceDE w:val="0"/>
                    <w:autoSpaceDN w:val="0"/>
                    <w:adjustRightInd w:val="0"/>
                    <w:jc w:val="center"/>
                    <w:rPr>
                      <w:kern w:val="24"/>
                      <w:szCs w:val="21"/>
                    </w:rPr>
                  </w:pPr>
                  <w:r>
                    <w:rPr>
                      <w:rFonts w:hint="eastAsia"/>
                      <w:kern w:val="24"/>
                      <w:szCs w:val="21"/>
                    </w:rPr>
                    <w:t>用电</w:t>
                  </w:r>
                </w:p>
              </w:tc>
              <w:tc>
                <w:tcPr>
                  <w:tcW w:w="3563" w:type="dxa"/>
                  <w:tcBorders>
                    <w:tl2br w:val="nil"/>
                    <w:tr2bl w:val="nil"/>
                  </w:tcBorders>
                  <w:noWrap/>
                  <w:vAlign w:val="center"/>
                </w:tcPr>
                <w:p>
                  <w:pPr>
                    <w:autoSpaceDE w:val="0"/>
                    <w:autoSpaceDN w:val="0"/>
                    <w:adjustRightInd w:val="0"/>
                    <w:jc w:val="center"/>
                    <w:rPr>
                      <w:kern w:val="24"/>
                      <w:szCs w:val="21"/>
                    </w:rPr>
                  </w:pPr>
                  <w:r>
                    <w:rPr>
                      <w:rFonts w:hint="eastAsia"/>
                      <w:kern w:val="24"/>
                      <w:szCs w:val="21"/>
                    </w:rPr>
                    <w:t>采用柴油发电机发电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9" w:hRule="atLeast"/>
                <w:jc w:val="center"/>
              </w:trPr>
              <w:tc>
                <w:tcPr>
                  <w:tcW w:w="1677" w:type="dxa"/>
                  <w:vMerge w:val="restart"/>
                  <w:tcBorders>
                    <w:tl2br w:val="nil"/>
                    <w:tr2bl w:val="nil"/>
                  </w:tcBorders>
                  <w:noWrap/>
                  <w:vAlign w:val="center"/>
                </w:tcPr>
                <w:p>
                  <w:pPr>
                    <w:autoSpaceDE w:val="0"/>
                    <w:autoSpaceDN w:val="0"/>
                    <w:adjustRightInd w:val="0"/>
                    <w:jc w:val="center"/>
                    <w:rPr>
                      <w:kern w:val="24"/>
                      <w:szCs w:val="21"/>
                    </w:rPr>
                  </w:pPr>
                  <w:r>
                    <w:rPr>
                      <w:rFonts w:hint="eastAsia"/>
                      <w:kern w:val="24"/>
                      <w:szCs w:val="21"/>
                    </w:rPr>
                    <w:t>环保工程</w:t>
                  </w:r>
                </w:p>
              </w:tc>
              <w:tc>
                <w:tcPr>
                  <w:tcW w:w="866" w:type="dxa"/>
                  <w:tcBorders>
                    <w:tl2br w:val="nil"/>
                    <w:tr2bl w:val="nil"/>
                  </w:tcBorders>
                  <w:noWrap/>
                  <w:vAlign w:val="center"/>
                </w:tcPr>
                <w:p>
                  <w:pPr>
                    <w:autoSpaceDE w:val="0"/>
                    <w:autoSpaceDN w:val="0"/>
                    <w:adjustRightInd w:val="0"/>
                    <w:jc w:val="center"/>
                    <w:rPr>
                      <w:kern w:val="24"/>
                      <w:szCs w:val="21"/>
                    </w:rPr>
                  </w:pPr>
                  <w:r>
                    <w:rPr>
                      <w:rFonts w:hint="eastAsia"/>
                      <w:kern w:val="24"/>
                      <w:szCs w:val="21"/>
                    </w:rPr>
                    <w:t>废水</w:t>
                  </w:r>
                </w:p>
              </w:tc>
              <w:tc>
                <w:tcPr>
                  <w:tcW w:w="4956" w:type="dxa"/>
                  <w:gridSpan w:val="2"/>
                  <w:tcBorders>
                    <w:tl2br w:val="nil"/>
                    <w:tr2bl w:val="nil"/>
                  </w:tcBorders>
                  <w:noWrap/>
                  <w:vAlign w:val="center"/>
                </w:tcPr>
                <w:p>
                  <w:pPr>
                    <w:autoSpaceDE w:val="0"/>
                    <w:autoSpaceDN w:val="0"/>
                    <w:adjustRightInd w:val="0"/>
                    <w:jc w:val="center"/>
                    <w:rPr>
                      <w:kern w:val="24"/>
                      <w:szCs w:val="21"/>
                    </w:rPr>
                  </w:pPr>
                  <w:r>
                    <w:rPr>
                      <w:rFonts w:hint="eastAsia"/>
                      <w:kern w:val="24"/>
                      <w:szCs w:val="21"/>
                    </w:rPr>
                    <w:t>主要为油水分离后的废水，该部分水油水分离器处理后排入洞庭湖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9" w:hRule="atLeast"/>
                <w:jc w:val="center"/>
              </w:trPr>
              <w:tc>
                <w:tcPr>
                  <w:tcW w:w="1677" w:type="dxa"/>
                  <w:vMerge w:val="continue"/>
                  <w:tcBorders>
                    <w:tl2br w:val="nil"/>
                    <w:tr2bl w:val="nil"/>
                  </w:tcBorders>
                  <w:noWrap/>
                  <w:vAlign w:val="center"/>
                </w:tcPr>
                <w:p>
                  <w:pPr>
                    <w:autoSpaceDE w:val="0"/>
                    <w:autoSpaceDN w:val="0"/>
                    <w:adjustRightInd w:val="0"/>
                    <w:jc w:val="center"/>
                    <w:rPr>
                      <w:kern w:val="24"/>
                      <w:szCs w:val="21"/>
                    </w:rPr>
                  </w:pPr>
                </w:p>
              </w:tc>
              <w:tc>
                <w:tcPr>
                  <w:tcW w:w="2259" w:type="dxa"/>
                  <w:gridSpan w:val="2"/>
                  <w:tcBorders>
                    <w:tl2br w:val="nil"/>
                    <w:tr2bl w:val="nil"/>
                  </w:tcBorders>
                  <w:noWrap/>
                  <w:vAlign w:val="center"/>
                </w:tcPr>
                <w:p>
                  <w:pPr>
                    <w:autoSpaceDE w:val="0"/>
                    <w:autoSpaceDN w:val="0"/>
                    <w:adjustRightInd w:val="0"/>
                    <w:jc w:val="center"/>
                    <w:rPr>
                      <w:kern w:val="24"/>
                      <w:szCs w:val="21"/>
                    </w:rPr>
                  </w:pPr>
                  <w:r>
                    <w:rPr>
                      <w:kern w:val="24"/>
                      <w:szCs w:val="21"/>
                    </w:rPr>
                    <w:t>废气</w:t>
                  </w:r>
                </w:p>
              </w:tc>
              <w:tc>
                <w:tcPr>
                  <w:tcW w:w="3563" w:type="dxa"/>
                  <w:tcBorders>
                    <w:tl2br w:val="nil"/>
                    <w:tr2bl w:val="nil"/>
                  </w:tcBorders>
                  <w:noWrap/>
                  <w:vAlign w:val="center"/>
                </w:tcPr>
                <w:p>
                  <w:pPr>
                    <w:autoSpaceDE w:val="0"/>
                    <w:autoSpaceDN w:val="0"/>
                    <w:adjustRightInd w:val="0"/>
                    <w:jc w:val="center"/>
                    <w:rPr>
                      <w:kern w:val="24"/>
                      <w:szCs w:val="21"/>
                    </w:rPr>
                  </w:pPr>
                  <w:r>
                    <w:rPr>
                      <w:rFonts w:hint="eastAsia"/>
                      <w:kern w:val="24"/>
                      <w:szCs w:val="21"/>
                    </w:rPr>
                    <w:t>主要为回收废油过程中产生的非甲烷总烃和柴油发电机产生的废气</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1677" w:type="dxa"/>
                  <w:vMerge w:val="continue"/>
                  <w:tcBorders>
                    <w:tl2br w:val="nil"/>
                    <w:tr2bl w:val="nil"/>
                  </w:tcBorders>
                  <w:noWrap/>
                  <w:vAlign w:val="center"/>
                </w:tcPr>
                <w:p>
                  <w:pPr>
                    <w:autoSpaceDE w:val="0"/>
                    <w:autoSpaceDN w:val="0"/>
                    <w:adjustRightInd w:val="0"/>
                    <w:jc w:val="center"/>
                    <w:rPr>
                      <w:kern w:val="24"/>
                      <w:szCs w:val="21"/>
                    </w:rPr>
                  </w:pPr>
                </w:p>
              </w:tc>
              <w:tc>
                <w:tcPr>
                  <w:tcW w:w="2259" w:type="dxa"/>
                  <w:gridSpan w:val="2"/>
                  <w:tcBorders>
                    <w:tl2br w:val="nil"/>
                    <w:tr2bl w:val="nil"/>
                  </w:tcBorders>
                  <w:noWrap/>
                  <w:vAlign w:val="center"/>
                </w:tcPr>
                <w:p>
                  <w:pPr>
                    <w:autoSpaceDE w:val="0"/>
                    <w:autoSpaceDN w:val="0"/>
                    <w:adjustRightInd w:val="0"/>
                    <w:jc w:val="center"/>
                    <w:rPr>
                      <w:kern w:val="24"/>
                      <w:szCs w:val="21"/>
                    </w:rPr>
                  </w:pPr>
                  <w:r>
                    <w:rPr>
                      <w:kern w:val="24"/>
                      <w:szCs w:val="21"/>
                    </w:rPr>
                    <w:t>噪声</w:t>
                  </w:r>
                </w:p>
              </w:tc>
              <w:tc>
                <w:tcPr>
                  <w:tcW w:w="3563" w:type="dxa"/>
                  <w:tcBorders>
                    <w:tl2br w:val="nil"/>
                    <w:tr2bl w:val="nil"/>
                  </w:tcBorders>
                  <w:noWrap/>
                  <w:vAlign w:val="center"/>
                </w:tcPr>
                <w:p>
                  <w:pPr>
                    <w:autoSpaceDE w:val="0"/>
                    <w:autoSpaceDN w:val="0"/>
                    <w:adjustRightInd w:val="0"/>
                    <w:jc w:val="center"/>
                    <w:rPr>
                      <w:kern w:val="24"/>
                      <w:szCs w:val="21"/>
                    </w:rPr>
                  </w:pPr>
                  <w:r>
                    <w:rPr>
                      <w:rFonts w:hint="eastAsia"/>
                      <w:bCs/>
                      <w:szCs w:val="21"/>
                    </w:rPr>
                    <w:t>加强管理，对船上设备维修检修，定期检查；且船艘收集过程中，距离岸边较远。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77" w:type="dxa"/>
                  <w:vMerge w:val="continue"/>
                  <w:tcBorders>
                    <w:tl2br w:val="nil"/>
                    <w:tr2bl w:val="nil"/>
                  </w:tcBorders>
                  <w:noWrap/>
                  <w:vAlign w:val="center"/>
                </w:tcPr>
                <w:p>
                  <w:pPr>
                    <w:autoSpaceDE w:val="0"/>
                    <w:autoSpaceDN w:val="0"/>
                    <w:adjustRightInd w:val="0"/>
                    <w:jc w:val="center"/>
                    <w:rPr>
                      <w:kern w:val="24"/>
                      <w:szCs w:val="21"/>
                    </w:rPr>
                  </w:pPr>
                </w:p>
              </w:tc>
              <w:tc>
                <w:tcPr>
                  <w:tcW w:w="2259" w:type="dxa"/>
                  <w:gridSpan w:val="2"/>
                  <w:tcBorders>
                    <w:tl2br w:val="nil"/>
                    <w:tr2bl w:val="nil"/>
                  </w:tcBorders>
                  <w:noWrap/>
                  <w:vAlign w:val="center"/>
                </w:tcPr>
                <w:p>
                  <w:pPr>
                    <w:autoSpaceDE w:val="0"/>
                    <w:autoSpaceDN w:val="0"/>
                    <w:adjustRightInd w:val="0"/>
                    <w:jc w:val="center"/>
                    <w:rPr>
                      <w:kern w:val="24"/>
                      <w:szCs w:val="21"/>
                    </w:rPr>
                  </w:pPr>
                  <w:r>
                    <w:rPr>
                      <w:kern w:val="24"/>
                      <w:szCs w:val="21"/>
                    </w:rPr>
                    <w:t>固废</w:t>
                  </w:r>
                </w:p>
              </w:tc>
              <w:tc>
                <w:tcPr>
                  <w:tcW w:w="3563" w:type="dxa"/>
                  <w:tcBorders>
                    <w:tl2br w:val="nil"/>
                    <w:tr2bl w:val="nil"/>
                  </w:tcBorders>
                  <w:noWrap/>
                  <w:vAlign w:val="center"/>
                </w:tcPr>
                <w:p>
                  <w:pPr>
                    <w:autoSpaceDE w:val="0"/>
                    <w:autoSpaceDN w:val="0"/>
                    <w:adjustRightInd w:val="0"/>
                    <w:jc w:val="center"/>
                    <w:rPr>
                      <w:kern w:val="24"/>
                      <w:szCs w:val="21"/>
                    </w:rPr>
                  </w:pPr>
                  <w:r>
                    <w:rPr>
                      <w:rFonts w:hint="eastAsia"/>
                      <w:kern w:val="24"/>
                      <w:szCs w:val="21"/>
                    </w:rPr>
                    <w:t>船舶垃圾交由环卫部门处理</w:t>
                  </w:r>
                </w:p>
              </w:tc>
            </w:tr>
          </w:tbl>
          <w:p>
            <w:pPr>
              <w:numPr>
                <w:ilvl w:val="0"/>
                <w:numId w:val="9"/>
              </w:numPr>
              <w:spacing w:line="360" w:lineRule="auto"/>
              <w:rPr>
                <w:rFonts w:ascii="宋体" w:hAnsi="宋体" w:cs="宋体"/>
                <w:bCs/>
                <w:sz w:val="24"/>
                <w:szCs w:val="24"/>
              </w:rPr>
            </w:pPr>
            <w:r>
              <w:rPr>
                <w:rFonts w:hint="eastAsia" w:ascii="宋体" w:hAnsi="宋体" w:cs="宋体"/>
                <w:bCs/>
                <w:sz w:val="24"/>
                <w:szCs w:val="24"/>
              </w:rPr>
              <w:t>原有项目设备清单</w:t>
            </w:r>
          </w:p>
          <w:p>
            <w:pPr>
              <w:spacing w:line="360" w:lineRule="auto"/>
              <w:ind w:firstLine="420" w:firstLineChars="200"/>
            </w:pPr>
            <w:r>
              <w:t>项目主要生产设备见表</w:t>
            </w:r>
            <w:r>
              <w:rPr>
                <w:rFonts w:hint="eastAsia"/>
              </w:rPr>
              <w:t>2-14</w:t>
            </w:r>
            <w:r>
              <w:t>：</w:t>
            </w:r>
          </w:p>
          <w:p>
            <w:pPr>
              <w:spacing w:line="360" w:lineRule="auto"/>
              <w:ind w:firstLine="422" w:firstLineChars="200"/>
              <w:jc w:val="center"/>
              <w:rPr>
                <w:b/>
                <w:bCs/>
              </w:rPr>
            </w:pPr>
            <w:r>
              <w:rPr>
                <w:rFonts w:hint="eastAsia"/>
                <w:b/>
                <w:bCs/>
              </w:rPr>
              <w:t>表2-14项目设备情况</w:t>
            </w:r>
          </w:p>
          <w:tbl>
            <w:tblPr>
              <w:tblStyle w:val="25"/>
              <w:tblW w:w="782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374"/>
              <w:gridCol w:w="920"/>
              <w:gridCol w:w="850"/>
              <w:gridCol w:w="780"/>
              <w:gridCol w:w="1530"/>
              <w:gridCol w:w="237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1374" w:type="dxa"/>
                  <w:tcBorders>
                    <w:tl2br w:val="nil"/>
                    <w:tr2bl w:val="nil"/>
                  </w:tcBorders>
                  <w:vAlign w:val="center"/>
                </w:tcPr>
                <w:p>
                  <w:pPr>
                    <w:adjustRightInd w:val="0"/>
                    <w:snapToGrid w:val="0"/>
                    <w:spacing w:line="360" w:lineRule="auto"/>
                    <w:jc w:val="center"/>
                    <w:rPr>
                      <w:szCs w:val="21"/>
                    </w:rPr>
                  </w:pPr>
                  <w:r>
                    <w:rPr>
                      <w:rFonts w:hint="eastAsia"/>
                      <w:szCs w:val="21"/>
                    </w:rPr>
                    <w:t>船名</w:t>
                  </w:r>
                </w:p>
              </w:tc>
              <w:tc>
                <w:tcPr>
                  <w:tcW w:w="920" w:type="dxa"/>
                  <w:tcBorders>
                    <w:tl2br w:val="nil"/>
                    <w:tr2bl w:val="nil"/>
                  </w:tcBorders>
                  <w:vAlign w:val="center"/>
                </w:tcPr>
                <w:p>
                  <w:pPr>
                    <w:adjustRightInd w:val="0"/>
                    <w:snapToGrid w:val="0"/>
                    <w:spacing w:line="360" w:lineRule="auto"/>
                    <w:jc w:val="center"/>
                    <w:rPr>
                      <w:szCs w:val="21"/>
                    </w:rPr>
                  </w:pPr>
                  <w:r>
                    <w:rPr>
                      <w:rFonts w:hint="eastAsia"/>
                      <w:szCs w:val="21"/>
                    </w:rPr>
                    <w:t>船舶类型</w:t>
                  </w:r>
                </w:p>
              </w:tc>
              <w:tc>
                <w:tcPr>
                  <w:tcW w:w="850" w:type="dxa"/>
                  <w:tcBorders>
                    <w:tl2br w:val="nil"/>
                    <w:tr2bl w:val="nil"/>
                  </w:tcBorders>
                  <w:vAlign w:val="center"/>
                </w:tcPr>
                <w:p>
                  <w:pPr>
                    <w:adjustRightInd w:val="0"/>
                    <w:snapToGrid w:val="0"/>
                    <w:spacing w:line="360" w:lineRule="auto"/>
                    <w:jc w:val="center"/>
                    <w:rPr>
                      <w:szCs w:val="21"/>
                    </w:rPr>
                  </w:pPr>
                  <w:r>
                    <w:rPr>
                      <w:rFonts w:hint="eastAsia"/>
                      <w:szCs w:val="21"/>
                    </w:rPr>
                    <w:t>总吨位（t）</w:t>
                  </w:r>
                </w:p>
              </w:tc>
              <w:tc>
                <w:tcPr>
                  <w:tcW w:w="780" w:type="dxa"/>
                  <w:tcBorders>
                    <w:tl2br w:val="nil"/>
                    <w:tr2bl w:val="nil"/>
                  </w:tcBorders>
                  <w:vAlign w:val="center"/>
                </w:tcPr>
                <w:p>
                  <w:pPr>
                    <w:adjustRightInd w:val="0"/>
                    <w:snapToGrid w:val="0"/>
                    <w:spacing w:line="360" w:lineRule="auto"/>
                    <w:jc w:val="center"/>
                    <w:rPr>
                      <w:szCs w:val="21"/>
                    </w:rPr>
                  </w:pPr>
                  <w:r>
                    <w:rPr>
                      <w:rFonts w:hint="eastAsia"/>
                      <w:szCs w:val="21"/>
                    </w:rPr>
                    <w:t>净吨位（t）</w:t>
                  </w:r>
                </w:p>
              </w:tc>
              <w:tc>
                <w:tcPr>
                  <w:tcW w:w="1530" w:type="dxa"/>
                  <w:tcBorders>
                    <w:tl2br w:val="nil"/>
                    <w:tr2bl w:val="nil"/>
                  </w:tcBorders>
                  <w:vAlign w:val="center"/>
                </w:tcPr>
                <w:p>
                  <w:pPr>
                    <w:adjustRightInd w:val="0"/>
                    <w:snapToGrid w:val="0"/>
                    <w:spacing w:line="360" w:lineRule="auto"/>
                    <w:jc w:val="center"/>
                    <w:rPr>
                      <w:szCs w:val="21"/>
                    </w:rPr>
                  </w:pPr>
                  <w:r>
                    <w:rPr>
                      <w:rFonts w:hint="eastAsia"/>
                      <w:szCs w:val="21"/>
                    </w:rPr>
                    <w:t>船长、宽、深（m）</w:t>
                  </w:r>
                </w:p>
              </w:tc>
              <w:tc>
                <w:tcPr>
                  <w:tcW w:w="2372" w:type="dxa"/>
                  <w:tcBorders>
                    <w:tl2br w:val="nil"/>
                    <w:tr2bl w:val="nil"/>
                  </w:tcBorders>
                  <w:vAlign w:val="center"/>
                </w:tcPr>
                <w:p>
                  <w:pPr>
                    <w:adjustRightInd w:val="0"/>
                    <w:snapToGrid w:val="0"/>
                    <w:spacing w:line="360" w:lineRule="auto"/>
                    <w:jc w:val="center"/>
                    <w:rPr>
                      <w:szCs w:val="21"/>
                    </w:rPr>
                  </w:pPr>
                  <w:r>
                    <w:rPr>
                      <w:rFonts w:hint="eastAsia"/>
                      <w:szCs w:val="21"/>
                    </w:rPr>
                    <w:t>主要功能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374" w:type="dxa"/>
                  <w:tcBorders>
                    <w:tl2br w:val="nil"/>
                    <w:tr2bl w:val="nil"/>
                  </w:tcBorders>
                  <w:vAlign w:val="center"/>
                </w:tcPr>
                <w:p>
                  <w:pPr>
                    <w:adjustRightInd w:val="0"/>
                    <w:snapToGrid w:val="0"/>
                    <w:spacing w:line="360" w:lineRule="auto"/>
                    <w:jc w:val="center"/>
                    <w:rPr>
                      <w:szCs w:val="21"/>
                    </w:rPr>
                  </w:pPr>
                  <w:r>
                    <w:rPr>
                      <w:rFonts w:hint="eastAsia"/>
                      <w:szCs w:val="21"/>
                    </w:rPr>
                    <w:t>湘岳阳油1129</w:t>
                  </w:r>
                </w:p>
              </w:tc>
              <w:tc>
                <w:tcPr>
                  <w:tcW w:w="920" w:type="dxa"/>
                  <w:tcBorders>
                    <w:tl2br w:val="nil"/>
                    <w:tr2bl w:val="nil"/>
                  </w:tcBorders>
                  <w:vAlign w:val="center"/>
                </w:tcPr>
                <w:p>
                  <w:pPr>
                    <w:adjustRightInd w:val="0"/>
                    <w:snapToGrid w:val="0"/>
                    <w:spacing w:line="360" w:lineRule="auto"/>
                    <w:jc w:val="center"/>
                    <w:rPr>
                      <w:szCs w:val="21"/>
                    </w:rPr>
                  </w:pPr>
                  <w:r>
                    <w:rPr>
                      <w:rFonts w:hint="eastAsia"/>
                      <w:szCs w:val="21"/>
                    </w:rPr>
                    <w:t>液货船</w:t>
                  </w:r>
                </w:p>
              </w:tc>
              <w:tc>
                <w:tcPr>
                  <w:tcW w:w="850" w:type="dxa"/>
                  <w:tcBorders>
                    <w:tl2br w:val="nil"/>
                    <w:tr2bl w:val="nil"/>
                  </w:tcBorders>
                  <w:vAlign w:val="center"/>
                </w:tcPr>
                <w:p>
                  <w:pPr>
                    <w:adjustRightInd w:val="0"/>
                    <w:snapToGrid w:val="0"/>
                    <w:spacing w:line="360" w:lineRule="auto"/>
                    <w:jc w:val="center"/>
                    <w:rPr>
                      <w:szCs w:val="21"/>
                    </w:rPr>
                  </w:pPr>
                  <w:r>
                    <w:rPr>
                      <w:rFonts w:hint="eastAsia"/>
                      <w:szCs w:val="21"/>
                    </w:rPr>
                    <w:t>53</w:t>
                  </w:r>
                </w:p>
              </w:tc>
              <w:tc>
                <w:tcPr>
                  <w:tcW w:w="780" w:type="dxa"/>
                  <w:tcBorders>
                    <w:tl2br w:val="nil"/>
                    <w:tr2bl w:val="nil"/>
                  </w:tcBorders>
                  <w:vAlign w:val="center"/>
                </w:tcPr>
                <w:p>
                  <w:pPr>
                    <w:adjustRightInd w:val="0"/>
                    <w:snapToGrid w:val="0"/>
                    <w:spacing w:line="360" w:lineRule="auto"/>
                    <w:jc w:val="center"/>
                    <w:rPr>
                      <w:szCs w:val="21"/>
                    </w:rPr>
                  </w:pPr>
                  <w:r>
                    <w:rPr>
                      <w:rFonts w:hint="eastAsia"/>
                      <w:szCs w:val="21"/>
                    </w:rPr>
                    <w:t>29</w:t>
                  </w:r>
                </w:p>
              </w:tc>
              <w:tc>
                <w:tcPr>
                  <w:tcW w:w="1530" w:type="dxa"/>
                  <w:tcBorders>
                    <w:tl2br w:val="nil"/>
                    <w:tr2bl w:val="nil"/>
                  </w:tcBorders>
                  <w:vAlign w:val="center"/>
                </w:tcPr>
                <w:p>
                  <w:pPr>
                    <w:adjustRightInd w:val="0"/>
                    <w:snapToGrid w:val="0"/>
                    <w:spacing w:line="360" w:lineRule="auto"/>
                    <w:jc w:val="center"/>
                    <w:rPr>
                      <w:szCs w:val="21"/>
                    </w:rPr>
                  </w:pPr>
                  <w:r>
                    <w:rPr>
                      <w:rFonts w:hint="eastAsia"/>
                      <w:szCs w:val="21"/>
                    </w:rPr>
                    <w:t>23</w:t>
                  </w:r>
                  <w:r>
                    <w:rPr>
                      <w:rFonts w:ascii="Arial" w:hAnsi="Arial" w:cs="Arial"/>
                      <w:szCs w:val="21"/>
                    </w:rPr>
                    <w:t>×</w:t>
                  </w:r>
                  <w:r>
                    <w:rPr>
                      <w:rFonts w:hint="eastAsia"/>
                      <w:szCs w:val="21"/>
                    </w:rPr>
                    <w:t>4.6</w:t>
                  </w:r>
                  <w:r>
                    <w:rPr>
                      <w:rFonts w:ascii="Arial" w:hAnsi="Arial" w:cs="Arial"/>
                      <w:szCs w:val="21"/>
                    </w:rPr>
                    <w:t>×</w:t>
                  </w:r>
                  <w:r>
                    <w:rPr>
                      <w:rFonts w:hint="eastAsia"/>
                      <w:szCs w:val="21"/>
                    </w:rPr>
                    <w:t>1.2</w:t>
                  </w:r>
                </w:p>
              </w:tc>
              <w:tc>
                <w:tcPr>
                  <w:tcW w:w="2372" w:type="dxa"/>
                  <w:tcBorders>
                    <w:tl2br w:val="nil"/>
                    <w:tr2bl w:val="nil"/>
                  </w:tcBorders>
                  <w:vAlign w:val="center"/>
                </w:tcPr>
                <w:p>
                  <w:pPr>
                    <w:adjustRightInd w:val="0"/>
                    <w:snapToGrid w:val="0"/>
                    <w:spacing w:line="360" w:lineRule="auto"/>
                    <w:jc w:val="center"/>
                    <w:rPr>
                      <w:szCs w:val="21"/>
                    </w:rPr>
                  </w:pPr>
                  <w:r>
                    <w:rPr>
                      <w:rFonts w:hint="eastAsia"/>
                      <w:szCs w:val="21"/>
                    </w:rPr>
                    <w:t>用于含油废水、生活污水、船舶垃圾暂存</w:t>
                  </w:r>
                </w:p>
              </w:tc>
            </w:tr>
          </w:tbl>
          <w:p>
            <w:pPr>
              <w:spacing w:line="360" w:lineRule="auto"/>
              <w:jc w:val="center"/>
              <w:rPr>
                <w:b/>
                <w:szCs w:val="21"/>
              </w:rPr>
            </w:pPr>
            <w:r>
              <w:rPr>
                <w:rFonts w:hint="eastAsia" w:cs="宋体"/>
                <w:b/>
                <w:szCs w:val="21"/>
              </w:rPr>
              <w:t>表</w:t>
            </w:r>
            <w:r>
              <w:rPr>
                <w:rFonts w:hint="eastAsia"/>
                <w:b/>
                <w:szCs w:val="21"/>
              </w:rPr>
              <w:t>2-15</w:t>
            </w:r>
            <w:r>
              <w:rPr>
                <w:rFonts w:hint="eastAsia" w:cs="宋体"/>
                <w:b/>
                <w:szCs w:val="21"/>
              </w:rPr>
              <w:t>回收废机油专用船船舱吨位</w:t>
            </w:r>
          </w:p>
          <w:tbl>
            <w:tblPr>
              <w:tblStyle w:val="24"/>
              <w:tblW w:w="765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553"/>
              <w:gridCol w:w="2552"/>
              <w:gridCol w:w="255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sz w:val="21"/>
                      <w:szCs w:val="21"/>
                    </w:rPr>
                  </w:pPr>
                  <w:r>
                    <w:rPr>
                      <w:rFonts w:ascii="Times New Roman" w:hAnsi="Times New Roman" w:cs="Times New Roman"/>
                      <w:kern w:val="2"/>
                      <w:sz w:val="21"/>
                      <w:szCs w:val="21"/>
                    </w:rPr>
                    <w:t>舱型</w:t>
                  </w: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sz w:val="21"/>
                      <w:szCs w:val="21"/>
                    </w:rPr>
                  </w:pPr>
                  <w:r>
                    <w:rPr>
                      <w:rFonts w:ascii="Times New Roman" w:hAnsi="Times New Roman" w:cs="Times New Roman"/>
                      <w:kern w:val="2"/>
                      <w:sz w:val="21"/>
                      <w:szCs w:val="21"/>
                    </w:rPr>
                    <w:t>个数</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sz w:val="21"/>
                      <w:szCs w:val="21"/>
                    </w:rPr>
                  </w:pPr>
                  <w:r>
                    <w:rPr>
                      <w:rFonts w:ascii="Times New Roman" w:hAnsi="Times New Roman" w:cs="Times New Roman"/>
                      <w:kern w:val="2"/>
                      <w:sz w:val="21"/>
                      <w:szCs w:val="21"/>
                    </w:rPr>
                    <w:t>吨位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658" w:type="dxa"/>
                  <w:gridSpan w:val="3"/>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kern w:val="2"/>
                      <w:sz w:val="21"/>
                      <w:szCs w:val="21"/>
                    </w:rPr>
                  </w:pPr>
                  <w:r>
                    <w:rPr>
                      <w:rFonts w:ascii="Times New Roman" w:hAnsi="Times New Roman" w:cs="Times New Roman"/>
                      <w:kern w:val="2"/>
                      <w:sz w:val="21"/>
                      <w:szCs w:val="21"/>
                    </w:rPr>
                    <w:t>湘岳阳油1129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sz w:val="21"/>
                      <w:szCs w:val="21"/>
                    </w:rPr>
                  </w:pPr>
                  <w:r>
                    <w:rPr>
                      <w:rFonts w:ascii="Times New Roman" w:hAnsi="Times New Roman" w:cs="Times New Roman"/>
                      <w:kern w:val="2"/>
                      <w:sz w:val="21"/>
                      <w:szCs w:val="21"/>
                    </w:rPr>
                    <w:t>安全气舱</w:t>
                  </w: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sz w:val="21"/>
                      <w:szCs w:val="21"/>
                    </w:rPr>
                  </w:pPr>
                  <w:r>
                    <w:rPr>
                      <w:rFonts w:ascii="Times New Roman" w:hAnsi="Times New Roman" w:cs="Times New Roman"/>
                      <w:kern w:val="2"/>
                      <w:sz w:val="21"/>
                      <w:szCs w:val="21"/>
                    </w:rPr>
                    <w:t>8</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sz w:val="21"/>
                      <w:szCs w:val="21"/>
                    </w:rPr>
                  </w:pPr>
                  <w:r>
                    <w:rPr>
                      <w:rFonts w:ascii="Times New Roman" w:hAnsi="Times New Roman" w:cs="Times New Roman"/>
                      <w:kern w:val="2"/>
                      <w:sz w:val="21"/>
                      <w:szCs w:val="21"/>
                    </w:rPr>
                    <w:t>16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2553" w:type="dxa"/>
                  <w:vMerge w:val="restart"/>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sz w:val="21"/>
                      <w:szCs w:val="21"/>
                    </w:rPr>
                  </w:pPr>
                  <w:r>
                    <w:rPr>
                      <w:rFonts w:ascii="Times New Roman" w:hAnsi="Times New Roman" w:cs="Times New Roman"/>
                      <w:kern w:val="2"/>
                      <w:sz w:val="21"/>
                      <w:szCs w:val="21"/>
                    </w:rPr>
                    <w:t>油舱</w:t>
                  </w: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sz w:val="21"/>
                      <w:szCs w:val="21"/>
                    </w:rPr>
                  </w:pPr>
                  <w:r>
                    <w:rPr>
                      <w:rFonts w:ascii="Times New Roman" w:hAnsi="Times New Roman" w:cs="Times New Roman"/>
                      <w:kern w:val="2"/>
                      <w:sz w:val="21"/>
                      <w:szCs w:val="21"/>
                    </w:rPr>
                    <w:t>1</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sz w:val="21"/>
                      <w:szCs w:val="21"/>
                    </w:rPr>
                  </w:pPr>
                  <w:r>
                    <w:rPr>
                      <w:rFonts w:ascii="Times New Roman" w:hAnsi="Times New Roman" w:cs="Times New Roman"/>
                      <w:kern w:val="2"/>
                      <w:sz w:val="21"/>
                      <w:szCs w:val="21"/>
                    </w:rPr>
                    <w:t>18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2553" w:type="dxa"/>
                  <w:vMerge w:val="continue"/>
                  <w:tcBorders>
                    <w:tl2br w:val="nil"/>
                    <w:tr2bl w:val="nil"/>
                  </w:tcBorders>
                  <w:noWrap/>
                  <w:vAlign w:val="center"/>
                </w:tcPr>
                <w:p>
                  <w:pPr>
                    <w:rPr>
                      <w:szCs w:val="21"/>
                    </w:rPr>
                  </w:pP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sz w:val="21"/>
                      <w:szCs w:val="21"/>
                    </w:rPr>
                  </w:pPr>
                  <w:r>
                    <w:rPr>
                      <w:rFonts w:ascii="Times New Roman" w:hAnsi="Times New Roman" w:cs="Times New Roman"/>
                      <w:kern w:val="2"/>
                      <w:sz w:val="21"/>
                      <w:szCs w:val="21"/>
                    </w:rPr>
                    <w:t>1</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sz w:val="21"/>
                      <w:szCs w:val="21"/>
                    </w:rPr>
                  </w:pPr>
                  <w:r>
                    <w:rPr>
                      <w:rFonts w:ascii="Times New Roman" w:hAnsi="Times New Roman" w:cs="Times New Roman"/>
                      <w:kern w:val="2"/>
                      <w:sz w:val="21"/>
                      <w:szCs w:val="21"/>
                    </w:rPr>
                    <w:t>17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2553" w:type="dxa"/>
                  <w:vMerge w:val="continue"/>
                  <w:tcBorders>
                    <w:tl2br w:val="nil"/>
                    <w:tr2bl w:val="nil"/>
                  </w:tcBorders>
                  <w:noWrap/>
                  <w:vAlign w:val="center"/>
                </w:tcPr>
                <w:p>
                  <w:pPr>
                    <w:rPr>
                      <w:szCs w:val="21"/>
                    </w:rPr>
                  </w:pPr>
                </w:p>
              </w:tc>
              <w:tc>
                <w:tcPr>
                  <w:tcW w:w="2552"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sz w:val="21"/>
                      <w:szCs w:val="21"/>
                    </w:rPr>
                  </w:pPr>
                  <w:r>
                    <w:rPr>
                      <w:rFonts w:ascii="Times New Roman" w:hAnsi="Times New Roman" w:cs="Times New Roman"/>
                      <w:kern w:val="2"/>
                      <w:sz w:val="21"/>
                      <w:szCs w:val="21"/>
                    </w:rPr>
                    <w:t>4</w:t>
                  </w:r>
                </w:p>
              </w:tc>
              <w:tc>
                <w:tcPr>
                  <w:tcW w:w="2553" w:type="dxa"/>
                  <w:tcBorders>
                    <w:tl2br w:val="nil"/>
                    <w:tr2bl w:val="nil"/>
                  </w:tcBorders>
                  <w:noWrap/>
                  <w:vAlign w:val="center"/>
                </w:tcPr>
                <w:p>
                  <w:pPr>
                    <w:pStyle w:val="20"/>
                    <w:spacing w:before="0" w:beforeAutospacing="0" w:after="0" w:afterAutospacing="0"/>
                    <w:jc w:val="center"/>
                    <w:outlineLvl w:val="0"/>
                    <w:rPr>
                      <w:rFonts w:ascii="Times New Roman" w:hAnsi="Times New Roman" w:cs="Times New Roman"/>
                      <w:sz w:val="21"/>
                      <w:szCs w:val="21"/>
                    </w:rPr>
                  </w:pPr>
                  <w:r>
                    <w:rPr>
                      <w:rFonts w:ascii="Times New Roman" w:hAnsi="Times New Roman" w:cs="Times New Roman"/>
                      <w:kern w:val="2"/>
                      <w:sz w:val="21"/>
                      <w:szCs w:val="21"/>
                    </w:rPr>
                    <w:t>5</w:t>
                  </w:r>
                </w:p>
              </w:tc>
            </w:tr>
          </w:tbl>
          <w:p>
            <w:pPr>
              <w:pStyle w:val="23"/>
              <w:ind w:left="0" w:leftChars="0" w:firstLine="0" w:firstLineChars="0"/>
              <w:jc w:val="center"/>
              <w:rPr>
                <w:szCs w:val="21"/>
              </w:rPr>
            </w:pPr>
            <w:r>
              <w:rPr>
                <w:b/>
                <w:bCs/>
                <w:szCs w:val="21"/>
              </w:rPr>
              <w:t>表</w:t>
            </w:r>
            <w:r>
              <w:rPr>
                <w:rFonts w:hint="eastAsia"/>
                <w:b/>
                <w:bCs/>
                <w:szCs w:val="21"/>
              </w:rPr>
              <w:t>2-16  其他设备一览表</w:t>
            </w:r>
          </w:p>
          <w:tbl>
            <w:tblPr>
              <w:tblStyle w:val="25"/>
              <w:tblW w:w="782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608"/>
              <w:gridCol w:w="4274"/>
              <w:gridCol w:w="94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djustRightInd w:val="0"/>
                    <w:snapToGrid w:val="0"/>
                    <w:spacing w:line="360" w:lineRule="auto"/>
                    <w:jc w:val="center"/>
                    <w:rPr>
                      <w:b/>
                      <w:bCs/>
                      <w:szCs w:val="21"/>
                    </w:rPr>
                  </w:pPr>
                  <w:r>
                    <w:rPr>
                      <w:rFonts w:hint="eastAsia"/>
                      <w:b/>
                      <w:bCs/>
                      <w:szCs w:val="21"/>
                    </w:rPr>
                    <w:t>名称</w:t>
                  </w:r>
                </w:p>
              </w:tc>
              <w:tc>
                <w:tcPr>
                  <w:tcW w:w="4274" w:type="dxa"/>
                  <w:tcBorders>
                    <w:tl2br w:val="nil"/>
                    <w:tr2bl w:val="nil"/>
                  </w:tcBorders>
                  <w:vAlign w:val="center"/>
                </w:tcPr>
                <w:p>
                  <w:pPr>
                    <w:adjustRightInd w:val="0"/>
                    <w:snapToGrid w:val="0"/>
                    <w:spacing w:line="360" w:lineRule="auto"/>
                    <w:jc w:val="center"/>
                    <w:rPr>
                      <w:b/>
                      <w:bCs/>
                      <w:szCs w:val="21"/>
                    </w:rPr>
                  </w:pPr>
                  <w:r>
                    <w:rPr>
                      <w:rFonts w:hint="eastAsia"/>
                      <w:b/>
                      <w:bCs/>
                      <w:szCs w:val="21"/>
                    </w:rPr>
                    <w:t>数量</w:t>
                  </w:r>
                </w:p>
              </w:tc>
              <w:tc>
                <w:tcPr>
                  <w:tcW w:w="944" w:type="dxa"/>
                  <w:tcBorders>
                    <w:tl2br w:val="nil"/>
                    <w:tr2bl w:val="nil"/>
                  </w:tcBorders>
                  <w:vAlign w:val="center"/>
                </w:tcPr>
                <w:p>
                  <w:pPr>
                    <w:adjustRightInd w:val="0"/>
                    <w:snapToGrid w:val="0"/>
                    <w:spacing w:line="360" w:lineRule="auto"/>
                    <w:jc w:val="center"/>
                    <w:rPr>
                      <w:b/>
                      <w:bCs/>
                      <w:szCs w:val="21"/>
                    </w:rPr>
                  </w:pPr>
                  <w:r>
                    <w:rPr>
                      <w:rFonts w:hint="eastAsia"/>
                      <w:b/>
                      <w:bCs/>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826" w:type="dxa"/>
                  <w:gridSpan w:val="3"/>
                  <w:tcBorders>
                    <w:tl2br w:val="nil"/>
                    <w:tr2bl w:val="nil"/>
                  </w:tcBorders>
                  <w:vAlign w:val="center"/>
                </w:tcPr>
                <w:p>
                  <w:pPr>
                    <w:adjustRightInd w:val="0"/>
                    <w:snapToGrid w:val="0"/>
                    <w:spacing w:line="360" w:lineRule="auto"/>
                    <w:jc w:val="center"/>
                    <w:rPr>
                      <w:b/>
                      <w:bCs/>
                      <w:szCs w:val="21"/>
                    </w:rPr>
                  </w:pPr>
                  <w:r>
                    <w:rPr>
                      <w:rFonts w:hint="eastAsia"/>
                      <w:szCs w:val="21"/>
                    </w:rPr>
                    <w:t>湘岳阳1129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szCs w:val="21"/>
                    </w:rPr>
                  </w:pPr>
                  <w:r>
                    <w:rPr>
                      <w:rFonts w:hint="eastAsia" w:cs="宋体"/>
                      <w:szCs w:val="21"/>
                    </w:rPr>
                    <w:t>锚设备</w:t>
                  </w:r>
                </w:p>
              </w:tc>
              <w:tc>
                <w:tcPr>
                  <w:tcW w:w="4274" w:type="dxa"/>
                  <w:tcBorders>
                    <w:tl2br w:val="nil"/>
                    <w:tr2bl w:val="nil"/>
                  </w:tcBorders>
                  <w:vAlign w:val="center"/>
                </w:tcPr>
                <w:p>
                  <w:pPr>
                    <w:autoSpaceDN w:val="0"/>
                    <w:jc w:val="center"/>
                    <w:textAlignment w:val="center"/>
                  </w:pPr>
                  <w:r>
                    <w:rPr>
                      <w:rFonts w:hint="eastAsia" w:cs="宋体"/>
                    </w:rPr>
                    <w:t>舾装数</w:t>
                  </w:r>
                  <w:r>
                    <w:t>128</w:t>
                  </w:r>
                  <w:r>
                    <w:rPr>
                      <w:rFonts w:hint="eastAsia" w:cs="宋体"/>
                    </w:rPr>
                    <w:t>个，锚数量</w:t>
                  </w:r>
                  <w:r>
                    <w:t>2</w:t>
                  </w:r>
                  <w:r>
                    <w:rPr>
                      <w:rFonts w:hint="eastAsia" w:cs="宋体"/>
                    </w:rPr>
                    <w:t>个，锚机数量</w:t>
                  </w:r>
                  <w:r>
                    <w:t>1</w:t>
                  </w:r>
                  <w:r>
                    <w:rPr>
                      <w:rFonts w:hint="eastAsia" w:cs="宋体"/>
                    </w:rPr>
                    <w:t>台</w:t>
                  </w:r>
                </w:p>
              </w:tc>
              <w:tc>
                <w:tcPr>
                  <w:tcW w:w="944" w:type="dxa"/>
                  <w:tcBorders>
                    <w:tl2br w:val="nil"/>
                    <w:tr2bl w:val="nil"/>
                  </w:tcBorders>
                  <w:vAlign w:val="center"/>
                </w:tcPr>
                <w:p>
                  <w:pPr>
                    <w:adjustRightInd w:val="0"/>
                    <w:snapToGrid w:val="0"/>
                    <w:spacing w:line="360" w:lineRule="auto"/>
                    <w:jc w:val="center"/>
                    <w:rPr>
                      <w:b/>
                      <w:bCs/>
                      <w:sz w:val="24"/>
                      <w:szCs w:val="24"/>
                    </w:rPr>
                  </w:pPr>
                  <w:r>
                    <w:rPr>
                      <w:rFonts w:hint="eastAsia"/>
                      <w:b/>
                      <w:bCs/>
                      <w:sz w:val="24"/>
                      <w:szCs w:val="24"/>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szCs w:val="21"/>
                    </w:rPr>
                  </w:pPr>
                  <w:r>
                    <w:rPr>
                      <w:rFonts w:hint="eastAsia" w:cs="宋体"/>
                      <w:szCs w:val="21"/>
                    </w:rPr>
                    <w:t>舵设备</w:t>
                  </w:r>
                </w:p>
              </w:tc>
              <w:tc>
                <w:tcPr>
                  <w:tcW w:w="4274" w:type="dxa"/>
                  <w:tcBorders>
                    <w:tl2br w:val="nil"/>
                    <w:tr2bl w:val="nil"/>
                  </w:tcBorders>
                  <w:vAlign w:val="center"/>
                </w:tcPr>
                <w:p>
                  <w:pPr>
                    <w:autoSpaceDN w:val="0"/>
                    <w:jc w:val="center"/>
                    <w:textAlignment w:val="center"/>
                  </w:pPr>
                  <w:r>
                    <w:rPr>
                      <w:rFonts w:hint="eastAsia" w:cs="宋体"/>
                    </w:rPr>
                    <w:t>舵数量</w:t>
                  </w:r>
                  <w:r>
                    <w:t>2</w:t>
                  </w:r>
                  <w:r>
                    <w:rPr>
                      <w:rFonts w:hint="eastAsia" w:cs="宋体"/>
                    </w:rPr>
                    <w:t>个</w:t>
                  </w:r>
                </w:p>
              </w:tc>
              <w:tc>
                <w:tcPr>
                  <w:tcW w:w="944" w:type="dxa"/>
                  <w:tcBorders>
                    <w:tl2br w:val="nil"/>
                    <w:tr2bl w:val="nil"/>
                  </w:tcBorders>
                  <w:vAlign w:val="center"/>
                </w:tcPr>
                <w:p>
                  <w:pPr>
                    <w:adjustRightInd w:val="0"/>
                    <w:snapToGrid w:val="0"/>
                    <w:spacing w:line="360" w:lineRule="auto"/>
                    <w:jc w:val="center"/>
                    <w:rPr>
                      <w:b/>
                      <w:bCs/>
                      <w:sz w:val="24"/>
                      <w:szCs w:val="24"/>
                    </w:rPr>
                  </w:pPr>
                  <w:r>
                    <w:rPr>
                      <w:rFonts w:hint="eastAsia"/>
                      <w:b/>
                      <w:bCs/>
                      <w:sz w:val="24"/>
                      <w:szCs w:val="24"/>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608" w:type="dxa"/>
                  <w:tcBorders>
                    <w:tl2br w:val="nil"/>
                    <w:tr2bl w:val="nil"/>
                  </w:tcBorders>
                  <w:vAlign w:val="center"/>
                </w:tcPr>
                <w:p>
                  <w:pPr>
                    <w:autoSpaceDN w:val="0"/>
                    <w:jc w:val="center"/>
                    <w:textAlignment w:val="center"/>
                    <w:rPr>
                      <w:szCs w:val="21"/>
                    </w:rPr>
                  </w:pPr>
                  <w:r>
                    <w:rPr>
                      <w:rFonts w:hint="eastAsia" w:cs="宋体"/>
                      <w:szCs w:val="21"/>
                    </w:rPr>
                    <w:t>消防设备</w:t>
                  </w:r>
                </w:p>
              </w:tc>
              <w:tc>
                <w:tcPr>
                  <w:tcW w:w="4274" w:type="dxa"/>
                  <w:tcBorders>
                    <w:tl2br w:val="nil"/>
                    <w:tr2bl w:val="nil"/>
                  </w:tcBorders>
                  <w:vAlign w:val="center"/>
                </w:tcPr>
                <w:p>
                  <w:pPr>
                    <w:autoSpaceDN w:val="0"/>
                    <w:jc w:val="center"/>
                    <w:textAlignment w:val="center"/>
                  </w:pPr>
                  <w:r>
                    <w:rPr>
                      <w:rFonts w:hint="eastAsia" w:cs="宋体"/>
                    </w:rPr>
                    <w:t>水消防泵</w:t>
                  </w:r>
                  <w:r>
                    <w:t>1</w:t>
                  </w:r>
                  <w:r>
                    <w:rPr>
                      <w:rFonts w:hint="eastAsia" w:cs="宋体"/>
                    </w:rPr>
                    <w:t>台，消火栓</w:t>
                  </w:r>
                  <w:r>
                    <w:t>2</w:t>
                  </w:r>
                  <w:r>
                    <w:rPr>
                      <w:rFonts w:hint="eastAsia" w:cs="宋体"/>
                    </w:rPr>
                    <w:t>个，水枪</w:t>
                  </w:r>
                  <w:r>
                    <w:t>1</w:t>
                  </w:r>
                  <w:r>
                    <w:rPr>
                      <w:rFonts w:hint="eastAsia" w:cs="宋体"/>
                    </w:rPr>
                    <w:t>支</w:t>
                  </w:r>
                </w:p>
              </w:tc>
              <w:tc>
                <w:tcPr>
                  <w:tcW w:w="944" w:type="dxa"/>
                  <w:tcBorders>
                    <w:tl2br w:val="nil"/>
                    <w:tr2bl w:val="nil"/>
                  </w:tcBorders>
                  <w:vAlign w:val="center"/>
                </w:tcPr>
                <w:p>
                  <w:pPr>
                    <w:adjustRightInd w:val="0"/>
                    <w:snapToGrid w:val="0"/>
                    <w:spacing w:line="360" w:lineRule="auto"/>
                    <w:jc w:val="center"/>
                    <w:rPr>
                      <w:b/>
                      <w:bCs/>
                      <w:sz w:val="24"/>
                      <w:szCs w:val="24"/>
                    </w:rPr>
                  </w:pPr>
                  <w:r>
                    <w:rPr>
                      <w:rFonts w:hint="eastAsia"/>
                      <w:b/>
                      <w:bCs/>
                      <w:sz w:val="24"/>
                      <w:szCs w:val="24"/>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szCs w:val="21"/>
                    </w:rPr>
                  </w:pPr>
                  <w:r>
                    <w:rPr>
                      <w:rFonts w:hint="eastAsia" w:cs="宋体"/>
                      <w:szCs w:val="21"/>
                    </w:rPr>
                    <w:t>航行设备</w:t>
                  </w:r>
                </w:p>
              </w:tc>
              <w:tc>
                <w:tcPr>
                  <w:tcW w:w="4274" w:type="dxa"/>
                  <w:tcBorders>
                    <w:tl2br w:val="nil"/>
                    <w:tr2bl w:val="nil"/>
                  </w:tcBorders>
                  <w:vAlign w:val="center"/>
                </w:tcPr>
                <w:p>
                  <w:pPr>
                    <w:autoSpaceDN w:val="0"/>
                    <w:jc w:val="center"/>
                    <w:textAlignment w:val="center"/>
                  </w:pPr>
                  <w:r>
                    <w:rPr>
                      <w:rFonts w:hint="eastAsia" w:cs="宋体"/>
                    </w:rPr>
                    <w:t>测深杆</w:t>
                  </w:r>
                  <w:r>
                    <w:t>2</w:t>
                  </w:r>
                  <w:r>
                    <w:rPr>
                      <w:rFonts w:hint="eastAsia" w:cs="宋体"/>
                    </w:rPr>
                    <w:t>个，望远镜</w:t>
                  </w:r>
                  <w:r>
                    <w:t>1</w:t>
                  </w:r>
                  <w:r>
                    <w:rPr>
                      <w:rFonts w:hint="eastAsia" w:cs="宋体"/>
                    </w:rPr>
                    <w:t>个</w:t>
                  </w:r>
                </w:p>
              </w:tc>
              <w:tc>
                <w:tcPr>
                  <w:tcW w:w="944" w:type="dxa"/>
                  <w:tcBorders>
                    <w:tl2br w:val="nil"/>
                    <w:tr2bl w:val="nil"/>
                  </w:tcBorders>
                  <w:vAlign w:val="center"/>
                </w:tcPr>
                <w:p>
                  <w:pPr>
                    <w:adjustRightInd w:val="0"/>
                    <w:snapToGrid w:val="0"/>
                    <w:spacing w:line="360" w:lineRule="auto"/>
                    <w:jc w:val="center"/>
                    <w:rPr>
                      <w:b/>
                      <w:bCs/>
                      <w:sz w:val="24"/>
                      <w:szCs w:val="24"/>
                    </w:rPr>
                  </w:pPr>
                  <w:r>
                    <w:rPr>
                      <w:rFonts w:hint="eastAsia"/>
                      <w:b/>
                      <w:bCs/>
                      <w:sz w:val="24"/>
                      <w:szCs w:val="24"/>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szCs w:val="21"/>
                    </w:rPr>
                  </w:pPr>
                  <w:r>
                    <w:rPr>
                      <w:rFonts w:hint="eastAsia" w:cs="宋体"/>
                      <w:szCs w:val="21"/>
                    </w:rPr>
                    <w:t>信号设备</w:t>
                  </w:r>
                </w:p>
              </w:tc>
              <w:tc>
                <w:tcPr>
                  <w:tcW w:w="4274" w:type="dxa"/>
                  <w:tcBorders>
                    <w:tl2br w:val="nil"/>
                    <w:tr2bl w:val="nil"/>
                  </w:tcBorders>
                  <w:vAlign w:val="center"/>
                </w:tcPr>
                <w:p>
                  <w:pPr>
                    <w:autoSpaceDN w:val="0"/>
                    <w:jc w:val="center"/>
                    <w:textAlignment w:val="center"/>
                  </w:pPr>
                  <w:r>
                    <w:rPr>
                      <w:rFonts w:hint="eastAsia" w:cs="宋体"/>
                    </w:rPr>
                    <w:t>国旗、号笛、红旗、桅灯、尾灯、信号旗各</w:t>
                  </w:r>
                  <w:r>
                    <w:t>1</w:t>
                  </w:r>
                  <w:r>
                    <w:rPr>
                      <w:rFonts w:hint="eastAsia" w:cs="宋体"/>
                    </w:rPr>
                    <w:t>个，环照灯</w:t>
                  </w:r>
                  <w:r>
                    <w:t>4</w:t>
                  </w:r>
                  <w:r>
                    <w:rPr>
                      <w:rFonts w:hint="eastAsia" w:cs="宋体"/>
                    </w:rPr>
                    <w:t>个，闪光灯</w:t>
                  </w:r>
                  <w:r>
                    <w:t>3</w:t>
                  </w:r>
                  <w:r>
                    <w:rPr>
                      <w:rFonts w:hint="eastAsia" w:cs="宋体"/>
                    </w:rPr>
                    <w:t>个，舷灯</w:t>
                  </w:r>
                  <w:r>
                    <w:t>2</w:t>
                  </w:r>
                  <w:r>
                    <w:rPr>
                      <w:rFonts w:hint="eastAsia" w:cs="宋体"/>
                    </w:rPr>
                    <w:t>个</w:t>
                  </w:r>
                </w:p>
              </w:tc>
              <w:tc>
                <w:tcPr>
                  <w:tcW w:w="944" w:type="dxa"/>
                  <w:tcBorders>
                    <w:tl2br w:val="nil"/>
                    <w:tr2bl w:val="nil"/>
                  </w:tcBorders>
                  <w:vAlign w:val="center"/>
                </w:tcPr>
                <w:p>
                  <w:pPr>
                    <w:adjustRightInd w:val="0"/>
                    <w:snapToGrid w:val="0"/>
                    <w:spacing w:line="360" w:lineRule="auto"/>
                    <w:jc w:val="center"/>
                    <w:rPr>
                      <w:b/>
                      <w:bCs/>
                      <w:sz w:val="24"/>
                      <w:szCs w:val="24"/>
                    </w:rPr>
                  </w:pPr>
                  <w:r>
                    <w:rPr>
                      <w:rFonts w:hint="eastAsia"/>
                      <w:b/>
                      <w:bCs/>
                      <w:sz w:val="24"/>
                      <w:szCs w:val="24"/>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rFonts w:cs="宋体"/>
                      <w:szCs w:val="21"/>
                    </w:rPr>
                  </w:pPr>
                  <w:r>
                    <w:rPr>
                      <w:rFonts w:hint="eastAsia" w:cs="宋体"/>
                      <w:szCs w:val="21"/>
                    </w:rPr>
                    <w:t>柴油发电机</w:t>
                  </w:r>
                </w:p>
              </w:tc>
              <w:tc>
                <w:tcPr>
                  <w:tcW w:w="4274" w:type="dxa"/>
                  <w:tcBorders>
                    <w:tl2br w:val="nil"/>
                    <w:tr2bl w:val="nil"/>
                  </w:tcBorders>
                  <w:vAlign w:val="center"/>
                </w:tcPr>
                <w:p>
                  <w:pPr>
                    <w:autoSpaceDN w:val="0"/>
                    <w:jc w:val="center"/>
                    <w:textAlignment w:val="center"/>
                    <w:rPr>
                      <w:rFonts w:cs="宋体"/>
                    </w:rPr>
                  </w:pPr>
                  <w:r>
                    <w:rPr>
                      <w:rFonts w:hint="eastAsia" w:cs="宋体"/>
                    </w:rPr>
                    <w:t>2台</w:t>
                  </w:r>
                </w:p>
              </w:tc>
              <w:tc>
                <w:tcPr>
                  <w:tcW w:w="944" w:type="dxa"/>
                  <w:tcBorders>
                    <w:tl2br w:val="nil"/>
                    <w:tr2bl w:val="nil"/>
                  </w:tcBorders>
                  <w:vAlign w:val="center"/>
                </w:tcPr>
                <w:p>
                  <w:pPr>
                    <w:adjustRightInd w:val="0"/>
                    <w:snapToGrid w:val="0"/>
                    <w:spacing w:line="360" w:lineRule="auto"/>
                    <w:jc w:val="center"/>
                    <w:rPr>
                      <w:b/>
                      <w:bCs/>
                      <w:sz w:val="24"/>
                      <w:szCs w:val="24"/>
                    </w:rPr>
                  </w:pPr>
                  <w:r>
                    <w:rPr>
                      <w:rFonts w:hint="eastAsia"/>
                      <w:b/>
                      <w:bCs/>
                      <w:sz w:val="24"/>
                      <w:szCs w:val="24"/>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608" w:type="dxa"/>
                  <w:tcBorders>
                    <w:tl2br w:val="nil"/>
                    <w:tr2bl w:val="nil"/>
                  </w:tcBorders>
                  <w:vAlign w:val="center"/>
                </w:tcPr>
                <w:p>
                  <w:pPr>
                    <w:autoSpaceDN w:val="0"/>
                    <w:jc w:val="center"/>
                    <w:textAlignment w:val="center"/>
                    <w:rPr>
                      <w:rFonts w:cs="宋体"/>
                      <w:szCs w:val="21"/>
                    </w:rPr>
                  </w:pPr>
                  <w:r>
                    <w:rPr>
                      <w:rFonts w:hint="eastAsia" w:cs="宋体"/>
                      <w:szCs w:val="21"/>
                    </w:rPr>
                    <w:t>油水分离器</w:t>
                  </w:r>
                </w:p>
              </w:tc>
              <w:tc>
                <w:tcPr>
                  <w:tcW w:w="4274" w:type="dxa"/>
                  <w:tcBorders>
                    <w:tl2br w:val="nil"/>
                    <w:tr2bl w:val="nil"/>
                  </w:tcBorders>
                  <w:vAlign w:val="center"/>
                </w:tcPr>
                <w:p>
                  <w:pPr>
                    <w:autoSpaceDN w:val="0"/>
                    <w:jc w:val="center"/>
                    <w:textAlignment w:val="center"/>
                    <w:rPr>
                      <w:rFonts w:cs="宋体"/>
                    </w:rPr>
                  </w:pPr>
                  <w:r>
                    <w:rPr>
                      <w:rFonts w:hint="eastAsia" w:cs="宋体"/>
                      <w:szCs w:val="21"/>
                    </w:rPr>
                    <w:t>1套（YWC型油水分离装置）</w:t>
                  </w:r>
                </w:p>
              </w:tc>
              <w:tc>
                <w:tcPr>
                  <w:tcW w:w="944" w:type="dxa"/>
                  <w:tcBorders>
                    <w:tl2br w:val="nil"/>
                    <w:tr2bl w:val="nil"/>
                  </w:tcBorders>
                  <w:vAlign w:val="center"/>
                </w:tcPr>
                <w:p>
                  <w:pPr>
                    <w:adjustRightInd w:val="0"/>
                    <w:snapToGrid w:val="0"/>
                    <w:spacing w:line="360" w:lineRule="auto"/>
                    <w:jc w:val="center"/>
                    <w:rPr>
                      <w:b/>
                      <w:bCs/>
                      <w:sz w:val="24"/>
                      <w:szCs w:val="24"/>
                    </w:rPr>
                  </w:pPr>
                  <w:r>
                    <w:rPr>
                      <w:rFonts w:hint="eastAsia"/>
                      <w:b/>
                      <w:bCs/>
                      <w:sz w:val="24"/>
                      <w:szCs w:val="24"/>
                    </w:rPr>
                    <w:t>/</w:t>
                  </w:r>
                </w:p>
              </w:tc>
            </w:tr>
          </w:tbl>
          <w:p>
            <w:pPr>
              <w:adjustRightInd w:val="0"/>
              <w:snapToGrid w:val="0"/>
              <w:spacing w:line="360" w:lineRule="auto"/>
              <w:rPr>
                <w:b/>
                <w:bCs/>
                <w:sz w:val="24"/>
                <w:szCs w:val="24"/>
              </w:rPr>
            </w:pPr>
            <w:r>
              <w:rPr>
                <w:rFonts w:hint="eastAsia"/>
                <w:b/>
                <w:bCs/>
                <w:sz w:val="24"/>
                <w:szCs w:val="24"/>
              </w:rPr>
              <w:t>（5）项目原辅材料</w:t>
            </w:r>
          </w:p>
          <w:p>
            <w:pPr>
              <w:spacing w:line="360" w:lineRule="auto"/>
              <w:ind w:firstLine="480" w:firstLineChars="200"/>
              <w:rPr>
                <w:sz w:val="24"/>
              </w:rPr>
            </w:pPr>
            <w:r>
              <w:rPr>
                <w:sz w:val="24"/>
              </w:rPr>
              <w:t>根据建设方提供的资料，本项目主要原辅材料具体情况见表</w:t>
            </w:r>
            <w:r>
              <w:rPr>
                <w:rFonts w:hint="eastAsia"/>
                <w:sz w:val="24"/>
              </w:rPr>
              <w:t>2-17</w:t>
            </w:r>
            <w:r>
              <w:rPr>
                <w:sz w:val="24"/>
              </w:rPr>
              <w:t>。</w:t>
            </w:r>
          </w:p>
          <w:p>
            <w:pPr>
              <w:spacing w:line="360" w:lineRule="auto"/>
              <w:ind w:firstLine="422" w:firstLineChars="200"/>
              <w:jc w:val="center"/>
              <w:rPr>
                <w:b/>
                <w:szCs w:val="21"/>
              </w:rPr>
            </w:pPr>
            <w:r>
              <w:rPr>
                <w:b/>
                <w:szCs w:val="21"/>
              </w:rPr>
              <w:t>表</w:t>
            </w:r>
            <w:r>
              <w:rPr>
                <w:rFonts w:hint="eastAsia"/>
                <w:b/>
                <w:szCs w:val="21"/>
              </w:rPr>
              <w:t>2-17</w:t>
            </w:r>
            <w:r>
              <w:rPr>
                <w:b/>
                <w:szCs w:val="21"/>
              </w:rPr>
              <w:t>项目主要原辅材料表</w:t>
            </w:r>
          </w:p>
          <w:tbl>
            <w:tblPr>
              <w:tblStyle w:val="25"/>
              <w:tblpPr w:leftFromText="180" w:rightFromText="180" w:vertAnchor="text" w:horzAnchor="page" w:tblpX="132" w:tblpY="42"/>
              <w:tblOverlap w:val="never"/>
              <w:tblW w:w="771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59"/>
              <w:gridCol w:w="1853"/>
              <w:gridCol w:w="1296"/>
              <w:gridCol w:w="1605"/>
              <w:gridCol w:w="190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60" w:hRule="atLeast"/>
              </w:trPr>
              <w:tc>
                <w:tcPr>
                  <w:tcW w:w="1059" w:type="dxa"/>
                  <w:tcBorders>
                    <w:tl2br w:val="nil"/>
                    <w:tr2bl w:val="nil"/>
                  </w:tcBorders>
                  <w:noWrap/>
                  <w:vAlign w:val="center"/>
                </w:tcPr>
                <w:p>
                  <w:pPr>
                    <w:jc w:val="center"/>
                    <w:rPr>
                      <w:szCs w:val="21"/>
                    </w:rPr>
                  </w:pPr>
                  <w:r>
                    <w:rPr>
                      <w:szCs w:val="21"/>
                    </w:rPr>
                    <w:t>序号</w:t>
                  </w:r>
                </w:p>
              </w:tc>
              <w:tc>
                <w:tcPr>
                  <w:tcW w:w="1853" w:type="dxa"/>
                  <w:tcBorders>
                    <w:tl2br w:val="nil"/>
                    <w:tr2bl w:val="nil"/>
                  </w:tcBorders>
                  <w:noWrap/>
                  <w:vAlign w:val="center"/>
                </w:tcPr>
                <w:p>
                  <w:pPr>
                    <w:jc w:val="center"/>
                    <w:rPr>
                      <w:szCs w:val="21"/>
                    </w:rPr>
                  </w:pPr>
                  <w:r>
                    <w:rPr>
                      <w:szCs w:val="21"/>
                    </w:rPr>
                    <w:t>原辅材料名称</w:t>
                  </w:r>
                </w:p>
              </w:tc>
              <w:tc>
                <w:tcPr>
                  <w:tcW w:w="1296" w:type="dxa"/>
                  <w:tcBorders>
                    <w:tl2br w:val="nil"/>
                    <w:tr2bl w:val="nil"/>
                  </w:tcBorders>
                  <w:noWrap/>
                  <w:vAlign w:val="center"/>
                </w:tcPr>
                <w:p>
                  <w:pPr>
                    <w:jc w:val="center"/>
                    <w:rPr>
                      <w:szCs w:val="21"/>
                    </w:rPr>
                  </w:pPr>
                  <w:r>
                    <w:rPr>
                      <w:rFonts w:hint="eastAsia"/>
                      <w:szCs w:val="21"/>
                    </w:rPr>
                    <w:t>年用量（t/a）</w:t>
                  </w:r>
                </w:p>
              </w:tc>
              <w:tc>
                <w:tcPr>
                  <w:tcW w:w="1605" w:type="dxa"/>
                  <w:tcBorders>
                    <w:tl2br w:val="nil"/>
                    <w:tr2bl w:val="nil"/>
                  </w:tcBorders>
                  <w:noWrap/>
                  <w:vAlign w:val="center"/>
                </w:tcPr>
                <w:p>
                  <w:pPr>
                    <w:jc w:val="center"/>
                    <w:rPr>
                      <w:szCs w:val="21"/>
                    </w:rPr>
                  </w:pPr>
                  <w:r>
                    <w:rPr>
                      <w:rFonts w:hint="eastAsia"/>
                      <w:szCs w:val="21"/>
                    </w:rPr>
                    <w:t>来源</w:t>
                  </w:r>
                </w:p>
              </w:tc>
              <w:tc>
                <w:tcPr>
                  <w:tcW w:w="1905" w:type="dxa"/>
                  <w:tcBorders>
                    <w:tl2br w:val="nil"/>
                    <w:tr2bl w:val="nil"/>
                  </w:tcBorders>
                  <w:noWrap/>
                  <w:vAlign w:val="center"/>
                </w:tcPr>
                <w:p>
                  <w:pPr>
                    <w:jc w:val="center"/>
                    <w:rPr>
                      <w:szCs w:val="21"/>
                    </w:rPr>
                  </w:pPr>
                  <w:r>
                    <w:rPr>
                      <w:rFonts w:hint="eastAsia"/>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059" w:type="dxa"/>
                  <w:tcBorders>
                    <w:tl2br w:val="nil"/>
                    <w:tr2bl w:val="nil"/>
                  </w:tcBorders>
                  <w:noWrap/>
                  <w:vAlign w:val="center"/>
                </w:tcPr>
                <w:p>
                  <w:pPr>
                    <w:jc w:val="center"/>
                    <w:rPr>
                      <w:szCs w:val="21"/>
                    </w:rPr>
                  </w:pPr>
                  <w:r>
                    <w:rPr>
                      <w:szCs w:val="21"/>
                    </w:rPr>
                    <w:t>1</w:t>
                  </w:r>
                </w:p>
              </w:tc>
              <w:tc>
                <w:tcPr>
                  <w:tcW w:w="1853" w:type="dxa"/>
                  <w:tcBorders>
                    <w:tl2br w:val="nil"/>
                    <w:tr2bl w:val="nil"/>
                  </w:tcBorders>
                  <w:noWrap/>
                  <w:vAlign w:val="center"/>
                </w:tcPr>
                <w:p>
                  <w:pPr>
                    <w:spacing w:after="160"/>
                    <w:jc w:val="center"/>
                    <w:rPr>
                      <w:kern w:val="0"/>
                      <w:szCs w:val="21"/>
                    </w:rPr>
                  </w:pPr>
                  <w:r>
                    <w:rPr>
                      <w:rFonts w:hint="eastAsia"/>
                      <w:kern w:val="0"/>
                      <w:szCs w:val="21"/>
                    </w:rPr>
                    <w:t>柴油</w:t>
                  </w:r>
                </w:p>
              </w:tc>
              <w:tc>
                <w:tcPr>
                  <w:tcW w:w="1296" w:type="dxa"/>
                  <w:tcBorders>
                    <w:tl2br w:val="nil"/>
                    <w:tr2bl w:val="nil"/>
                  </w:tcBorders>
                  <w:noWrap/>
                  <w:vAlign w:val="center"/>
                </w:tcPr>
                <w:p>
                  <w:pPr>
                    <w:spacing w:after="160"/>
                    <w:jc w:val="center"/>
                    <w:rPr>
                      <w:kern w:val="0"/>
                      <w:szCs w:val="21"/>
                    </w:rPr>
                  </w:pPr>
                  <w:r>
                    <w:rPr>
                      <w:rFonts w:hint="eastAsia"/>
                      <w:kern w:val="0"/>
                      <w:szCs w:val="21"/>
                    </w:rPr>
                    <w:t>48</w:t>
                  </w:r>
                </w:p>
              </w:tc>
              <w:tc>
                <w:tcPr>
                  <w:tcW w:w="1605" w:type="dxa"/>
                  <w:tcBorders>
                    <w:tl2br w:val="nil"/>
                    <w:tr2bl w:val="nil"/>
                  </w:tcBorders>
                  <w:noWrap/>
                  <w:vAlign w:val="center"/>
                </w:tcPr>
                <w:p>
                  <w:pPr>
                    <w:jc w:val="center"/>
                    <w:rPr>
                      <w:szCs w:val="21"/>
                    </w:rPr>
                  </w:pPr>
                  <w:r>
                    <w:rPr>
                      <w:rFonts w:hint="eastAsia"/>
                      <w:szCs w:val="21"/>
                    </w:rPr>
                    <w:t>水上加油船</w:t>
                  </w:r>
                </w:p>
              </w:tc>
              <w:tc>
                <w:tcPr>
                  <w:tcW w:w="1905" w:type="dxa"/>
                  <w:tcBorders>
                    <w:tl2br w:val="nil"/>
                    <w:tr2bl w:val="nil"/>
                  </w:tcBorders>
                  <w:noWrap/>
                  <w:vAlign w:val="center"/>
                </w:tcPr>
                <w:p>
                  <w:pPr>
                    <w:jc w:val="center"/>
                    <w:rPr>
                      <w:szCs w:val="21"/>
                    </w:rPr>
                  </w:pPr>
                  <w:r>
                    <w:rPr>
                      <w:rFonts w:hint="eastAsia"/>
                      <w:szCs w:val="21"/>
                    </w:rPr>
                    <w:t>流动作业</w:t>
                  </w:r>
                </w:p>
              </w:tc>
            </w:tr>
          </w:tbl>
          <w:p>
            <w:pPr>
              <w:snapToGrid w:val="0"/>
              <w:spacing w:before="120" w:beforeLines="50" w:line="360" w:lineRule="auto"/>
              <w:ind w:firstLine="482" w:firstLineChars="200"/>
              <w:rPr>
                <w:rFonts w:ascii="宋体" w:hAnsi="宋体"/>
                <w:b/>
                <w:bCs/>
                <w:color w:val="000000"/>
                <w:sz w:val="24"/>
              </w:rPr>
            </w:pPr>
            <w:r>
              <w:rPr>
                <w:rFonts w:hint="eastAsia"/>
                <w:b/>
                <w:bCs/>
                <w:sz w:val="24"/>
              </w:rPr>
              <w:t>二、现</w:t>
            </w:r>
            <w:r>
              <w:rPr>
                <w:rFonts w:hint="eastAsia" w:ascii="宋体" w:hAnsi="宋体"/>
                <w:b/>
                <w:bCs/>
                <w:color w:val="000000"/>
                <w:sz w:val="24"/>
              </w:rPr>
              <w:t>有污染情况：</w:t>
            </w:r>
          </w:p>
          <w:p>
            <w:pPr>
              <w:pStyle w:val="41"/>
              <w:pBdr>
                <w:top w:val="none" w:color="auto" w:sz="0" w:space="1"/>
                <w:left w:val="none" w:color="auto" w:sz="0" w:space="4"/>
                <w:bottom w:val="none" w:color="auto" w:sz="0" w:space="1"/>
                <w:right w:val="none" w:color="auto" w:sz="0" w:space="4"/>
              </w:pBdr>
              <w:tabs>
                <w:tab w:val="left" w:pos="649"/>
              </w:tabs>
              <w:jc w:val="both"/>
              <w:rPr>
                <w:rFonts w:cs="Times New Roman"/>
                <w:b/>
                <w:bCs/>
                <w:color w:val="000000"/>
              </w:rPr>
            </w:pPr>
            <w:r>
              <w:rPr>
                <w:rFonts w:cs="Times New Roman"/>
                <w:bCs/>
              </w:rPr>
              <w:t>本项目引用湖南九鼎环保科技有限公司对湖南清源环保船舶污染物接收有限公司常规检测</w:t>
            </w:r>
            <w:r>
              <w:rPr>
                <w:rFonts w:cs="Times New Roman"/>
                <w:color w:val="000000"/>
              </w:rPr>
              <w:t>，结合相关的环保验收情况以及根据现场实际调查，其所产生的污染物及其排放等情况如下所述：</w:t>
            </w:r>
          </w:p>
          <w:p>
            <w:pPr>
              <w:ind w:firstLine="2635" w:firstLineChars="1250"/>
              <w:rPr>
                <w:bCs/>
                <w:sz w:val="24"/>
              </w:rPr>
            </w:pPr>
            <w:r>
              <w:rPr>
                <w:b/>
                <w:szCs w:val="21"/>
              </w:rPr>
              <w:t>表2-</w:t>
            </w:r>
            <w:r>
              <w:rPr>
                <w:rFonts w:hint="eastAsia"/>
                <w:b/>
                <w:szCs w:val="21"/>
              </w:rPr>
              <w:t>18</w:t>
            </w:r>
            <w:r>
              <w:rPr>
                <w:b/>
                <w:szCs w:val="21"/>
              </w:rPr>
              <w:t xml:space="preserve">  废气监测结果</w:t>
            </w:r>
          </w:p>
          <w:tbl>
            <w:tblPr>
              <w:tblStyle w:val="25"/>
              <w:tblW w:w="782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18"/>
              <w:gridCol w:w="1118"/>
              <w:gridCol w:w="1118"/>
              <w:gridCol w:w="1039"/>
              <w:gridCol w:w="1050"/>
              <w:gridCol w:w="1030"/>
              <w:gridCol w:w="135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118" w:type="dxa"/>
                  <w:vMerge w:val="restart"/>
                  <w:tcBorders>
                    <w:tl2br w:val="nil"/>
                    <w:tr2bl w:val="nil"/>
                  </w:tcBorders>
                  <w:vAlign w:val="center"/>
                </w:tcPr>
                <w:p>
                  <w:pPr>
                    <w:spacing w:line="360" w:lineRule="auto"/>
                    <w:jc w:val="center"/>
                    <w:rPr>
                      <w:szCs w:val="21"/>
                    </w:rPr>
                  </w:pPr>
                  <w:r>
                    <w:rPr>
                      <w:szCs w:val="21"/>
                    </w:rPr>
                    <w:t>采样点位及编号</w:t>
                  </w:r>
                </w:p>
              </w:tc>
              <w:tc>
                <w:tcPr>
                  <w:tcW w:w="2236" w:type="dxa"/>
                  <w:gridSpan w:val="2"/>
                  <w:vMerge w:val="restart"/>
                  <w:tcBorders>
                    <w:tl2br w:val="nil"/>
                    <w:tr2bl w:val="nil"/>
                  </w:tcBorders>
                  <w:vAlign w:val="center"/>
                </w:tcPr>
                <w:p>
                  <w:pPr>
                    <w:spacing w:line="360" w:lineRule="auto"/>
                    <w:jc w:val="center"/>
                    <w:rPr>
                      <w:szCs w:val="21"/>
                    </w:rPr>
                  </w:pPr>
                  <w:r>
                    <w:rPr>
                      <w:szCs w:val="21"/>
                    </w:rPr>
                    <w:t>采样时间</w:t>
                  </w:r>
                </w:p>
              </w:tc>
              <w:tc>
                <w:tcPr>
                  <w:tcW w:w="4472" w:type="dxa"/>
                  <w:gridSpan w:val="4"/>
                  <w:tcBorders>
                    <w:tl2br w:val="nil"/>
                    <w:tr2bl w:val="nil"/>
                  </w:tcBorders>
                  <w:vAlign w:val="center"/>
                </w:tcPr>
                <w:p>
                  <w:pPr>
                    <w:spacing w:line="360" w:lineRule="auto"/>
                    <w:jc w:val="center"/>
                    <w:rPr>
                      <w:szCs w:val="21"/>
                    </w:rPr>
                  </w:pPr>
                  <w:r>
                    <w:rPr>
                      <w:szCs w:val="21"/>
                    </w:rPr>
                    <w:t>检测项目及结果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118" w:type="dxa"/>
                  <w:vMerge w:val="continue"/>
                  <w:tcBorders>
                    <w:tl2br w:val="nil"/>
                    <w:tr2bl w:val="nil"/>
                  </w:tcBorders>
                  <w:vAlign w:val="center"/>
                </w:tcPr>
                <w:p>
                  <w:pPr>
                    <w:spacing w:line="360" w:lineRule="auto"/>
                    <w:jc w:val="center"/>
                    <w:rPr>
                      <w:szCs w:val="21"/>
                    </w:rPr>
                  </w:pPr>
                </w:p>
              </w:tc>
              <w:tc>
                <w:tcPr>
                  <w:tcW w:w="2236" w:type="dxa"/>
                  <w:gridSpan w:val="2"/>
                  <w:vMerge w:val="continue"/>
                  <w:tcBorders>
                    <w:tl2br w:val="nil"/>
                    <w:tr2bl w:val="nil"/>
                  </w:tcBorders>
                  <w:vAlign w:val="center"/>
                </w:tcPr>
                <w:p>
                  <w:pPr>
                    <w:spacing w:line="360" w:lineRule="auto"/>
                    <w:jc w:val="center"/>
                    <w:rPr>
                      <w:szCs w:val="21"/>
                    </w:rPr>
                  </w:pPr>
                </w:p>
              </w:tc>
              <w:tc>
                <w:tcPr>
                  <w:tcW w:w="1039" w:type="dxa"/>
                  <w:tcBorders>
                    <w:tl2br w:val="nil"/>
                    <w:tr2bl w:val="nil"/>
                  </w:tcBorders>
                  <w:vAlign w:val="center"/>
                </w:tcPr>
                <w:p>
                  <w:pPr>
                    <w:spacing w:line="360" w:lineRule="auto"/>
                    <w:jc w:val="center"/>
                    <w:rPr>
                      <w:szCs w:val="21"/>
                    </w:rPr>
                  </w:pPr>
                  <w:r>
                    <w:rPr>
                      <w:szCs w:val="21"/>
                    </w:rPr>
                    <w:t>颗粒物</w:t>
                  </w:r>
                </w:p>
              </w:tc>
              <w:tc>
                <w:tcPr>
                  <w:tcW w:w="1050" w:type="dxa"/>
                  <w:tcBorders>
                    <w:tl2br w:val="nil"/>
                    <w:tr2bl w:val="nil"/>
                  </w:tcBorders>
                  <w:vAlign w:val="center"/>
                </w:tcPr>
                <w:p>
                  <w:pPr>
                    <w:spacing w:line="360" w:lineRule="auto"/>
                    <w:jc w:val="center"/>
                    <w:rPr>
                      <w:szCs w:val="21"/>
                    </w:rPr>
                  </w:pPr>
                  <w:r>
                    <w:rPr>
                      <w:szCs w:val="21"/>
                    </w:rPr>
                    <w:t>SO</w:t>
                  </w:r>
                  <w:r>
                    <w:rPr>
                      <w:szCs w:val="21"/>
                      <w:vertAlign w:val="subscript"/>
                    </w:rPr>
                    <w:t>2</w:t>
                  </w:r>
                </w:p>
              </w:tc>
              <w:tc>
                <w:tcPr>
                  <w:tcW w:w="1030" w:type="dxa"/>
                  <w:tcBorders>
                    <w:tl2br w:val="nil"/>
                    <w:tr2bl w:val="nil"/>
                  </w:tcBorders>
                  <w:vAlign w:val="center"/>
                </w:tcPr>
                <w:p>
                  <w:pPr>
                    <w:spacing w:line="360" w:lineRule="auto"/>
                    <w:jc w:val="center"/>
                    <w:rPr>
                      <w:szCs w:val="21"/>
                    </w:rPr>
                  </w:pPr>
                  <w:r>
                    <w:rPr>
                      <w:szCs w:val="21"/>
                    </w:rPr>
                    <w:t>NO</w:t>
                  </w:r>
                  <w:r>
                    <w:rPr>
                      <w:szCs w:val="21"/>
                      <w:vertAlign w:val="subscript"/>
                    </w:rPr>
                    <w:t>X</w:t>
                  </w:r>
                </w:p>
              </w:tc>
              <w:tc>
                <w:tcPr>
                  <w:tcW w:w="1353" w:type="dxa"/>
                  <w:tcBorders>
                    <w:tl2br w:val="nil"/>
                    <w:tr2bl w:val="nil"/>
                  </w:tcBorders>
                  <w:vAlign w:val="center"/>
                </w:tcPr>
                <w:p>
                  <w:pPr>
                    <w:spacing w:line="360" w:lineRule="auto"/>
                    <w:jc w:val="center"/>
                    <w:rPr>
                      <w:szCs w:val="21"/>
                    </w:rPr>
                  </w:pPr>
                  <w:r>
                    <w:rPr>
                      <w:szCs w:val="21"/>
                    </w:rPr>
                    <w:t>非甲烷总烃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118" w:type="dxa"/>
                  <w:vMerge w:val="restart"/>
                  <w:tcBorders>
                    <w:tl2br w:val="nil"/>
                    <w:tr2bl w:val="nil"/>
                  </w:tcBorders>
                  <w:vAlign w:val="center"/>
                </w:tcPr>
                <w:p>
                  <w:pPr>
                    <w:spacing w:line="360" w:lineRule="auto"/>
                    <w:jc w:val="center"/>
                    <w:rPr>
                      <w:szCs w:val="21"/>
                    </w:rPr>
                  </w:pPr>
                  <w:r>
                    <w:rPr>
                      <w:rFonts w:hint="eastAsia"/>
                      <w:szCs w:val="21"/>
                    </w:rPr>
                    <w:t>停靠点</w:t>
                  </w:r>
                  <w:r>
                    <w:rPr>
                      <w:szCs w:val="21"/>
                    </w:rPr>
                    <w:t>外上风向OG1</w:t>
                  </w:r>
                </w:p>
              </w:tc>
              <w:tc>
                <w:tcPr>
                  <w:tcW w:w="1118" w:type="dxa"/>
                  <w:vMerge w:val="restart"/>
                  <w:tcBorders>
                    <w:tl2br w:val="nil"/>
                    <w:tr2bl w:val="nil"/>
                  </w:tcBorders>
                  <w:vAlign w:val="center"/>
                </w:tcPr>
                <w:p>
                  <w:pPr>
                    <w:spacing w:line="360" w:lineRule="auto"/>
                    <w:jc w:val="center"/>
                    <w:rPr>
                      <w:szCs w:val="21"/>
                    </w:rPr>
                  </w:pPr>
                  <w:r>
                    <w:rPr>
                      <w:szCs w:val="21"/>
                    </w:rPr>
                    <w:t>2021.3.26上风向</w:t>
                  </w:r>
                </w:p>
              </w:tc>
              <w:tc>
                <w:tcPr>
                  <w:tcW w:w="1118" w:type="dxa"/>
                  <w:tcBorders>
                    <w:tl2br w:val="nil"/>
                    <w:tr2bl w:val="nil"/>
                  </w:tcBorders>
                  <w:vAlign w:val="center"/>
                </w:tcPr>
                <w:p>
                  <w:pPr>
                    <w:spacing w:line="360" w:lineRule="auto"/>
                    <w:jc w:val="center"/>
                    <w:rPr>
                      <w:szCs w:val="21"/>
                    </w:rPr>
                  </w:pPr>
                  <w:r>
                    <w:rPr>
                      <w:szCs w:val="21"/>
                    </w:rPr>
                    <w:t>第一次</w:t>
                  </w:r>
                </w:p>
              </w:tc>
              <w:tc>
                <w:tcPr>
                  <w:tcW w:w="1039" w:type="dxa"/>
                  <w:tcBorders>
                    <w:tl2br w:val="nil"/>
                    <w:tr2bl w:val="nil"/>
                  </w:tcBorders>
                  <w:vAlign w:val="center"/>
                </w:tcPr>
                <w:p>
                  <w:pPr>
                    <w:spacing w:line="360" w:lineRule="auto"/>
                    <w:jc w:val="center"/>
                    <w:rPr>
                      <w:szCs w:val="21"/>
                    </w:rPr>
                  </w:pPr>
                  <w:r>
                    <w:rPr>
                      <w:szCs w:val="21"/>
                    </w:rPr>
                    <w:t>0.030</w:t>
                  </w:r>
                </w:p>
              </w:tc>
              <w:tc>
                <w:tcPr>
                  <w:tcW w:w="1050" w:type="dxa"/>
                  <w:tcBorders>
                    <w:tl2br w:val="nil"/>
                    <w:tr2bl w:val="nil"/>
                  </w:tcBorders>
                  <w:vAlign w:val="center"/>
                </w:tcPr>
                <w:p>
                  <w:pPr>
                    <w:spacing w:line="360" w:lineRule="auto"/>
                    <w:jc w:val="center"/>
                    <w:rPr>
                      <w:szCs w:val="21"/>
                    </w:rPr>
                  </w:pPr>
                  <w:r>
                    <w:rPr>
                      <w:szCs w:val="21"/>
                    </w:rPr>
                    <w:t>0.034</w:t>
                  </w:r>
                </w:p>
              </w:tc>
              <w:tc>
                <w:tcPr>
                  <w:tcW w:w="1030" w:type="dxa"/>
                  <w:tcBorders>
                    <w:tl2br w:val="nil"/>
                    <w:tr2bl w:val="nil"/>
                  </w:tcBorders>
                  <w:vAlign w:val="center"/>
                </w:tcPr>
                <w:p>
                  <w:pPr>
                    <w:spacing w:line="360" w:lineRule="auto"/>
                    <w:jc w:val="center"/>
                    <w:rPr>
                      <w:szCs w:val="21"/>
                    </w:rPr>
                  </w:pPr>
                  <w:r>
                    <w:rPr>
                      <w:szCs w:val="21"/>
                    </w:rPr>
                    <w:t>0.038</w:t>
                  </w:r>
                </w:p>
              </w:tc>
              <w:tc>
                <w:tcPr>
                  <w:tcW w:w="1353" w:type="dxa"/>
                  <w:tcBorders>
                    <w:tl2br w:val="nil"/>
                    <w:tr2bl w:val="nil"/>
                  </w:tcBorders>
                  <w:vAlign w:val="center"/>
                </w:tcPr>
                <w:p>
                  <w:pPr>
                    <w:spacing w:line="360" w:lineRule="auto"/>
                    <w:jc w:val="center"/>
                    <w:rPr>
                      <w:szCs w:val="21"/>
                    </w:rPr>
                  </w:pPr>
                  <w:r>
                    <w:rPr>
                      <w:szCs w:val="21"/>
                    </w:rPr>
                    <w:t>0.043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118" w:type="dxa"/>
                  <w:vMerge w:val="continue"/>
                  <w:tcBorders>
                    <w:tl2br w:val="nil"/>
                    <w:tr2bl w:val="nil"/>
                  </w:tcBorders>
                  <w:vAlign w:val="center"/>
                </w:tcPr>
                <w:p>
                  <w:pPr>
                    <w:spacing w:line="360" w:lineRule="auto"/>
                    <w:jc w:val="center"/>
                    <w:rPr>
                      <w:szCs w:val="21"/>
                    </w:rPr>
                  </w:pPr>
                </w:p>
              </w:tc>
              <w:tc>
                <w:tcPr>
                  <w:tcW w:w="1118" w:type="dxa"/>
                  <w:vMerge w:val="continue"/>
                  <w:tcBorders>
                    <w:tl2br w:val="nil"/>
                    <w:tr2bl w:val="nil"/>
                  </w:tcBorders>
                  <w:vAlign w:val="center"/>
                </w:tcPr>
                <w:p>
                  <w:pPr>
                    <w:spacing w:line="360" w:lineRule="auto"/>
                    <w:jc w:val="center"/>
                    <w:rPr>
                      <w:szCs w:val="21"/>
                    </w:rPr>
                  </w:pPr>
                </w:p>
              </w:tc>
              <w:tc>
                <w:tcPr>
                  <w:tcW w:w="1118" w:type="dxa"/>
                  <w:tcBorders>
                    <w:tl2br w:val="nil"/>
                    <w:tr2bl w:val="nil"/>
                  </w:tcBorders>
                  <w:vAlign w:val="center"/>
                </w:tcPr>
                <w:p>
                  <w:pPr>
                    <w:spacing w:line="360" w:lineRule="auto"/>
                    <w:jc w:val="center"/>
                    <w:rPr>
                      <w:szCs w:val="21"/>
                    </w:rPr>
                  </w:pPr>
                  <w:r>
                    <w:rPr>
                      <w:szCs w:val="21"/>
                    </w:rPr>
                    <w:t>第二次</w:t>
                  </w:r>
                </w:p>
              </w:tc>
              <w:tc>
                <w:tcPr>
                  <w:tcW w:w="1039" w:type="dxa"/>
                  <w:tcBorders>
                    <w:tl2br w:val="nil"/>
                    <w:tr2bl w:val="nil"/>
                  </w:tcBorders>
                  <w:vAlign w:val="center"/>
                </w:tcPr>
                <w:p>
                  <w:pPr>
                    <w:spacing w:line="360" w:lineRule="auto"/>
                    <w:jc w:val="center"/>
                    <w:rPr>
                      <w:szCs w:val="21"/>
                    </w:rPr>
                  </w:pPr>
                  <w:r>
                    <w:rPr>
                      <w:szCs w:val="21"/>
                    </w:rPr>
                    <w:t>0.031</w:t>
                  </w:r>
                </w:p>
              </w:tc>
              <w:tc>
                <w:tcPr>
                  <w:tcW w:w="1050" w:type="dxa"/>
                  <w:tcBorders>
                    <w:tl2br w:val="nil"/>
                    <w:tr2bl w:val="nil"/>
                  </w:tcBorders>
                  <w:vAlign w:val="center"/>
                </w:tcPr>
                <w:p>
                  <w:pPr>
                    <w:spacing w:line="360" w:lineRule="auto"/>
                    <w:jc w:val="center"/>
                    <w:rPr>
                      <w:szCs w:val="21"/>
                    </w:rPr>
                  </w:pPr>
                  <w:r>
                    <w:rPr>
                      <w:szCs w:val="21"/>
                    </w:rPr>
                    <w:t>0.032</w:t>
                  </w:r>
                </w:p>
              </w:tc>
              <w:tc>
                <w:tcPr>
                  <w:tcW w:w="1030" w:type="dxa"/>
                  <w:tcBorders>
                    <w:tl2br w:val="nil"/>
                    <w:tr2bl w:val="nil"/>
                  </w:tcBorders>
                  <w:vAlign w:val="center"/>
                </w:tcPr>
                <w:p>
                  <w:pPr>
                    <w:spacing w:line="360" w:lineRule="auto"/>
                    <w:jc w:val="center"/>
                    <w:rPr>
                      <w:szCs w:val="21"/>
                    </w:rPr>
                  </w:pPr>
                  <w:r>
                    <w:rPr>
                      <w:szCs w:val="21"/>
                    </w:rPr>
                    <w:t>0.040</w:t>
                  </w:r>
                </w:p>
              </w:tc>
              <w:tc>
                <w:tcPr>
                  <w:tcW w:w="1353" w:type="dxa"/>
                  <w:tcBorders>
                    <w:tl2br w:val="nil"/>
                    <w:tr2bl w:val="nil"/>
                  </w:tcBorders>
                  <w:vAlign w:val="center"/>
                </w:tcPr>
                <w:p>
                  <w:pPr>
                    <w:spacing w:line="360" w:lineRule="auto"/>
                    <w:jc w:val="center"/>
                    <w:rPr>
                      <w:szCs w:val="21"/>
                    </w:rPr>
                  </w:pPr>
                  <w:r>
                    <w:rPr>
                      <w:szCs w:val="21"/>
                    </w:rPr>
                    <w:t>0.080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118" w:type="dxa"/>
                  <w:vMerge w:val="continue"/>
                  <w:tcBorders>
                    <w:tl2br w:val="nil"/>
                    <w:tr2bl w:val="nil"/>
                  </w:tcBorders>
                  <w:vAlign w:val="center"/>
                </w:tcPr>
                <w:p>
                  <w:pPr>
                    <w:spacing w:line="360" w:lineRule="auto"/>
                    <w:jc w:val="center"/>
                    <w:rPr>
                      <w:szCs w:val="21"/>
                    </w:rPr>
                  </w:pPr>
                </w:p>
              </w:tc>
              <w:tc>
                <w:tcPr>
                  <w:tcW w:w="1118" w:type="dxa"/>
                  <w:vMerge w:val="continue"/>
                  <w:tcBorders>
                    <w:tl2br w:val="nil"/>
                    <w:tr2bl w:val="nil"/>
                  </w:tcBorders>
                  <w:vAlign w:val="center"/>
                </w:tcPr>
                <w:p>
                  <w:pPr>
                    <w:spacing w:line="360" w:lineRule="auto"/>
                    <w:jc w:val="center"/>
                    <w:rPr>
                      <w:szCs w:val="21"/>
                    </w:rPr>
                  </w:pPr>
                </w:p>
              </w:tc>
              <w:tc>
                <w:tcPr>
                  <w:tcW w:w="1118" w:type="dxa"/>
                  <w:tcBorders>
                    <w:tl2br w:val="nil"/>
                    <w:tr2bl w:val="nil"/>
                  </w:tcBorders>
                  <w:vAlign w:val="center"/>
                </w:tcPr>
                <w:p>
                  <w:pPr>
                    <w:spacing w:line="360" w:lineRule="auto"/>
                    <w:jc w:val="center"/>
                    <w:rPr>
                      <w:szCs w:val="21"/>
                    </w:rPr>
                  </w:pPr>
                  <w:r>
                    <w:rPr>
                      <w:szCs w:val="21"/>
                    </w:rPr>
                    <w:t>第三次</w:t>
                  </w:r>
                </w:p>
              </w:tc>
              <w:tc>
                <w:tcPr>
                  <w:tcW w:w="1039" w:type="dxa"/>
                  <w:tcBorders>
                    <w:tl2br w:val="nil"/>
                    <w:tr2bl w:val="nil"/>
                  </w:tcBorders>
                  <w:vAlign w:val="center"/>
                </w:tcPr>
                <w:p>
                  <w:pPr>
                    <w:spacing w:line="360" w:lineRule="auto"/>
                    <w:jc w:val="center"/>
                    <w:rPr>
                      <w:szCs w:val="21"/>
                    </w:rPr>
                  </w:pPr>
                  <w:r>
                    <w:rPr>
                      <w:szCs w:val="21"/>
                    </w:rPr>
                    <w:t>0.031</w:t>
                  </w:r>
                </w:p>
              </w:tc>
              <w:tc>
                <w:tcPr>
                  <w:tcW w:w="1050" w:type="dxa"/>
                  <w:tcBorders>
                    <w:tl2br w:val="nil"/>
                    <w:tr2bl w:val="nil"/>
                  </w:tcBorders>
                  <w:vAlign w:val="center"/>
                </w:tcPr>
                <w:p>
                  <w:pPr>
                    <w:spacing w:line="360" w:lineRule="auto"/>
                    <w:jc w:val="center"/>
                    <w:rPr>
                      <w:szCs w:val="21"/>
                    </w:rPr>
                  </w:pPr>
                  <w:r>
                    <w:rPr>
                      <w:szCs w:val="21"/>
                    </w:rPr>
                    <w:t>0.031</w:t>
                  </w:r>
                </w:p>
              </w:tc>
              <w:tc>
                <w:tcPr>
                  <w:tcW w:w="1030" w:type="dxa"/>
                  <w:tcBorders>
                    <w:tl2br w:val="nil"/>
                    <w:tr2bl w:val="nil"/>
                  </w:tcBorders>
                  <w:vAlign w:val="center"/>
                </w:tcPr>
                <w:p>
                  <w:pPr>
                    <w:spacing w:line="360" w:lineRule="auto"/>
                    <w:jc w:val="center"/>
                    <w:rPr>
                      <w:szCs w:val="21"/>
                    </w:rPr>
                  </w:pPr>
                  <w:r>
                    <w:rPr>
                      <w:szCs w:val="21"/>
                    </w:rPr>
                    <w:t>0.036</w:t>
                  </w:r>
                </w:p>
              </w:tc>
              <w:tc>
                <w:tcPr>
                  <w:tcW w:w="1353" w:type="dxa"/>
                  <w:tcBorders>
                    <w:tl2br w:val="nil"/>
                    <w:tr2bl w:val="nil"/>
                  </w:tcBorders>
                  <w:vAlign w:val="center"/>
                </w:tcPr>
                <w:p>
                  <w:pPr>
                    <w:spacing w:line="360" w:lineRule="auto"/>
                    <w:jc w:val="center"/>
                    <w:rPr>
                      <w:szCs w:val="21"/>
                    </w:rPr>
                  </w:pPr>
                  <w:r>
                    <w:rPr>
                      <w:szCs w:val="21"/>
                    </w:rPr>
                    <w:t>0.048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118" w:type="dxa"/>
                  <w:vMerge w:val="restart"/>
                  <w:tcBorders>
                    <w:tl2br w:val="nil"/>
                    <w:tr2bl w:val="nil"/>
                  </w:tcBorders>
                  <w:vAlign w:val="center"/>
                </w:tcPr>
                <w:p>
                  <w:pPr>
                    <w:spacing w:line="360" w:lineRule="auto"/>
                    <w:jc w:val="center"/>
                    <w:rPr>
                      <w:szCs w:val="21"/>
                    </w:rPr>
                  </w:pPr>
                  <w:r>
                    <w:rPr>
                      <w:rFonts w:hint="eastAsia"/>
                      <w:szCs w:val="21"/>
                    </w:rPr>
                    <w:t>停靠点</w:t>
                  </w:r>
                  <w:r>
                    <w:rPr>
                      <w:szCs w:val="21"/>
                    </w:rPr>
                    <w:t>外</w:t>
                  </w:r>
                  <w:r>
                    <w:rPr>
                      <w:rFonts w:hint="eastAsia"/>
                      <w:szCs w:val="21"/>
                    </w:rPr>
                    <w:t>下</w:t>
                  </w:r>
                  <w:r>
                    <w:rPr>
                      <w:szCs w:val="21"/>
                    </w:rPr>
                    <w:t>风向OG2</w:t>
                  </w:r>
                </w:p>
              </w:tc>
              <w:tc>
                <w:tcPr>
                  <w:tcW w:w="1118" w:type="dxa"/>
                  <w:vMerge w:val="restart"/>
                  <w:tcBorders>
                    <w:tl2br w:val="nil"/>
                    <w:tr2bl w:val="nil"/>
                  </w:tcBorders>
                  <w:vAlign w:val="center"/>
                </w:tcPr>
                <w:p>
                  <w:pPr>
                    <w:spacing w:line="360" w:lineRule="auto"/>
                    <w:jc w:val="center"/>
                  </w:pPr>
                  <w:r>
                    <w:t>2021.3.26</w:t>
                  </w:r>
                </w:p>
                <w:p>
                  <w:pPr>
                    <w:pStyle w:val="60"/>
                    <w:widowControl w:val="0"/>
                    <w:jc w:val="center"/>
                    <w:rPr>
                      <w:rFonts w:ascii="Times New Roman" w:hAnsi="Times New Roman"/>
                    </w:rPr>
                  </w:pPr>
                  <w:r>
                    <w:rPr>
                      <w:rFonts w:ascii="Times New Roman" w:hAnsi="Times New Roman" w:eastAsia="宋体"/>
                      <w:szCs w:val="21"/>
                    </w:rPr>
                    <w:t>下风向1</w:t>
                  </w:r>
                </w:p>
              </w:tc>
              <w:tc>
                <w:tcPr>
                  <w:tcW w:w="1118" w:type="dxa"/>
                  <w:tcBorders>
                    <w:tl2br w:val="nil"/>
                    <w:tr2bl w:val="nil"/>
                  </w:tcBorders>
                  <w:vAlign w:val="center"/>
                </w:tcPr>
                <w:p>
                  <w:pPr>
                    <w:spacing w:line="360" w:lineRule="auto"/>
                    <w:jc w:val="center"/>
                    <w:rPr>
                      <w:szCs w:val="21"/>
                    </w:rPr>
                  </w:pPr>
                  <w:r>
                    <w:rPr>
                      <w:szCs w:val="21"/>
                    </w:rPr>
                    <w:t>第一次</w:t>
                  </w:r>
                </w:p>
              </w:tc>
              <w:tc>
                <w:tcPr>
                  <w:tcW w:w="1039" w:type="dxa"/>
                  <w:tcBorders>
                    <w:tl2br w:val="nil"/>
                    <w:tr2bl w:val="nil"/>
                  </w:tcBorders>
                  <w:vAlign w:val="center"/>
                </w:tcPr>
                <w:p>
                  <w:pPr>
                    <w:spacing w:line="360" w:lineRule="auto"/>
                    <w:jc w:val="center"/>
                    <w:rPr>
                      <w:szCs w:val="21"/>
                    </w:rPr>
                  </w:pPr>
                  <w:r>
                    <w:rPr>
                      <w:szCs w:val="21"/>
                    </w:rPr>
                    <w:t>0.056</w:t>
                  </w:r>
                </w:p>
              </w:tc>
              <w:tc>
                <w:tcPr>
                  <w:tcW w:w="1050" w:type="dxa"/>
                  <w:tcBorders>
                    <w:tl2br w:val="nil"/>
                    <w:tr2bl w:val="nil"/>
                  </w:tcBorders>
                  <w:vAlign w:val="center"/>
                </w:tcPr>
                <w:p>
                  <w:pPr>
                    <w:spacing w:line="360" w:lineRule="auto"/>
                    <w:jc w:val="center"/>
                    <w:rPr>
                      <w:szCs w:val="21"/>
                    </w:rPr>
                  </w:pPr>
                  <w:r>
                    <w:rPr>
                      <w:szCs w:val="21"/>
                    </w:rPr>
                    <w:t>0.089</w:t>
                  </w:r>
                </w:p>
              </w:tc>
              <w:tc>
                <w:tcPr>
                  <w:tcW w:w="1030" w:type="dxa"/>
                  <w:tcBorders>
                    <w:tl2br w:val="nil"/>
                    <w:tr2bl w:val="nil"/>
                  </w:tcBorders>
                  <w:vAlign w:val="center"/>
                </w:tcPr>
                <w:p>
                  <w:pPr>
                    <w:spacing w:line="360" w:lineRule="auto"/>
                    <w:jc w:val="center"/>
                    <w:rPr>
                      <w:szCs w:val="21"/>
                    </w:rPr>
                  </w:pPr>
                  <w:r>
                    <w:rPr>
                      <w:szCs w:val="21"/>
                    </w:rPr>
                    <w:t>0.095</w:t>
                  </w:r>
                </w:p>
              </w:tc>
              <w:tc>
                <w:tcPr>
                  <w:tcW w:w="1353" w:type="dxa"/>
                  <w:tcBorders>
                    <w:tl2br w:val="nil"/>
                    <w:tr2bl w:val="nil"/>
                  </w:tcBorders>
                  <w:vAlign w:val="center"/>
                </w:tcPr>
                <w:p>
                  <w:pPr>
                    <w:spacing w:line="360" w:lineRule="auto"/>
                    <w:jc w:val="center"/>
                    <w:rPr>
                      <w:szCs w:val="21"/>
                    </w:rPr>
                  </w:pPr>
                  <w:r>
                    <w:rPr>
                      <w:szCs w:val="21"/>
                    </w:rPr>
                    <w:t>0.526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118" w:type="dxa"/>
                  <w:vMerge w:val="continue"/>
                  <w:tcBorders>
                    <w:tl2br w:val="nil"/>
                    <w:tr2bl w:val="nil"/>
                  </w:tcBorders>
                  <w:vAlign w:val="center"/>
                </w:tcPr>
                <w:p>
                  <w:pPr>
                    <w:spacing w:line="360" w:lineRule="auto"/>
                    <w:jc w:val="center"/>
                    <w:rPr>
                      <w:szCs w:val="21"/>
                    </w:rPr>
                  </w:pPr>
                </w:p>
              </w:tc>
              <w:tc>
                <w:tcPr>
                  <w:tcW w:w="1118" w:type="dxa"/>
                  <w:vMerge w:val="continue"/>
                  <w:tcBorders>
                    <w:tl2br w:val="nil"/>
                    <w:tr2bl w:val="nil"/>
                  </w:tcBorders>
                  <w:vAlign w:val="center"/>
                </w:tcPr>
                <w:p>
                  <w:pPr>
                    <w:spacing w:line="360" w:lineRule="auto"/>
                    <w:jc w:val="center"/>
                    <w:rPr>
                      <w:szCs w:val="21"/>
                    </w:rPr>
                  </w:pPr>
                </w:p>
              </w:tc>
              <w:tc>
                <w:tcPr>
                  <w:tcW w:w="1118" w:type="dxa"/>
                  <w:tcBorders>
                    <w:tl2br w:val="nil"/>
                    <w:tr2bl w:val="nil"/>
                  </w:tcBorders>
                  <w:vAlign w:val="center"/>
                </w:tcPr>
                <w:p>
                  <w:pPr>
                    <w:spacing w:line="360" w:lineRule="auto"/>
                    <w:jc w:val="center"/>
                    <w:rPr>
                      <w:szCs w:val="21"/>
                    </w:rPr>
                  </w:pPr>
                  <w:r>
                    <w:rPr>
                      <w:szCs w:val="21"/>
                    </w:rPr>
                    <w:t>第二次</w:t>
                  </w:r>
                </w:p>
              </w:tc>
              <w:tc>
                <w:tcPr>
                  <w:tcW w:w="1039" w:type="dxa"/>
                  <w:tcBorders>
                    <w:tl2br w:val="nil"/>
                    <w:tr2bl w:val="nil"/>
                  </w:tcBorders>
                  <w:vAlign w:val="center"/>
                </w:tcPr>
                <w:p>
                  <w:pPr>
                    <w:spacing w:line="360" w:lineRule="auto"/>
                    <w:jc w:val="center"/>
                    <w:rPr>
                      <w:szCs w:val="21"/>
                    </w:rPr>
                  </w:pPr>
                  <w:r>
                    <w:rPr>
                      <w:szCs w:val="21"/>
                    </w:rPr>
                    <w:t>0.055</w:t>
                  </w:r>
                </w:p>
              </w:tc>
              <w:tc>
                <w:tcPr>
                  <w:tcW w:w="1050" w:type="dxa"/>
                  <w:tcBorders>
                    <w:tl2br w:val="nil"/>
                    <w:tr2bl w:val="nil"/>
                  </w:tcBorders>
                  <w:vAlign w:val="center"/>
                </w:tcPr>
                <w:p>
                  <w:pPr>
                    <w:spacing w:line="360" w:lineRule="auto"/>
                    <w:jc w:val="center"/>
                    <w:rPr>
                      <w:szCs w:val="21"/>
                    </w:rPr>
                  </w:pPr>
                  <w:r>
                    <w:rPr>
                      <w:szCs w:val="21"/>
                    </w:rPr>
                    <w:t>0.091</w:t>
                  </w:r>
                </w:p>
              </w:tc>
              <w:tc>
                <w:tcPr>
                  <w:tcW w:w="1030" w:type="dxa"/>
                  <w:tcBorders>
                    <w:tl2br w:val="nil"/>
                    <w:tr2bl w:val="nil"/>
                  </w:tcBorders>
                  <w:vAlign w:val="center"/>
                </w:tcPr>
                <w:p>
                  <w:pPr>
                    <w:spacing w:line="360" w:lineRule="auto"/>
                    <w:jc w:val="center"/>
                    <w:rPr>
                      <w:szCs w:val="21"/>
                    </w:rPr>
                  </w:pPr>
                  <w:r>
                    <w:rPr>
                      <w:szCs w:val="21"/>
                    </w:rPr>
                    <w:t>0.090</w:t>
                  </w:r>
                </w:p>
              </w:tc>
              <w:tc>
                <w:tcPr>
                  <w:tcW w:w="1353" w:type="dxa"/>
                  <w:tcBorders>
                    <w:tl2br w:val="nil"/>
                    <w:tr2bl w:val="nil"/>
                  </w:tcBorders>
                  <w:vAlign w:val="center"/>
                </w:tcPr>
                <w:p>
                  <w:pPr>
                    <w:spacing w:line="360" w:lineRule="auto"/>
                    <w:jc w:val="center"/>
                    <w:rPr>
                      <w:szCs w:val="21"/>
                    </w:rPr>
                  </w:pPr>
                  <w:r>
                    <w:rPr>
                      <w:szCs w:val="21"/>
                    </w:rPr>
                    <w:t>0.332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118" w:type="dxa"/>
                  <w:vMerge w:val="continue"/>
                  <w:tcBorders>
                    <w:tl2br w:val="nil"/>
                    <w:tr2bl w:val="nil"/>
                  </w:tcBorders>
                  <w:vAlign w:val="center"/>
                </w:tcPr>
                <w:p>
                  <w:pPr>
                    <w:spacing w:line="360" w:lineRule="auto"/>
                    <w:jc w:val="center"/>
                    <w:rPr>
                      <w:szCs w:val="21"/>
                    </w:rPr>
                  </w:pPr>
                </w:p>
              </w:tc>
              <w:tc>
                <w:tcPr>
                  <w:tcW w:w="1118" w:type="dxa"/>
                  <w:vMerge w:val="continue"/>
                  <w:tcBorders>
                    <w:tl2br w:val="nil"/>
                    <w:tr2bl w:val="nil"/>
                  </w:tcBorders>
                  <w:vAlign w:val="center"/>
                </w:tcPr>
                <w:p>
                  <w:pPr>
                    <w:spacing w:line="360" w:lineRule="auto"/>
                    <w:jc w:val="center"/>
                    <w:rPr>
                      <w:szCs w:val="21"/>
                    </w:rPr>
                  </w:pPr>
                </w:p>
              </w:tc>
              <w:tc>
                <w:tcPr>
                  <w:tcW w:w="1118" w:type="dxa"/>
                  <w:tcBorders>
                    <w:tl2br w:val="nil"/>
                    <w:tr2bl w:val="nil"/>
                  </w:tcBorders>
                  <w:vAlign w:val="center"/>
                </w:tcPr>
                <w:p>
                  <w:pPr>
                    <w:spacing w:line="360" w:lineRule="auto"/>
                    <w:jc w:val="center"/>
                    <w:rPr>
                      <w:szCs w:val="21"/>
                    </w:rPr>
                  </w:pPr>
                  <w:r>
                    <w:rPr>
                      <w:szCs w:val="21"/>
                    </w:rPr>
                    <w:t>第三次</w:t>
                  </w:r>
                </w:p>
              </w:tc>
              <w:tc>
                <w:tcPr>
                  <w:tcW w:w="1039" w:type="dxa"/>
                  <w:tcBorders>
                    <w:tl2br w:val="nil"/>
                    <w:tr2bl w:val="nil"/>
                  </w:tcBorders>
                  <w:vAlign w:val="center"/>
                </w:tcPr>
                <w:p>
                  <w:pPr>
                    <w:spacing w:line="360" w:lineRule="auto"/>
                    <w:jc w:val="center"/>
                    <w:rPr>
                      <w:szCs w:val="21"/>
                    </w:rPr>
                  </w:pPr>
                  <w:r>
                    <w:rPr>
                      <w:szCs w:val="21"/>
                    </w:rPr>
                    <w:t>0.054</w:t>
                  </w:r>
                </w:p>
              </w:tc>
              <w:tc>
                <w:tcPr>
                  <w:tcW w:w="1050" w:type="dxa"/>
                  <w:tcBorders>
                    <w:tl2br w:val="nil"/>
                    <w:tr2bl w:val="nil"/>
                  </w:tcBorders>
                  <w:vAlign w:val="center"/>
                </w:tcPr>
                <w:p>
                  <w:pPr>
                    <w:spacing w:line="360" w:lineRule="auto"/>
                    <w:jc w:val="center"/>
                    <w:rPr>
                      <w:szCs w:val="21"/>
                    </w:rPr>
                  </w:pPr>
                  <w:r>
                    <w:rPr>
                      <w:szCs w:val="21"/>
                    </w:rPr>
                    <w:t>0.087</w:t>
                  </w:r>
                </w:p>
              </w:tc>
              <w:tc>
                <w:tcPr>
                  <w:tcW w:w="1030" w:type="dxa"/>
                  <w:tcBorders>
                    <w:tl2br w:val="nil"/>
                    <w:tr2bl w:val="nil"/>
                  </w:tcBorders>
                  <w:vAlign w:val="center"/>
                </w:tcPr>
                <w:p>
                  <w:pPr>
                    <w:spacing w:line="360" w:lineRule="auto"/>
                    <w:jc w:val="center"/>
                    <w:rPr>
                      <w:szCs w:val="21"/>
                    </w:rPr>
                  </w:pPr>
                  <w:r>
                    <w:rPr>
                      <w:szCs w:val="21"/>
                    </w:rPr>
                    <w:t>0.099</w:t>
                  </w:r>
                </w:p>
              </w:tc>
              <w:tc>
                <w:tcPr>
                  <w:tcW w:w="1353" w:type="dxa"/>
                  <w:tcBorders>
                    <w:tl2br w:val="nil"/>
                    <w:tr2bl w:val="nil"/>
                  </w:tcBorders>
                  <w:vAlign w:val="center"/>
                </w:tcPr>
                <w:p>
                  <w:pPr>
                    <w:spacing w:line="360" w:lineRule="auto"/>
                    <w:jc w:val="center"/>
                    <w:rPr>
                      <w:szCs w:val="21"/>
                    </w:rPr>
                  </w:pPr>
                  <w:r>
                    <w:rPr>
                      <w:szCs w:val="21"/>
                    </w:rPr>
                    <w:t>0.182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118" w:type="dxa"/>
                  <w:vMerge w:val="continue"/>
                  <w:tcBorders>
                    <w:tl2br w:val="nil"/>
                    <w:tr2bl w:val="nil"/>
                  </w:tcBorders>
                  <w:vAlign w:val="center"/>
                </w:tcPr>
                <w:p>
                  <w:pPr>
                    <w:spacing w:line="360" w:lineRule="auto"/>
                    <w:jc w:val="center"/>
                    <w:rPr>
                      <w:szCs w:val="21"/>
                    </w:rPr>
                  </w:pPr>
                </w:p>
              </w:tc>
              <w:tc>
                <w:tcPr>
                  <w:tcW w:w="1118" w:type="dxa"/>
                  <w:vMerge w:val="restart"/>
                  <w:tcBorders>
                    <w:tl2br w:val="nil"/>
                    <w:tr2bl w:val="nil"/>
                  </w:tcBorders>
                  <w:vAlign w:val="center"/>
                </w:tcPr>
                <w:p>
                  <w:pPr>
                    <w:spacing w:line="360" w:lineRule="auto"/>
                    <w:jc w:val="center"/>
                  </w:pPr>
                  <w:r>
                    <w:t>2021.3.26</w:t>
                  </w:r>
                </w:p>
                <w:p>
                  <w:pPr>
                    <w:pStyle w:val="60"/>
                    <w:widowControl w:val="0"/>
                    <w:rPr>
                      <w:rFonts w:ascii="Times New Roman" w:hAnsi="Times New Roman"/>
                    </w:rPr>
                  </w:pPr>
                  <w:r>
                    <w:rPr>
                      <w:rFonts w:ascii="Times New Roman" w:hAnsi="Times New Roman" w:eastAsia="宋体"/>
                      <w:szCs w:val="21"/>
                    </w:rPr>
                    <w:t>下风向2</w:t>
                  </w:r>
                </w:p>
              </w:tc>
              <w:tc>
                <w:tcPr>
                  <w:tcW w:w="1118" w:type="dxa"/>
                  <w:tcBorders>
                    <w:tl2br w:val="nil"/>
                    <w:tr2bl w:val="nil"/>
                  </w:tcBorders>
                  <w:vAlign w:val="center"/>
                </w:tcPr>
                <w:p>
                  <w:pPr>
                    <w:spacing w:line="360" w:lineRule="auto"/>
                    <w:jc w:val="center"/>
                    <w:rPr>
                      <w:szCs w:val="21"/>
                    </w:rPr>
                  </w:pPr>
                  <w:r>
                    <w:rPr>
                      <w:szCs w:val="21"/>
                    </w:rPr>
                    <w:t>第一次</w:t>
                  </w:r>
                </w:p>
              </w:tc>
              <w:tc>
                <w:tcPr>
                  <w:tcW w:w="1039" w:type="dxa"/>
                  <w:tcBorders>
                    <w:tl2br w:val="nil"/>
                    <w:tr2bl w:val="nil"/>
                  </w:tcBorders>
                  <w:vAlign w:val="center"/>
                </w:tcPr>
                <w:p>
                  <w:pPr>
                    <w:spacing w:line="360" w:lineRule="auto"/>
                    <w:jc w:val="center"/>
                    <w:rPr>
                      <w:szCs w:val="21"/>
                    </w:rPr>
                  </w:pPr>
                  <w:r>
                    <w:rPr>
                      <w:szCs w:val="21"/>
                    </w:rPr>
                    <w:t>0.056</w:t>
                  </w:r>
                </w:p>
              </w:tc>
              <w:tc>
                <w:tcPr>
                  <w:tcW w:w="1050" w:type="dxa"/>
                  <w:tcBorders>
                    <w:tl2br w:val="nil"/>
                    <w:tr2bl w:val="nil"/>
                  </w:tcBorders>
                  <w:vAlign w:val="center"/>
                </w:tcPr>
                <w:p>
                  <w:pPr>
                    <w:spacing w:line="360" w:lineRule="auto"/>
                    <w:jc w:val="center"/>
                    <w:rPr>
                      <w:szCs w:val="21"/>
                    </w:rPr>
                  </w:pPr>
                  <w:r>
                    <w:rPr>
                      <w:szCs w:val="21"/>
                    </w:rPr>
                    <w:t>0.074</w:t>
                  </w:r>
                </w:p>
              </w:tc>
              <w:tc>
                <w:tcPr>
                  <w:tcW w:w="1030" w:type="dxa"/>
                  <w:tcBorders>
                    <w:tl2br w:val="nil"/>
                    <w:tr2bl w:val="nil"/>
                  </w:tcBorders>
                  <w:vAlign w:val="center"/>
                </w:tcPr>
                <w:p>
                  <w:pPr>
                    <w:spacing w:line="360" w:lineRule="auto"/>
                    <w:jc w:val="center"/>
                    <w:rPr>
                      <w:szCs w:val="21"/>
                    </w:rPr>
                  </w:pPr>
                  <w:r>
                    <w:rPr>
                      <w:szCs w:val="21"/>
                    </w:rPr>
                    <w:t>0.092</w:t>
                  </w:r>
                </w:p>
              </w:tc>
              <w:tc>
                <w:tcPr>
                  <w:tcW w:w="1353" w:type="dxa"/>
                  <w:tcBorders>
                    <w:tl2br w:val="nil"/>
                    <w:tr2bl w:val="nil"/>
                  </w:tcBorders>
                  <w:vAlign w:val="center"/>
                </w:tcPr>
                <w:p>
                  <w:pPr>
                    <w:spacing w:line="360" w:lineRule="auto"/>
                    <w:jc w:val="center"/>
                    <w:rPr>
                      <w:szCs w:val="21"/>
                    </w:rPr>
                  </w:pPr>
                  <w:r>
                    <w:rPr>
                      <w:szCs w:val="21"/>
                    </w:rPr>
                    <w:t>0.350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118" w:type="dxa"/>
                  <w:vMerge w:val="continue"/>
                  <w:tcBorders>
                    <w:tl2br w:val="nil"/>
                    <w:tr2bl w:val="nil"/>
                  </w:tcBorders>
                  <w:vAlign w:val="center"/>
                </w:tcPr>
                <w:p>
                  <w:pPr>
                    <w:spacing w:line="360" w:lineRule="auto"/>
                    <w:jc w:val="center"/>
                    <w:rPr>
                      <w:szCs w:val="21"/>
                    </w:rPr>
                  </w:pPr>
                </w:p>
              </w:tc>
              <w:tc>
                <w:tcPr>
                  <w:tcW w:w="1118" w:type="dxa"/>
                  <w:vMerge w:val="continue"/>
                  <w:tcBorders>
                    <w:tl2br w:val="nil"/>
                    <w:tr2bl w:val="nil"/>
                  </w:tcBorders>
                  <w:vAlign w:val="center"/>
                </w:tcPr>
                <w:p>
                  <w:pPr>
                    <w:spacing w:line="360" w:lineRule="auto"/>
                    <w:jc w:val="center"/>
                    <w:rPr>
                      <w:szCs w:val="21"/>
                    </w:rPr>
                  </w:pPr>
                </w:p>
              </w:tc>
              <w:tc>
                <w:tcPr>
                  <w:tcW w:w="1118" w:type="dxa"/>
                  <w:tcBorders>
                    <w:tl2br w:val="nil"/>
                    <w:tr2bl w:val="nil"/>
                  </w:tcBorders>
                  <w:vAlign w:val="center"/>
                </w:tcPr>
                <w:p>
                  <w:pPr>
                    <w:spacing w:line="360" w:lineRule="auto"/>
                    <w:jc w:val="center"/>
                    <w:rPr>
                      <w:szCs w:val="21"/>
                    </w:rPr>
                  </w:pPr>
                  <w:r>
                    <w:rPr>
                      <w:szCs w:val="21"/>
                    </w:rPr>
                    <w:t>第二次</w:t>
                  </w:r>
                </w:p>
              </w:tc>
              <w:tc>
                <w:tcPr>
                  <w:tcW w:w="1039" w:type="dxa"/>
                  <w:tcBorders>
                    <w:tl2br w:val="nil"/>
                    <w:tr2bl w:val="nil"/>
                  </w:tcBorders>
                  <w:vAlign w:val="center"/>
                </w:tcPr>
                <w:p>
                  <w:pPr>
                    <w:spacing w:line="360" w:lineRule="auto"/>
                    <w:jc w:val="center"/>
                    <w:rPr>
                      <w:szCs w:val="21"/>
                    </w:rPr>
                  </w:pPr>
                  <w:r>
                    <w:rPr>
                      <w:szCs w:val="21"/>
                    </w:rPr>
                    <w:t>0.055</w:t>
                  </w:r>
                </w:p>
              </w:tc>
              <w:tc>
                <w:tcPr>
                  <w:tcW w:w="1050" w:type="dxa"/>
                  <w:tcBorders>
                    <w:tl2br w:val="nil"/>
                    <w:tr2bl w:val="nil"/>
                  </w:tcBorders>
                  <w:vAlign w:val="center"/>
                </w:tcPr>
                <w:p>
                  <w:pPr>
                    <w:spacing w:line="360" w:lineRule="auto"/>
                    <w:jc w:val="center"/>
                    <w:rPr>
                      <w:szCs w:val="21"/>
                    </w:rPr>
                  </w:pPr>
                  <w:r>
                    <w:rPr>
                      <w:szCs w:val="21"/>
                    </w:rPr>
                    <w:t>0.080</w:t>
                  </w:r>
                </w:p>
              </w:tc>
              <w:tc>
                <w:tcPr>
                  <w:tcW w:w="1030" w:type="dxa"/>
                  <w:tcBorders>
                    <w:tl2br w:val="nil"/>
                    <w:tr2bl w:val="nil"/>
                  </w:tcBorders>
                  <w:vAlign w:val="center"/>
                </w:tcPr>
                <w:p>
                  <w:pPr>
                    <w:spacing w:line="360" w:lineRule="auto"/>
                    <w:jc w:val="center"/>
                    <w:rPr>
                      <w:szCs w:val="21"/>
                    </w:rPr>
                  </w:pPr>
                  <w:r>
                    <w:rPr>
                      <w:szCs w:val="21"/>
                    </w:rPr>
                    <w:t>0.096</w:t>
                  </w:r>
                </w:p>
              </w:tc>
              <w:tc>
                <w:tcPr>
                  <w:tcW w:w="1353" w:type="dxa"/>
                  <w:tcBorders>
                    <w:tl2br w:val="nil"/>
                    <w:tr2bl w:val="nil"/>
                  </w:tcBorders>
                  <w:vAlign w:val="center"/>
                </w:tcPr>
                <w:p>
                  <w:pPr>
                    <w:spacing w:line="360" w:lineRule="auto"/>
                    <w:jc w:val="center"/>
                    <w:rPr>
                      <w:szCs w:val="21"/>
                    </w:rPr>
                  </w:pPr>
                  <w:r>
                    <w:rPr>
                      <w:szCs w:val="21"/>
                    </w:rPr>
                    <w:t>0.20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118" w:type="dxa"/>
                  <w:vMerge w:val="continue"/>
                  <w:tcBorders>
                    <w:tl2br w:val="nil"/>
                    <w:tr2bl w:val="nil"/>
                  </w:tcBorders>
                  <w:vAlign w:val="center"/>
                </w:tcPr>
                <w:p>
                  <w:pPr>
                    <w:spacing w:line="360" w:lineRule="auto"/>
                    <w:jc w:val="center"/>
                    <w:rPr>
                      <w:szCs w:val="21"/>
                    </w:rPr>
                  </w:pPr>
                </w:p>
              </w:tc>
              <w:tc>
                <w:tcPr>
                  <w:tcW w:w="1118" w:type="dxa"/>
                  <w:vMerge w:val="continue"/>
                  <w:tcBorders>
                    <w:tl2br w:val="nil"/>
                    <w:tr2bl w:val="nil"/>
                  </w:tcBorders>
                  <w:vAlign w:val="center"/>
                </w:tcPr>
                <w:p>
                  <w:pPr>
                    <w:spacing w:line="360" w:lineRule="auto"/>
                    <w:jc w:val="center"/>
                    <w:rPr>
                      <w:szCs w:val="21"/>
                    </w:rPr>
                  </w:pPr>
                </w:p>
              </w:tc>
              <w:tc>
                <w:tcPr>
                  <w:tcW w:w="1118" w:type="dxa"/>
                  <w:tcBorders>
                    <w:tl2br w:val="nil"/>
                    <w:tr2bl w:val="nil"/>
                  </w:tcBorders>
                  <w:vAlign w:val="center"/>
                </w:tcPr>
                <w:p>
                  <w:pPr>
                    <w:spacing w:line="360" w:lineRule="auto"/>
                    <w:jc w:val="center"/>
                    <w:rPr>
                      <w:szCs w:val="21"/>
                    </w:rPr>
                  </w:pPr>
                  <w:r>
                    <w:rPr>
                      <w:szCs w:val="21"/>
                    </w:rPr>
                    <w:t>第三次</w:t>
                  </w:r>
                </w:p>
              </w:tc>
              <w:tc>
                <w:tcPr>
                  <w:tcW w:w="1039" w:type="dxa"/>
                  <w:tcBorders>
                    <w:tl2br w:val="nil"/>
                    <w:tr2bl w:val="nil"/>
                  </w:tcBorders>
                  <w:vAlign w:val="center"/>
                </w:tcPr>
                <w:p>
                  <w:pPr>
                    <w:spacing w:line="360" w:lineRule="auto"/>
                    <w:jc w:val="center"/>
                    <w:rPr>
                      <w:szCs w:val="21"/>
                    </w:rPr>
                  </w:pPr>
                  <w:r>
                    <w:rPr>
                      <w:szCs w:val="21"/>
                    </w:rPr>
                    <w:t>0.056</w:t>
                  </w:r>
                </w:p>
              </w:tc>
              <w:tc>
                <w:tcPr>
                  <w:tcW w:w="1050" w:type="dxa"/>
                  <w:tcBorders>
                    <w:tl2br w:val="nil"/>
                    <w:tr2bl w:val="nil"/>
                  </w:tcBorders>
                  <w:vAlign w:val="center"/>
                </w:tcPr>
                <w:p>
                  <w:pPr>
                    <w:spacing w:line="360" w:lineRule="auto"/>
                    <w:jc w:val="center"/>
                    <w:rPr>
                      <w:szCs w:val="21"/>
                    </w:rPr>
                  </w:pPr>
                  <w:r>
                    <w:rPr>
                      <w:szCs w:val="21"/>
                    </w:rPr>
                    <w:t>0.078</w:t>
                  </w:r>
                </w:p>
              </w:tc>
              <w:tc>
                <w:tcPr>
                  <w:tcW w:w="1030" w:type="dxa"/>
                  <w:tcBorders>
                    <w:tl2br w:val="nil"/>
                    <w:tr2bl w:val="nil"/>
                  </w:tcBorders>
                  <w:vAlign w:val="center"/>
                </w:tcPr>
                <w:p>
                  <w:pPr>
                    <w:spacing w:line="360" w:lineRule="auto"/>
                    <w:jc w:val="center"/>
                    <w:rPr>
                      <w:szCs w:val="21"/>
                    </w:rPr>
                  </w:pPr>
                  <w:r>
                    <w:rPr>
                      <w:szCs w:val="21"/>
                    </w:rPr>
                    <w:t>0.100</w:t>
                  </w:r>
                </w:p>
              </w:tc>
              <w:tc>
                <w:tcPr>
                  <w:tcW w:w="1353" w:type="dxa"/>
                  <w:tcBorders>
                    <w:tl2br w:val="nil"/>
                    <w:tr2bl w:val="nil"/>
                  </w:tcBorders>
                  <w:vAlign w:val="center"/>
                </w:tcPr>
                <w:p>
                  <w:pPr>
                    <w:spacing w:line="360" w:lineRule="auto"/>
                    <w:jc w:val="center"/>
                    <w:rPr>
                      <w:szCs w:val="21"/>
                    </w:rPr>
                  </w:pPr>
                  <w:r>
                    <w:rPr>
                      <w:szCs w:val="21"/>
                    </w:rPr>
                    <w:t>0.158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354" w:type="dxa"/>
                  <w:gridSpan w:val="3"/>
                  <w:tcBorders>
                    <w:tl2br w:val="nil"/>
                    <w:tr2bl w:val="nil"/>
                  </w:tcBorders>
                  <w:vAlign w:val="center"/>
                </w:tcPr>
                <w:p>
                  <w:pPr>
                    <w:spacing w:line="360" w:lineRule="auto"/>
                    <w:jc w:val="center"/>
                    <w:rPr>
                      <w:szCs w:val="21"/>
                    </w:rPr>
                  </w:pPr>
                  <w:r>
                    <w:rPr>
                      <w:rFonts w:hint="eastAsia"/>
                      <w:szCs w:val="21"/>
                    </w:rPr>
                    <w:t>标准值</w:t>
                  </w:r>
                </w:p>
              </w:tc>
              <w:tc>
                <w:tcPr>
                  <w:tcW w:w="1039" w:type="dxa"/>
                  <w:tcBorders>
                    <w:tl2br w:val="nil"/>
                    <w:tr2bl w:val="nil"/>
                  </w:tcBorders>
                  <w:vAlign w:val="center"/>
                </w:tcPr>
                <w:p>
                  <w:pPr>
                    <w:spacing w:line="360" w:lineRule="auto"/>
                    <w:jc w:val="center"/>
                    <w:rPr>
                      <w:szCs w:val="21"/>
                    </w:rPr>
                  </w:pPr>
                  <w:r>
                    <w:rPr>
                      <w:rFonts w:hint="eastAsia"/>
                      <w:szCs w:val="21"/>
                    </w:rPr>
                    <w:t>1.0</w:t>
                  </w:r>
                </w:p>
              </w:tc>
              <w:tc>
                <w:tcPr>
                  <w:tcW w:w="1050" w:type="dxa"/>
                  <w:tcBorders>
                    <w:tl2br w:val="nil"/>
                    <w:tr2bl w:val="nil"/>
                  </w:tcBorders>
                  <w:vAlign w:val="center"/>
                </w:tcPr>
                <w:p>
                  <w:pPr>
                    <w:spacing w:line="360" w:lineRule="auto"/>
                    <w:jc w:val="center"/>
                    <w:rPr>
                      <w:szCs w:val="21"/>
                    </w:rPr>
                  </w:pPr>
                  <w:r>
                    <w:rPr>
                      <w:rFonts w:hint="eastAsia"/>
                      <w:szCs w:val="21"/>
                    </w:rPr>
                    <w:t>0.5</w:t>
                  </w:r>
                </w:p>
              </w:tc>
              <w:tc>
                <w:tcPr>
                  <w:tcW w:w="1030" w:type="dxa"/>
                  <w:tcBorders>
                    <w:tl2br w:val="nil"/>
                    <w:tr2bl w:val="nil"/>
                  </w:tcBorders>
                  <w:vAlign w:val="center"/>
                </w:tcPr>
                <w:p>
                  <w:pPr>
                    <w:spacing w:line="360" w:lineRule="auto"/>
                    <w:jc w:val="center"/>
                    <w:rPr>
                      <w:szCs w:val="21"/>
                    </w:rPr>
                  </w:pPr>
                  <w:r>
                    <w:rPr>
                      <w:rFonts w:hint="eastAsia"/>
                      <w:szCs w:val="21"/>
                    </w:rPr>
                    <w:t>0.15</w:t>
                  </w:r>
                </w:p>
              </w:tc>
              <w:tc>
                <w:tcPr>
                  <w:tcW w:w="1353" w:type="dxa"/>
                  <w:tcBorders>
                    <w:tl2br w:val="nil"/>
                    <w:tr2bl w:val="nil"/>
                  </w:tcBorders>
                  <w:vAlign w:val="center"/>
                </w:tcPr>
                <w:p>
                  <w:pPr>
                    <w:spacing w:line="360" w:lineRule="auto"/>
                    <w:jc w:val="center"/>
                    <w:rPr>
                      <w:szCs w:val="21"/>
                    </w:rPr>
                  </w:pPr>
                  <w:r>
                    <w:rPr>
                      <w:rFonts w:hint="eastAsia"/>
                      <w:szCs w:val="21"/>
                    </w:rPr>
                    <w:t>4.0</w:t>
                  </w:r>
                </w:p>
              </w:tc>
            </w:tr>
          </w:tbl>
          <w:p>
            <w:pPr>
              <w:spacing w:line="360" w:lineRule="auto"/>
              <w:ind w:firstLine="570"/>
              <w:rPr>
                <w:rFonts w:ascii="宋体" w:hAnsi="宋体"/>
                <w:color w:val="000000"/>
                <w:sz w:val="28"/>
                <w:szCs w:val="28"/>
              </w:rPr>
            </w:pPr>
            <w:r>
              <w:rPr>
                <w:rFonts w:hint="eastAsia"/>
                <w:sz w:val="24"/>
                <w:szCs w:val="24"/>
              </w:rPr>
              <w:t>由上表可见，项目污染物符合《大气污染物综合排放标准》（GB16297-1996）表2中标准限值</w:t>
            </w:r>
            <w:r>
              <w:rPr>
                <w:rFonts w:hint="eastAsia" w:cs="宋体"/>
                <w:color w:val="000000"/>
                <w:sz w:val="24"/>
                <w:szCs w:val="24"/>
              </w:rPr>
              <w:t>。</w:t>
            </w:r>
          </w:p>
          <w:p>
            <w:pPr>
              <w:numPr>
                <w:ilvl w:val="0"/>
                <w:numId w:val="10"/>
              </w:numPr>
              <w:spacing w:line="360" w:lineRule="auto"/>
              <w:ind w:firstLine="482" w:firstLineChars="200"/>
              <w:rPr>
                <w:rFonts w:ascii="宋体" w:hAnsi="宋体"/>
                <w:b/>
                <w:bCs/>
                <w:color w:val="000000"/>
                <w:sz w:val="24"/>
              </w:rPr>
            </w:pPr>
            <w:r>
              <w:rPr>
                <w:rFonts w:hint="eastAsia" w:ascii="宋体" w:hAnsi="宋体"/>
                <w:b/>
                <w:bCs/>
                <w:color w:val="000000"/>
                <w:sz w:val="24"/>
              </w:rPr>
              <w:t>废水</w:t>
            </w:r>
          </w:p>
          <w:p>
            <w:pPr>
              <w:spacing w:line="360" w:lineRule="auto"/>
              <w:ind w:firstLine="480" w:firstLineChars="200"/>
              <w:rPr>
                <w:b/>
                <w:bCs/>
                <w:color w:val="000000"/>
                <w:sz w:val="24"/>
              </w:rPr>
            </w:pPr>
            <w:r>
              <w:rPr>
                <w:rFonts w:hint="eastAsia" w:hAnsi="宋体"/>
                <w:bCs/>
                <w:sz w:val="24"/>
              </w:rPr>
              <w:t>现有</w:t>
            </w:r>
            <w:r>
              <w:rPr>
                <w:rFonts w:hAnsi="宋体"/>
                <w:bCs/>
                <w:sz w:val="24"/>
              </w:rPr>
              <w:t>产生的废水主要是生产工艺过程中产生的废水，废水的污染源强、处置措施及排放情况见下表。</w:t>
            </w:r>
          </w:p>
          <w:p>
            <w:pPr>
              <w:jc w:val="center"/>
              <w:rPr>
                <w:rFonts w:ascii="宋体" w:hAnsi="宋体"/>
                <w:b/>
                <w:bCs/>
                <w:szCs w:val="21"/>
              </w:rPr>
            </w:pPr>
            <w:r>
              <w:rPr>
                <w:rFonts w:hint="eastAsia" w:ascii="宋体" w:hAnsi="宋体"/>
                <w:b/>
                <w:bCs/>
                <w:szCs w:val="21"/>
              </w:rPr>
              <w:t>表2-19</w:t>
            </w:r>
            <w:r>
              <w:rPr>
                <w:rFonts w:hint="eastAsia" w:ascii="宋体" w:hAnsi="宋体"/>
                <w:b/>
                <w:szCs w:val="21"/>
              </w:rPr>
              <w:t xml:space="preserve"> 废水处理站</w:t>
            </w:r>
            <w:r>
              <w:rPr>
                <w:rFonts w:hint="eastAsia" w:ascii="宋体" w:hAnsi="宋体"/>
                <w:b/>
                <w:bCs/>
                <w:szCs w:val="21"/>
              </w:rPr>
              <w:t>监测结果  单位：（</w:t>
            </w:r>
            <w:r>
              <w:rPr>
                <w:rFonts w:ascii="宋体" w:hAnsi="宋体"/>
                <w:b/>
                <w:bCs/>
                <w:szCs w:val="21"/>
              </w:rPr>
              <w:t>mg</w:t>
            </w:r>
            <w:r>
              <w:rPr>
                <w:rFonts w:hint="eastAsia" w:ascii="宋体" w:hAnsi="宋体"/>
                <w:b/>
                <w:bCs/>
                <w:szCs w:val="21"/>
              </w:rPr>
              <w:t>／</w:t>
            </w:r>
            <w:r>
              <w:rPr>
                <w:rFonts w:ascii="宋体" w:hAnsi="宋体"/>
                <w:b/>
                <w:bCs/>
                <w:szCs w:val="21"/>
              </w:rPr>
              <w:t>L</w:t>
            </w:r>
            <w:r>
              <w:rPr>
                <w:rFonts w:hint="eastAsia" w:ascii="宋体" w:hAnsi="宋体"/>
                <w:b/>
                <w:bCs/>
                <w:szCs w:val="21"/>
              </w:rPr>
              <w:t>，</w:t>
            </w:r>
            <w:r>
              <w:rPr>
                <w:rFonts w:ascii="宋体" w:hAnsi="宋体"/>
                <w:b/>
                <w:bCs/>
                <w:szCs w:val="21"/>
              </w:rPr>
              <w:t>p</w:t>
            </w:r>
            <w:r>
              <w:rPr>
                <w:rFonts w:hint="eastAsia" w:ascii="宋体" w:hAnsi="宋体"/>
                <w:b/>
                <w:bCs/>
                <w:szCs w:val="21"/>
              </w:rPr>
              <w:t>H除外）</w:t>
            </w:r>
          </w:p>
          <w:tbl>
            <w:tblPr>
              <w:tblStyle w:val="24"/>
              <w:tblW w:w="647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33"/>
              <w:gridCol w:w="734"/>
              <w:gridCol w:w="870"/>
              <w:gridCol w:w="870"/>
              <w:gridCol w:w="1022"/>
              <w:gridCol w:w="1015"/>
              <w:gridCol w:w="113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7" w:hRule="atLeast"/>
                <w:tblHeader/>
                <w:jc w:val="center"/>
              </w:trPr>
              <w:tc>
                <w:tcPr>
                  <w:tcW w:w="833" w:type="dxa"/>
                  <w:tcBorders>
                    <w:tl2br w:val="nil"/>
                    <w:tr2bl w:val="nil"/>
                  </w:tcBorders>
                  <w:noWrap/>
                  <w:vAlign w:val="center"/>
                </w:tcPr>
                <w:p>
                  <w:pPr>
                    <w:rPr>
                      <w:szCs w:val="21"/>
                    </w:rPr>
                  </w:pPr>
                </w:p>
              </w:tc>
              <w:tc>
                <w:tcPr>
                  <w:tcW w:w="734" w:type="dxa"/>
                  <w:tcBorders>
                    <w:tl2br w:val="nil"/>
                    <w:tr2bl w:val="nil"/>
                  </w:tcBorders>
                  <w:noWrap/>
                  <w:vAlign w:val="center"/>
                </w:tcPr>
                <w:p>
                  <w:pPr>
                    <w:widowControl/>
                    <w:jc w:val="left"/>
                    <w:rPr>
                      <w:szCs w:val="21"/>
                    </w:rPr>
                  </w:pPr>
                  <w:r>
                    <w:rPr>
                      <w:szCs w:val="21"/>
                    </w:rPr>
                    <w:t>监测</w:t>
                  </w:r>
                </w:p>
                <w:p>
                  <w:pPr>
                    <w:widowControl/>
                    <w:jc w:val="left"/>
                    <w:rPr>
                      <w:szCs w:val="21"/>
                    </w:rPr>
                  </w:pPr>
                  <w:r>
                    <w:rPr>
                      <w:szCs w:val="21"/>
                    </w:rPr>
                    <w:t>时间</w:t>
                  </w:r>
                </w:p>
              </w:tc>
              <w:tc>
                <w:tcPr>
                  <w:tcW w:w="870" w:type="dxa"/>
                  <w:tcBorders>
                    <w:tl2br w:val="nil"/>
                    <w:tr2bl w:val="nil"/>
                  </w:tcBorders>
                  <w:noWrap/>
                  <w:vAlign w:val="center"/>
                </w:tcPr>
                <w:p>
                  <w:pPr>
                    <w:jc w:val="center"/>
                    <w:rPr>
                      <w:szCs w:val="21"/>
                    </w:rPr>
                  </w:pPr>
                  <w:r>
                    <w:rPr>
                      <w:szCs w:val="21"/>
                    </w:rPr>
                    <w:t>频次</w:t>
                  </w:r>
                </w:p>
              </w:tc>
              <w:tc>
                <w:tcPr>
                  <w:tcW w:w="870" w:type="dxa"/>
                  <w:tcBorders>
                    <w:tl2br w:val="nil"/>
                    <w:tr2bl w:val="nil"/>
                  </w:tcBorders>
                  <w:noWrap/>
                  <w:vAlign w:val="center"/>
                </w:tcPr>
                <w:p>
                  <w:pPr>
                    <w:jc w:val="center"/>
                    <w:rPr>
                      <w:color w:val="000000"/>
                      <w:szCs w:val="21"/>
                    </w:rPr>
                  </w:pPr>
                  <w:r>
                    <w:rPr>
                      <w:color w:val="000000"/>
                      <w:szCs w:val="21"/>
                    </w:rPr>
                    <w:t>pH</w:t>
                  </w:r>
                </w:p>
              </w:tc>
              <w:tc>
                <w:tcPr>
                  <w:tcW w:w="1022" w:type="dxa"/>
                  <w:tcBorders>
                    <w:tl2br w:val="nil"/>
                    <w:tr2bl w:val="nil"/>
                  </w:tcBorders>
                  <w:noWrap/>
                  <w:vAlign w:val="center"/>
                </w:tcPr>
                <w:p>
                  <w:pPr>
                    <w:jc w:val="center"/>
                    <w:rPr>
                      <w:color w:val="000000"/>
                      <w:szCs w:val="21"/>
                    </w:rPr>
                  </w:pPr>
                  <w:r>
                    <w:rPr>
                      <w:color w:val="000000"/>
                      <w:szCs w:val="21"/>
                    </w:rPr>
                    <w:t xml:space="preserve">CODcr </w:t>
                  </w:r>
                </w:p>
              </w:tc>
              <w:tc>
                <w:tcPr>
                  <w:tcW w:w="1015" w:type="dxa"/>
                  <w:tcBorders>
                    <w:tl2br w:val="nil"/>
                    <w:tr2bl w:val="nil"/>
                  </w:tcBorders>
                  <w:noWrap/>
                  <w:vAlign w:val="center"/>
                </w:tcPr>
                <w:p>
                  <w:pPr>
                    <w:jc w:val="center"/>
                    <w:rPr>
                      <w:color w:val="000000"/>
                      <w:szCs w:val="21"/>
                    </w:rPr>
                  </w:pPr>
                  <w:r>
                    <w:rPr>
                      <w:color w:val="000000"/>
                      <w:szCs w:val="21"/>
                    </w:rPr>
                    <w:t>石油类</w:t>
                  </w:r>
                </w:p>
              </w:tc>
              <w:tc>
                <w:tcPr>
                  <w:tcW w:w="1132" w:type="dxa"/>
                  <w:tcBorders>
                    <w:tl2br w:val="nil"/>
                    <w:tr2bl w:val="nil"/>
                  </w:tcBorders>
                  <w:noWrap/>
                  <w:vAlign w:val="center"/>
                </w:tcPr>
                <w:p>
                  <w:pPr>
                    <w:jc w:val="center"/>
                    <w:rPr>
                      <w:color w:val="000000"/>
                      <w:szCs w:val="21"/>
                    </w:rPr>
                  </w:pPr>
                  <w:r>
                    <w:rPr>
                      <w:color w:val="000000"/>
                      <w:szCs w:val="21"/>
                    </w:rPr>
                    <w:t>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60" w:hRule="atLeast"/>
                <w:jc w:val="center"/>
              </w:trPr>
              <w:tc>
                <w:tcPr>
                  <w:tcW w:w="833" w:type="dxa"/>
                  <w:vMerge w:val="restart"/>
                  <w:tcBorders>
                    <w:tl2br w:val="nil"/>
                    <w:tr2bl w:val="nil"/>
                  </w:tcBorders>
                  <w:noWrap/>
                  <w:vAlign w:val="center"/>
                </w:tcPr>
                <w:p>
                  <w:pPr>
                    <w:jc w:val="center"/>
                    <w:rPr>
                      <w:szCs w:val="21"/>
                    </w:rPr>
                  </w:pPr>
                  <w:r>
                    <w:rPr>
                      <w:szCs w:val="21"/>
                    </w:rPr>
                    <w:t>处理</w:t>
                  </w:r>
                </w:p>
                <w:p>
                  <w:pPr>
                    <w:jc w:val="center"/>
                    <w:rPr>
                      <w:szCs w:val="21"/>
                    </w:rPr>
                  </w:pPr>
                  <w:r>
                    <w:rPr>
                      <w:szCs w:val="21"/>
                    </w:rPr>
                    <w:t>设施</w:t>
                  </w:r>
                </w:p>
                <w:p>
                  <w:pPr>
                    <w:jc w:val="center"/>
                    <w:rPr>
                      <w:szCs w:val="21"/>
                    </w:rPr>
                  </w:pPr>
                  <w:r>
                    <w:rPr>
                      <w:szCs w:val="21"/>
                    </w:rPr>
                    <w:t>进口</w:t>
                  </w:r>
                </w:p>
              </w:tc>
              <w:tc>
                <w:tcPr>
                  <w:tcW w:w="734" w:type="dxa"/>
                  <w:vMerge w:val="restart"/>
                  <w:tcBorders>
                    <w:tl2br w:val="nil"/>
                    <w:tr2bl w:val="nil"/>
                  </w:tcBorders>
                  <w:noWrap/>
                  <w:vAlign w:val="center"/>
                </w:tcPr>
                <w:p>
                  <w:pPr>
                    <w:jc w:val="center"/>
                    <w:rPr>
                      <w:color w:val="000000"/>
                      <w:szCs w:val="21"/>
                    </w:rPr>
                  </w:pPr>
                  <w:r>
                    <w:rPr>
                      <w:color w:val="000000"/>
                      <w:szCs w:val="21"/>
                    </w:rPr>
                    <w:t>2021.3.26</w:t>
                  </w:r>
                </w:p>
              </w:tc>
              <w:tc>
                <w:tcPr>
                  <w:tcW w:w="870" w:type="dxa"/>
                  <w:tcBorders>
                    <w:tl2br w:val="nil"/>
                    <w:tr2bl w:val="nil"/>
                  </w:tcBorders>
                  <w:noWrap/>
                  <w:vAlign w:val="center"/>
                </w:tcPr>
                <w:p>
                  <w:pPr>
                    <w:jc w:val="center"/>
                    <w:rPr>
                      <w:szCs w:val="21"/>
                    </w:rPr>
                  </w:pPr>
                  <w:r>
                    <w:rPr>
                      <w:szCs w:val="21"/>
                    </w:rPr>
                    <w:t>1次</w:t>
                  </w:r>
                </w:p>
              </w:tc>
              <w:tc>
                <w:tcPr>
                  <w:tcW w:w="870" w:type="dxa"/>
                  <w:tcBorders>
                    <w:tl2br w:val="nil"/>
                    <w:tr2bl w:val="nil"/>
                  </w:tcBorders>
                  <w:noWrap/>
                  <w:vAlign w:val="center"/>
                </w:tcPr>
                <w:p>
                  <w:pPr>
                    <w:jc w:val="center"/>
                    <w:rPr>
                      <w:color w:val="000000"/>
                      <w:szCs w:val="21"/>
                    </w:rPr>
                  </w:pPr>
                  <w:r>
                    <w:rPr>
                      <w:color w:val="000000"/>
                      <w:szCs w:val="21"/>
                    </w:rPr>
                    <w:t>6.7</w:t>
                  </w:r>
                </w:p>
              </w:tc>
              <w:tc>
                <w:tcPr>
                  <w:tcW w:w="1022" w:type="dxa"/>
                  <w:tcBorders>
                    <w:tl2br w:val="nil"/>
                    <w:tr2bl w:val="nil"/>
                  </w:tcBorders>
                  <w:noWrap/>
                  <w:vAlign w:val="center"/>
                </w:tcPr>
                <w:p>
                  <w:pPr>
                    <w:jc w:val="center"/>
                    <w:rPr>
                      <w:color w:val="000000"/>
                      <w:szCs w:val="21"/>
                    </w:rPr>
                  </w:pPr>
                  <w:r>
                    <w:rPr>
                      <w:color w:val="000000"/>
                      <w:szCs w:val="21"/>
                    </w:rPr>
                    <w:t>225</w:t>
                  </w:r>
                </w:p>
              </w:tc>
              <w:tc>
                <w:tcPr>
                  <w:tcW w:w="1015" w:type="dxa"/>
                  <w:tcBorders>
                    <w:tl2br w:val="nil"/>
                    <w:tr2bl w:val="nil"/>
                  </w:tcBorders>
                  <w:noWrap/>
                  <w:vAlign w:val="center"/>
                </w:tcPr>
                <w:p>
                  <w:pPr>
                    <w:jc w:val="center"/>
                    <w:rPr>
                      <w:color w:val="000000"/>
                      <w:szCs w:val="21"/>
                    </w:rPr>
                  </w:pPr>
                  <w:r>
                    <w:rPr>
                      <w:color w:val="000000"/>
                      <w:szCs w:val="21"/>
                    </w:rPr>
                    <w:t>6.64</w:t>
                  </w:r>
                </w:p>
              </w:tc>
              <w:tc>
                <w:tcPr>
                  <w:tcW w:w="1132" w:type="dxa"/>
                  <w:tcBorders>
                    <w:tl2br w:val="nil"/>
                    <w:tr2bl w:val="nil"/>
                  </w:tcBorders>
                  <w:noWrap/>
                  <w:vAlign w:val="center"/>
                </w:tcPr>
                <w:p>
                  <w:pPr>
                    <w:jc w:val="center"/>
                    <w:rPr>
                      <w:color w:val="000000"/>
                      <w:szCs w:val="21"/>
                    </w:rPr>
                  </w:pPr>
                  <w:r>
                    <w:rPr>
                      <w:color w:val="000000"/>
                      <w:szCs w:val="21"/>
                    </w:rPr>
                    <w:t>ND</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60" w:hRule="atLeast"/>
                <w:jc w:val="center"/>
              </w:trPr>
              <w:tc>
                <w:tcPr>
                  <w:tcW w:w="833" w:type="dxa"/>
                  <w:vMerge w:val="continue"/>
                  <w:tcBorders>
                    <w:tl2br w:val="nil"/>
                    <w:tr2bl w:val="nil"/>
                  </w:tcBorders>
                  <w:noWrap/>
                  <w:vAlign w:val="center"/>
                </w:tcPr>
                <w:p>
                  <w:pPr>
                    <w:jc w:val="center"/>
                    <w:rPr>
                      <w:szCs w:val="21"/>
                    </w:rPr>
                  </w:pPr>
                </w:p>
              </w:tc>
              <w:tc>
                <w:tcPr>
                  <w:tcW w:w="734" w:type="dxa"/>
                  <w:vMerge w:val="continue"/>
                  <w:tcBorders>
                    <w:tl2br w:val="nil"/>
                    <w:tr2bl w:val="nil"/>
                  </w:tcBorders>
                  <w:noWrap/>
                  <w:vAlign w:val="center"/>
                </w:tcPr>
                <w:p>
                  <w:pPr>
                    <w:jc w:val="center"/>
                    <w:rPr>
                      <w:color w:val="000000"/>
                      <w:szCs w:val="21"/>
                    </w:rPr>
                  </w:pPr>
                </w:p>
              </w:tc>
              <w:tc>
                <w:tcPr>
                  <w:tcW w:w="870" w:type="dxa"/>
                  <w:tcBorders>
                    <w:tl2br w:val="nil"/>
                    <w:tr2bl w:val="nil"/>
                  </w:tcBorders>
                  <w:noWrap/>
                  <w:vAlign w:val="center"/>
                </w:tcPr>
                <w:p>
                  <w:pPr>
                    <w:jc w:val="center"/>
                    <w:rPr>
                      <w:szCs w:val="21"/>
                    </w:rPr>
                  </w:pPr>
                  <w:r>
                    <w:rPr>
                      <w:szCs w:val="21"/>
                    </w:rPr>
                    <w:t>2次</w:t>
                  </w:r>
                </w:p>
              </w:tc>
              <w:tc>
                <w:tcPr>
                  <w:tcW w:w="870" w:type="dxa"/>
                  <w:tcBorders>
                    <w:tl2br w:val="nil"/>
                    <w:tr2bl w:val="nil"/>
                  </w:tcBorders>
                  <w:noWrap/>
                  <w:vAlign w:val="center"/>
                </w:tcPr>
                <w:p>
                  <w:pPr>
                    <w:jc w:val="center"/>
                    <w:rPr>
                      <w:color w:val="000000"/>
                      <w:szCs w:val="21"/>
                    </w:rPr>
                  </w:pPr>
                  <w:r>
                    <w:rPr>
                      <w:color w:val="000000"/>
                      <w:szCs w:val="21"/>
                    </w:rPr>
                    <w:t>6.6</w:t>
                  </w:r>
                </w:p>
              </w:tc>
              <w:tc>
                <w:tcPr>
                  <w:tcW w:w="1022" w:type="dxa"/>
                  <w:tcBorders>
                    <w:tl2br w:val="nil"/>
                    <w:tr2bl w:val="nil"/>
                  </w:tcBorders>
                  <w:noWrap/>
                  <w:vAlign w:val="center"/>
                </w:tcPr>
                <w:p>
                  <w:pPr>
                    <w:jc w:val="center"/>
                    <w:rPr>
                      <w:color w:val="000000"/>
                      <w:szCs w:val="21"/>
                    </w:rPr>
                  </w:pPr>
                  <w:r>
                    <w:rPr>
                      <w:color w:val="000000"/>
                      <w:szCs w:val="21"/>
                    </w:rPr>
                    <w:t>221</w:t>
                  </w:r>
                </w:p>
              </w:tc>
              <w:tc>
                <w:tcPr>
                  <w:tcW w:w="1015" w:type="dxa"/>
                  <w:tcBorders>
                    <w:tl2br w:val="nil"/>
                    <w:tr2bl w:val="nil"/>
                  </w:tcBorders>
                  <w:noWrap/>
                  <w:vAlign w:val="center"/>
                </w:tcPr>
                <w:p>
                  <w:pPr>
                    <w:jc w:val="center"/>
                    <w:rPr>
                      <w:color w:val="000000"/>
                      <w:szCs w:val="21"/>
                    </w:rPr>
                  </w:pPr>
                  <w:r>
                    <w:rPr>
                      <w:color w:val="000000"/>
                      <w:szCs w:val="21"/>
                    </w:rPr>
                    <w:t>6.64</w:t>
                  </w:r>
                </w:p>
              </w:tc>
              <w:tc>
                <w:tcPr>
                  <w:tcW w:w="1132" w:type="dxa"/>
                  <w:tcBorders>
                    <w:tl2br w:val="nil"/>
                    <w:tr2bl w:val="nil"/>
                  </w:tcBorders>
                  <w:noWrap/>
                  <w:vAlign w:val="center"/>
                </w:tcPr>
                <w:p>
                  <w:pPr>
                    <w:jc w:val="center"/>
                    <w:rPr>
                      <w:color w:val="000000"/>
                      <w:szCs w:val="21"/>
                    </w:rPr>
                  </w:pPr>
                  <w:r>
                    <w:rPr>
                      <w:color w:val="000000"/>
                      <w:szCs w:val="21"/>
                    </w:rPr>
                    <w:t>ND</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833" w:type="dxa"/>
                  <w:vMerge w:val="continue"/>
                  <w:tcBorders>
                    <w:tl2br w:val="nil"/>
                    <w:tr2bl w:val="nil"/>
                  </w:tcBorders>
                  <w:noWrap/>
                  <w:vAlign w:val="center"/>
                </w:tcPr>
                <w:p>
                  <w:pPr>
                    <w:jc w:val="center"/>
                    <w:rPr>
                      <w:szCs w:val="21"/>
                    </w:rPr>
                  </w:pPr>
                </w:p>
              </w:tc>
              <w:tc>
                <w:tcPr>
                  <w:tcW w:w="734" w:type="dxa"/>
                  <w:vMerge w:val="continue"/>
                  <w:tcBorders>
                    <w:tl2br w:val="nil"/>
                    <w:tr2bl w:val="nil"/>
                  </w:tcBorders>
                  <w:noWrap/>
                  <w:vAlign w:val="center"/>
                </w:tcPr>
                <w:p>
                  <w:pPr>
                    <w:jc w:val="center"/>
                    <w:rPr>
                      <w:color w:val="000000"/>
                      <w:szCs w:val="21"/>
                    </w:rPr>
                  </w:pPr>
                </w:p>
              </w:tc>
              <w:tc>
                <w:tcPr>
                  <w:tcW w:w="870" w:type="dxa"/>
                  <w:tcBorders>
                    <w:tl2br w:val="nil"/>
                    <w:tr2bl w:val="nil"/>
                  </w:tcBorders>
                  <w:noWrap/>
                  <w:vAlign w:val="center"/>
                </w:tcPr>
                <w:p>
                  <w:pPr>
                    <w:jc w:val="center"/>
                    <w:rPr>
                      <w:szCs w:val="21"/>
                    </w:rPr>
                  </w:pPr>
                  <w:r>
                    <w:rPr>
                      <w:szCs w:val="21"/>
                    </w:rPr>
                    <w:t>3次</w:t>
                  </w:r>
                </w:p>
              </w:tc>
              <w:tc>
                <w:tcPr>
                  <w:tcW w:w="870" w:type="dxa"/>
                  <w:tcBorders>
                    <w:tl2br w:val="nil"/>
                    <w:tr2bl w:val="nil"/>
                  </w:tcBorders>
                  <w:noWrap/>
                  <w:vAlign w:val="center"/>
                </w:tcPr>
                <w:p>
                  <w:pPr>
                    <w:jc w:val="center"/>
                    <w:rPr>
                      <w:color w:val="000000"/>
                      <w:szCs w:val="21"/>
                    </w:rPr>
                  </w:pPr>
                  <w:r>
                    <w:rPr>
                      <w:color w:val="000000"/>
                      <w:szCs w:val="21"/>
                    </w:rPr>
                    <w:t>6.72</w:t>
                  </w:r>
                </w:p>
              </w:tc>
              <w:tc>
                <w:tcPr>
                  <w:tcW w:w="1022" w:type="dxa"/>
                  <w:tcBorders>
                    <w:tl2br w:val="nil"/>
                    <w:tr2bl w:val="nil"/>
                  </w:tcBorders>
                  <w:noWrap/>
                  <w:vAlign w:val="center"/>
                </w:tcPr>
                <w:p>
                  <w:pPr>
                    <w:jc w:val="center"/>
                    <w:rPr>
                      <w:color w:val="000000"/>
                      <w:szCs w:val="21"/>
                    </w:rPr>
                  </w:pPr>
                  <w:r>
                    <w:rPr>
                      <w:color w:val="000000"/>
                      <w:szCs w:val="21"/>
                    </w:rPr>
                    <w:t>229</w:t>
                  </w:r>
                </w:p>
              </w:tc>
              <w:tc>
                <w:tcPr>
                  <w:tcW w:w="1015" w:type="dxa"/>
                  <w:tcBorders>
                    <w:tl2br w:val="nil"/>
                    <w:tr2bl w:val="nil"/>
                  </w:tcBorders>
                  <w:noWrap/>
                  <w:vAlign w:val="center"/>
                </w:tcPr>
                <w:p>
                  <w:pPr>
                    <w:jc w:val="center"/>
                    <w:rPr>
                      <w:color w:val="000000"/>
                      <w:szCs w:val="21"/>
                    </w:rPr>
                  </w:pPr>
                  <w:r>
                    <w:rPr>
                      <w:color w:val="000000"/>
                      <w:szCs w:val="21"/>
                    </w:rPr>
                    <w:t>6.64</w:t>
                  </w:r>
                </w:p>
              </w:tc>
              <w:tc>
                <w:tcPr>
                  <w:tcW w:w="1132" w:type="dxa"/>
                  <w:tcBorders>
                    <w:tl2br w:val="nil"/>
                    <w:tr2bl w:val="nil"/>
                  </w:tcBorders>
                  <w:noWrap/>
                  <w:vAlign w:val="center"/>
                </w:tcPr>
                <w:p>
                  <w:pPr>
                    <w:jc w:val="center"/>
                    <w:rPr>
                      <w:color w:val="000000"/>
                      <w:szCs w:val="21"/>
                    </w:rPr>
                  </w:pPr>
                  <w:r>
                    <w:rPr>
                      <w:color w:val="000000"/>
                      <w:szCs w:val="21"/>
                    </w:rPr>
                    <w:t>ND</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833" w:type="dxa"/>
                  <w:vMerge w:val="restart"/>
                  <w:tcBorders>
                    <w:tl2br w:val="nil"/>
                    <w:tr2bl w:val="nil"/>
                  </w:tcBorders>
                  <w:noWrap/>
                  <w:vAlign w:val="center"/>
                </w:tcPr>
                <w:p>
                  <w:pPr>
                    <w:jc w:val="center"/>
                    <w:rPr>
                      <w:szCs w:val="21"/>
                    </w:rPr>
                  </w:pPr>
                  <w:r>
                    <w:rPr>
                      <w:szCs w:val="21"/>
                    </w:rPr>
                    <w:t>处理</w:t>
                  </w:r>
                </w:p>
                <w:p>
                  <w:pPr>
                    <w:jc w:val="center"/>
                    <w:rPr>
                      <w:szCs w:val="21"/>
                    </w:rPr>
                  </w:pPr>
                  <w:r>
                    <w:rPr>
                      <w:szCs w:val="21"/>
                    </w:rPr>
                    <w:t>设施</w:t>
                  </w:r>
                </w:p>
                <w:p>
                  <w:pPr>
                    <w:jc w:val="center"/>
                    <w:rPr>
                      <w:szCs w:val="21"/>
                    </w:rPr>
                  </w:pPr>
                  <w:r>
                    <w:rPr>
                      <w:szCs w:val="21"/>
                    </w:rPr>
                    <w:t>出口</w:t>
                  </w:r>
                </w:p>
              </w:tc>
              <w:tc>
                <w:tcPr>
                  <w:tcW w:w="734" w:type="dxa"/>
                  <w:vMerge w:val="restart"/>
                  <w:tcBorders>
                    <w:tl2br w:val="nil"/>
                    <w:tr2bl w:val="nil"/>
                  </w:tcBorders>
                  <w:noWrap/>
                  <w:vAlign w:val="center"/>
                </w:tcPr>
                <w:p>
                  <w:pPr>
                    <w:jc w:val="center"/>
                    <w:rPr>
                      <w:color w:val="000000"/>
                      <w:szCs w:val="21"/>
                    </w:rPr>
                  </w:pPr>
                  <w:r>
                    <w:rPr>
                      <w:color w:val="000000"/>
                      <w:szCs w:val="21"/>
                    </w:rPr>
                    <w:t>2021.3.26</w:t>
                  </w:r>
                </w:p>
              </w:tc>
              <w:tc>
                <w:tcPr>
                  <w:tcW w:w="870" w:type="dxa"/>
                  <w:tcBorders>
                    <w:tl2br w:val="nil"/>
                    <w:tr2bl w:val="nil"/>
                  </w:tcBorders>
                  <w:noWrap/>
                  <w:vAlign w:val="center"/>
                </w:tcPr>
                <w:p>
                  <w:pPr>
                    <w:jc w:val="center"/>
                    <w:rPr>
                      <w:szCs w:val="21"/>
                    </w:rPr>
                  </w:pPr>
                  <w:r>
                    <w:rPr>
                      <w:szCs w:val="21"/>
                    </w:rPr>
                    <w:t>1次</w:t>
                  </w:r>
                </w:p>
              </w:tc>
              <w:tc>
                <w:tcPr>
                  <w:tcW w:w="870" w:type="dxa"/>
                  <w:tcBorders>
                    <w:tl2br w:val="nil"/>
                    <w:tr2bl w:val="nil"/>
                  </w:tcBorders>
                  <w:noWrap/>
                  <w:vAlign w:val="center"/>
                </w:tcPr>
                <w:p>
                  <w:pPr>
                    <w:jc w:val="center"/>
                    <w:rPr>
                      <w:color w:val="000000"/>
                      <w:szCs w:val="21"/>
                    </w:rPr>
                  </w:pPr>
                  <w:r>
                    <w:rPr>
                      <w:color w:val="000000"/>
                      <w:szCs w:val="21"/>
                    </w:rPr>
                    <w:t>6.84</w:t>
                  </w:r>
                </w:p>
              </w:tc>
              <w:tc>
                <w:tcPr>
                  <w:tcW w:w="1022" w:type="dxa"/>
                  <w:tcBorders>
                    <w:tl2br w:val="nil"/>
                    <w:tr2bl w:val="nil"/>
                  </w:tcBorders>
                  <w:noWrap/>
                  <w:vAlign w:val="center"/>
                </w:tcPr>
                <w:p>
                  <w:pPr>
                    <w:jc w:val="center"/>
                    <w:rPr>
                      <w:color w:val="000000"/>
                      <w:szCs w:val="21"/>
                    </w:rPr>
                  </w:pPr>
                  <w:r>
                    <w:rPr>
                      <w:color w:val="000000"/>
                      <w:szCs w:val="21"/>
                    </w:rPr>
                    <w:t>61</w:t>
                  </w:r>
                </w:p>
              </w:tc>
              <w:tc>
                <w:tcPr>
                  <w:tcW w:w="1015" w:type="dxa"/>
                  <w:tcBorders>
                    <w:tl2br w:val="nil"/>
                    <w:tr2bl w:val="nil"/>
                  </w:tcBorders>
                  <w:noWrap/>
                  <w:vAlign w:val="center"/>
                </w:tcPr>
                <w:p>
                  <w:pPr>
                    <w:jc w:val="center"/>
                    <w:rPr>
                      <w:color w:val="000000"/>
                      <w:szCs w:val="21"/>
                    </w:rPr>
                  </w:pPr>
                  <w:r>
                    <w:rPr>
                      <w:color w:val="000000"/>
                      <w:szCs w:val="21"/>
                    </w:rPr>
                    <w:t>0.231</w:t>
                  </w:r>
                </w:p>
              </w:tc>
              <w:tc>
                <w:tcPr>
                  <w:tcW w:w="1132" w:type="dxa"/>
                  <w:tcBorders>
                    <w:tl2br w:val="nil"/>
                    <w:tr2bl w:val="nil"/>
                  </w:tcBorders>
                  <w:noWrap/>
                  <w:vAlign w:val="center"/>
                </w:tcPr>
                <w:p>
                  <w:pPr>
                    <w:jc w:val="center"/>
                    <w:rPr>
                      <w:color w:val="000000"/>
                      <w:szCs w:val="21"/>
                    </w:rPr>
                  </w:pPr>
                  <w:r>
                    <w:rPr>
                      <w:color w:val="000000"/>
                      <w:szCs w:val="21"/>
                    </w:rPr>
                    <w:t>ND</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60" w:hRule="atLeast"/>
                <w:jc w:val="center"/>
              </w:trPr>
              <w:tc>
                <w:tcPr>
                  <w:tcW w:w="833" w:type="dxa"/>
                  <w:vMerge w:val="continue"/>
                  <w:tcBorders>
                    <w:tl2br w:val="nil"/>
                    <w:tr2bl w:val="nil"/>
                  </w:tcBorders>
                  <w:noWrap/>
                  <w:vAlign w:val="center"/>
                </w:tcPr>
                <w:p>
                  <w:pPr>
                    <w:jc w:val="center"/>
                    <w:rPr>
                      <w:szCs w:val="21"/>
                    </w:rPr>
                  </w:pPr>
                </w:p>
              </w:tc>
              <w:tc>
                <w:tcPr>
                  <w:tcW w:w="734" w:type="dxa"/>
                  <w:vMerge w:val="continue"/>
                  <w:tcBorders>
                    <w:tl2br w:val="nil"/>
                    <w:tr2bl w:val="nil"/>
                  </w:tcBorders>
                  <w:noWrap/>
                  <w:vAlign w:val="center"/>
                </w:tcPr>
                <w:p>
                  <w:pPr>
                    <w:jc w:val="center"/>
                    <w:rPr>
                      <w:color w:val="000000"/>
                      <w:szCs w:val="21"/>
                    </w:rPr>
                  </w:pPr>
                </w:p>
              </w:tc>
              <w:tc>
                <w:tcPr>
                  <w:tcW w:w="870" w:type="dxa"/>
                  <w:tcBorders>
                    <w:tl2br w:val="nil"/>
                    <w:tr2bl w:val="nil"/>
                  </w:tcBorders>
                  <w:noWrap/>
                  <w:vAlign w:val="center"/>
                </w:tcPr>
                <w:p>
                  <w:pPr>
                    <w:jc w:val="center"/>
                    <w:rPr>
                      <w:szCs w:val="21"/>
                    </w:rPr>
                  </w:pPr>
                  <w:r>
                    <w:rPr>
                      <w:szCs w:val="21"/>
                    </w:rPr>
                    <w:t>2次</w:t>
                  </w:r>
                </w:p>
              </w:tc>
              <w:tc>
                <w:tcPr>
                  <w:tcW w:w="870" w:type="dxa"/>
                  <w:tcBorders>
                    <w:tl2br w:val="nil"/>
                    <w:tr2bl w:val="nil"/>
                  </w:tcBorders>
                  <w:noWrap/>
                  <w:vAlign w:val="center"/>
                </w:tcPr>
                <w:p>
                  <w:pPr>
                    <w:jc w:val="center"/>
                    <w:rPr>
                      <w:color w:val="000000"/>
                      <w:szCs w:val="21"/>
                    </w:rPr>
                  </w:pPr>
                  <w:r>
                    <w:rPr>
                      <w:color w:val="000000"/>
                      <w:szCs w:val="21"/>
                    </w:rPr>
                    <w:t>6.91</w:t>
                  </w:r>
                </w:p>
              </w:tc>
              <w:tc>
                <w:tcPr>
                  <w:tcW w:w="1022" w:type="dxa"/>
                  <w:tcBorders>
                    <w:tl2br w:val="nil"/>
                    <w:tr2bl w:val="nil"/>
                  </w:tcBorders>
                  <w:noWrap/>
                  <w:vAlign w:val="center"/>
                </w:tcPr>
                <w:p>
                  <w:pPr>
                    <w:jc w:val="center"/>
                    <w:rPr>
                      <w:color w:val="000000"/>
                      <w:szCs w:val="21"/>
                    </w:rPr>
                  </w:pPr>
                  <w:r>
                    <w:rPr>
                      <w:color w:val="000000"/>
                      <w:szCs w:val="21"/>
                    </w:rPr>
                    <w:t>65</w:t>
                  </w:r>
                </w:p>
              </w:tc>
              <w:tc>
                <w:tcPr>
                  <w:tcW w:w="1015" w:type="dxa"/>
                  <w:tcBorders>
                    <w:tl2br w:val="nil"/>
                    <w:tr2bl w:val="nil"/>
                  </w:tcBorders>
                  <w:noWrap/>
                  <w:vAlign w:val="center"/>
                </w:tcPr>
                <w:p>
                  <w:pPr>
                    <w:jc w:val="center"/>
                    <w:rPr>
                      <w:color w:val="000000"/>
                      <w:szCs w:val="21"/>
                    </w:rPr>
                  </w:pPr>
                  <w:r>
                    <w:rPr>
                      <w:color w:val="000000"/>
                      <w:szCs w:val="21"/>
                    </w:rPr>
                    <w:t>0.238</w:t>
                  </w:r>
                </w:p>
              </w:tc>
              <w:tc>
                <w:tcPr>
                  <w:tcW w:w="1132" w:type="dxa"/>
                  <w:tcBorders>
                    <w:tl2br w:val="nil"/>
                    <w:tr2bl w:val="nil"/>
                  </w:tcBorders>
                  <w:noWrap/>
                  <w:vAlign w:val="center"/>
                </w:tcPr>
                <w:p>
                  <w:pPr>
                    <w:jc w:val="center"/>
                    <w:rPr>
                      <w:color w:val="000000"/>
                      <w:szCs w:val="21"/>
                    </w:rPr>
                  </w:pPr>
                  <w:r>
                    <w:rPr>
                      <w:color w:val="000000"/>
                      <w:szCs w:val="21"/>
                    </w:rPr>
                    <w:t>ND</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60" w:hRule="atLeast"/>
                <w:jc w:val="center"/>
              </w:trPr>
              <w:tc>
                <w:tcPr>
                  <w:tcW w:w="833" w:type="dxa"/>
                  <w:vMerge w:val="continue"/>
                  <w:tcBorders>
                    <w:tl2br w:val="nil"/>
                    <w:tr2bl w:val="nil"/>
                  </w:tcBorders>
                  <w:noWrap/>
                  <w:vAlign w:val="center"/>
                </w:tcPr>
                <w:p>
                  <w:pPr>
                    <w:jc w:val="center"/>
                    <w:rPr>
                      <w:szCs w:val="21"/>
                    </w:rPr>
                  </w:pPr>
                  <w:r>
                    <w:rPr>
                      <w:szCs w:val="21"/>
                    </w:rPr>
                    <w:t>0.034</w:t>
                  </w:r>
                </w:p>
              </w:tc>
              <w:tc>
                <w:tcPr>
                  <w:tcW w:w="734" w:type="dxa"/>
                  <w:vMerge w:val="continue"/>
                  <w:tcBorders>
                    <w:tl2br w:val="nil"/>
                    <w:tr2bl w:val="nil"/>
                  </w:tcBorders>
                  <w:noWrap/>
                  <w:vAlign w:val="center"/>
                </w:tcPr>
                <w:p>
                  <w:pPr>
                    <w:jc w:val="center"/>
                    <w:rPr>
                      <w:color w:val="000000"/>
                      <w:szCs w:val="21"/>
                    </w:rPr>
                  </w:pPr>
                </w:p>
              </w:tc>
              <w:tc>
                <w:tcPr>
                  <w:tcW w:w="870" w:type="dxa"/>
                  <w:tcBorders>
                    <w:tl2br w:val="nil"/>
                    <w:tr2bl w:val="nil"/>
                  </w:tcBorders>
                  <w:noWrap/>
                  <w:vAlign w:val="center"/>
                </w:tcPr>
                <w:p>
                  <w:pPr>
                    <w:jc w:val="center"/>
                    <w:rPr>
                      <w:szCs w:val="21"/>
                    </w:rPr>
                  </w:pPr>
                  <w:r>
                    <w:rPr>
                      <w:szCs w:val="21"/>
                    </w:rPr>
                    <w:t>3次</w:t>
                  </w:r>
                </w:p>
              </w:tc>
              <w:tc>
                <w:tcPr>
                  <w:tcW w:w="870" w:type="dxa"/>
                  <w:tcBorders>
                    <w:tl2br w:val="nil"/>
                    <w:tr2bl w:val="nil"/>
                  </w:tcBorders>
                  <w:noWrap/>
                  <w:vAlign w:val="center"/>
                </w:tcPr>
                <w:p>
                  <w:pPr>
                    <w:jc w:val="center"/>
                    <w:rPr>
                      <w:color w:val="000000"/>
                      <w:szCs w:val="21"/>
                    </w:rPr>
                  </w:pPr>
                  <w:r>
                    <w:rPr>
                      <w:color w:val="000000"/>
                      <w:szCs w:val="21"/>
                    </w:rPr>
                    <w:t>6.89</w:t>
                  </w:r>
                </w:p>
              </w:tc>
              <w:tc>
                <w:tcPr>
                  <w:tcW w:w="1022" w:type="dxa"/>
                  <w:tcBorders>
                    <w:tl2br w:val="nil"/>
                    <w:tr2bl w:val="nil"/>
                  </w:tcBorders>
                  <w:noWrap/>
                  <w:vAlign w:val="center"/>
                </w:tcPr>
                <w:p>
                  <w:pPr>
                    <w:jc w:val="center"/>
                    <w:rPr>
                      <w:color w:val="000000"/>
                      <w:szCs w:val="21"/>
                    </w:rPr>
                  </w:pPr>
                  <w:r>
                    <w:rPr>
                      <w:color w:val="000000"/>
                      <w:szCs w:val="21"/>
                    </w:rPr>
                    <w:t>68</w:t>
                  </w:r>
                </w:p>
              </w:tc>
              <w:tc>
                <w:tcPr>
                  <w:tcW w:w="1015" w:type="dxa"/>
                  <w:tcBorders>
                    <w:tl2br w:val="nil"/>
                    <w:tr2bl w:val="nil"/>
                  </w:tcBorders>
                  <w:noWrap/>
                  <w:vAlign w:val="center"/>
                </w:tcPr>
                <w:p>
                  <w:pPr>
                    <w:jc w:val="center"/>
                    <w:rPr>
                      <w:color w:val="000000"/>
                      <w:szCs w:val="21"/>
                    </w:rPr>
                  </w:pPr>
                  <w:r>
                    <w:rPr>
                      <w:color w:val="000000"/>
                      <w:szCs w:val="21"/>
                    </w:rPr>
                    <w:t>0.244</w:t>
                  </w:r>
                </w:p>
              </w:tc>
              <w:tc>
                <w:tcPr>
                  <w:tcW w:w="1132" w:type="dxa"/>
                  <w:tcBorders>
                    <w:tl2br w:val="nil"/>
                    <w:tr2bl w:val="nil"/>
                  </w:tcBorders>
                  <w:noWrap/>
                  <w:vAlign w:val="center"/>
                </w:tcPr>
                <w:p>
                  <w:pPr>
                    <w:jc w:val="center"/>
                    <w:rPr>
                      <w:color w:val="000000"/>
                      <w:szCs w:val="21"/>
                    </w:rPr>
                  </w:pPr>
                  <w:r>
                    <w:rPr>
                      <w:color w:val="000000"/>
                      <w:szCs w:val="21"/>
                    </w:rPr>
                    <w:t>ND</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62" w:hRule="atLeast"/>
                <w:jc w:val="center"/>
              </w:trPr>
              <w:tc>
                <w:tcPr>
                  <w:tcW w:w="2437" w:type="dxa"/>
                  <w:gridSpan w:val="3"/>
                  <w:tcBorders>
                    <w:tl2br w:val="nil"/>
                    <w:tr2bl w:val="nil"/>
                  </w:tcBorders>
                  <w:noWrap/>
                  <w:vAlign w:val="center"/>
                </w:tcPr>
                <w:p>
                  <w:pPr>
                    <w:jc w:val="center"/>
                    <w:rPr>
                      <w:b/>
                      <w:szCs w:val="21"/>
                    </w:rPr>
                  </w:pPr>
                  <w:r>
                    <w:rPr>
                      <w:b/>
                      <w:szCs w:val="21"/>
                    </w:rPr>
                    <w:t>标准值</w:t>
                  </w:r>
                </w:p>
              </w:tc>
              <w:tc>
                <w:tcPr>
                  <w:tcW w:w="870" w:type="dxa"/>
                  <w:tcBorders>
                    <w:tl2br w:val="nil"/>
                    <w:tr2bl w:val="nil"/>
                  </w:tcBorders>
                  <w:noWrap/>
                  <w:vAlign w:val="center"/>
                </w:tcPr>
                <w:p>
                  <w:pPr>
                    <w:jc w:val="center"/>
                    <w:rPr>
                      <w:b/>
                      <w:color w:val="000000"/>
                      <w:szCs w:val="21"/>
                    </w:rPr>
                  </w:pPr>
                  <w:r>
                    <w:rPr>
                      <w:b/>
                      <w:color w:val="000000"/>
                      <w:szCs w:val="21"/>
                    </w:rPr>
                    <w:t>≤6-9</w:t>
                  </w:r>
                </w:p>
              </w:tc>
              <w:tc>
                <w:tcPr>
                  <w:tcW w:w="1022" w:type="dxa"/>
                  <w:tcBorders>
                    <w:tl2br w:val="nil"/>
                    <w:tr2bl w:val="nil"/>
                  </w:tcBorders>
                  <w:noWrap/>
                  <w:vAlign w:val="center"/>
                </w:tcPr>
                <w:p>
                  <w:pPr>
                    <w:jc w:val="center"/>
                    <w:rPr>
                      <w:b/>
                      <w:color w:val="000000"/>
                      <w:szCs w:val="21"/>
                    </w:rPr>
                  </w:pPr>
                  <w:r>
                    <w:rPr>
                      <w:b/>
                      <w:color w:val="000000"/>
                      <w:szCs w:val="21"/>
                    </w:rPr>
                    <w:t>≤100</w:t>
                  </w:r>
                </w:p>
              </w:tc>
              <w:tc>
                <w:tcPr>
                  <w:tcW w:w="1015" w:type="dxa"/>
                  <w:tcBorders>
                    <w:tl2br w:val="nil"/>
                    <w:tr2bl w:val="nil"/>
                  </w:tcBorders>
                  <w:noWrap/>
                  <w:vAlign w:val="center"/>
                </w:tcPr>
                <w:p>
                  <w:pPr>
                    <w:jc w:val="center"/>
                    <w:rPr>
                      <w:b/>
                      <w:color w:val="000000"/>
                      <w:szCs w:val="21"/>
                    </w:rPr>
                  </w:pPr>
                  <w:r>
                    <w:rPr>
                      <w:b/>
                      <w:color w:val="000000"/>
                      <w:szCs w:val="21"/>
                    </w:rPr>
                    <w:t>≤5</w:t>
                  </w:r>
                </w:p>
              </w:tc>
              <w:tc>
                <w:tcPr>
                  <w:tcW w:w="1132" w:type="dxa"/>
                  <w:tcBorders>
                    <w:tl2br w:val="nil"/>
                    <w:tr2bl w:val="nil"/>
                  </w:tcBorders>
                  <w:noWrap/>
                  <w:vAlign w:val="center"/>
                </w:tcPr>
                <w:p>
                  <w:pPr>
                    <w:jc w:val="center"/>
                    <w:rPr>
                      <w:b/>
                      <w:color w:val="000000"/>
                      <w:szCs w:val="21"/>
                    </w:rPr>
                  </w:pPr>
                  <w:r>
                    <w:rPr>
                      <w:b/>
                      <w:color w:val="000000"/>
                      <w:szCs w:val="21"/>
                    </w:rPr>
                    <w:t>≤1.0</w:t>
                  </w:r>
                </w:p>
              </w:tc>
            </w:tr>
          </w:tbl>
          <w:p>
            <w:pPr>
              <w:spacing w:line="360" w:lineRule="auto"/>
              <w:ind w:firstLine="480" w:firstLineChars="200"/>
              <w:rPr>
                <w:color w:val="000000"/>
                <w:sz w:val="24"/>
              </w:rPr>
            </w:pPr>
            <w:r>
              <w:rPr>
                <w:rFonts w:hint="eastAsia"/>
                <w:color w:val="000000"/>
                <w:sz w:val="24"/>
              </w:rPr>
              <w:t>根据上表可知，生产废水监测的污染物中，pH、CODcr 、石油类、铅排放浓度均达到</w:t>
            </w:r>
            <w:r>
              <w:rPr>
                <w:rFonts w:hint="eastAsia" w:cs="宋体"/>
                <w:kern w:val="0"/>
                <w:sz w:val="24"/>
              </w:rPr>
              <w:t>船舶水污染物排放控制标准（GB3552-2018）表2中标准</w:t>
            </w:r>
            <w:r>
              <w:rPr>
                <w:rFonts w:hint="eastAsia"/>
                <w:sz w:val="24"/>
              </w:rPr>
              <w:t>。</w:t>
            </w:r>
          </w:p>
          <w:p>
            <w:pPr>
              <w:numPr>
                <w:ilvl w:val="0"/>
                <w:numId w:val="10"/>
              </w:numPr>
              <w:spacing w:line="360" w:lineRule="auto"/>
              <w:ind w:left="-62" w:firstLine="482"/>
              <w:rPr>
                <w:rFonts w:ascii="宋体" w:hAnsi="宋体"/>
                <w:b/>
                <w:bCs/>
                <w:color w:val="000000"/>
                <w:sz w:val="24"/>
              </w:rPr>
            </w:pPr>
            <w:r>
              <w:rPr>
                <w:rFonts w:hint="eastAsia" w:ascii="宋体" w:hAnsi="宋体"/>
                <w:b/>
                <w:bCs/>
                <w:color w:val="000000"/>
                <w:sz w:val="24"/>
              </w:rPr>
              <w:t>噪声</w:t>
            </w:r>
          </w:p>
          <w:p>
            <w:pPr>
              <w:spacing w:line="360" w:lineRule="auto"/>
              <w:ind w:firstLine="480" w:firstLineChars="200"/>
              <w:rPr>
                <w:color w:val="000000"/>
                <w:sz w:val="24"/>
              </w:rPr>
            </w:pPr>
            <w:r>
              <w:rPr>
                <w:color w:val="000000"/>
                <w:sz w:val="24"/>
              </w:rPr>
              <w:t>项目主要噪声来自于生产设备，产生噪声的设备主要为</w:t>
            </w:r>
            <w:r>
              <w:rPr>
                <w:rFonts w:hint="eastAsia"/>
                <w:color w:val="000000"/>
                <w:sz w:val="24"/>
              </w:rPr>
              <w:t>清洗</w:t>
            </w:r>
            <w:r>
              <w:rPr>
                <w:color w:val="000000"/>
                <w:sz w:val="24"/>
              </w:rPr>
              <w:t>机、灭菌机、</w:t>
            </w:r>
            <w:r>
              <w:rPr>
                <w:rFonts w:hint="eastAsia"/>
                <w:color w:val="000000"/>
                <w:sz w:val="24"/>
              </w:rPr>
              <w:t>拌料机</w:t>
            </w:r>
            <w:r>
              <w:rPr>
                <w:color w:val="000000"/>
                <w:sz w:val="24"/>
              </w:rPr>
              <w:t>、油烟收集电泵等，噪声值约</w:t>
            </w:r>
            <w:r>
              <w:rPr>
                <w:rFonts w:hint="eastAsia"/>
                <w:color w:val="000000"/>
                <w:sz w:val="24"/>
              </w:rPr>
              <w:t>85</w:t>
            </w:r>
            <w:r>
              <w:rPr>
                <w:color w:val="000000"/>
                <w:sz w:val="24"/>
              </w:rPr>
              <w:t>～</w:t>
            </w:r>
            <w:r>
              <w:rPr>
                <w:rFonts w:hint="eastAsia"/>
                <w:color w:val="000000"/>
                <w:sz w:val="24"/>
              </w:rPr>
              <w:t>100</w:t>
            </w:r>
            <w:r>
              <w:rPr>
                <w:color w:val="000000"/>
                <w:sz w:val="24"/>
              </w:rPr>
              <w:t>dB（A）。</w:t>
            </w:r>
            <w:r>
              <w:rPr>
                <w:rFonts w:hint="eastAsia"/>
                <w:color w:val="000000"/>
                <w:sz w:val="24"/>
              </w:rPr>
              <w:t>结合企业常规检测和现场实际调查，其所产生的噪声情况如下所述：</w:t>
            </w:r>
          </w:p>
          <w:p>
            <w:pPr>
              <w:adjustRightInd w:val="0"/>
              <w:spacing w:line="360" w:lineRule="auto"/>
              <w:ind w:firstLine="422" w:firstLineChars="200"/>
              <w:jc w:val="center"/>
              <w:rPr>
                <w:b/>
                <w:color w:val="000000"/>
                <w:szCs w:val="21"/>
              </w:rPr>
            </w:pPr>
            <w:r>
              <w:rPr>
                <w:b/>
                <w:color w:val="000000"/>
                <w:szCs w:val="21"/>
              </w:rPr>
              <w:t>表</w:t>
            </w:r>
            <w:r>
              <w:rPr>
                <w:rFonts w:hint="eastAsia"/>
                <w:b/>
                <w:color w:val="000000"/>
                <w:szCs w:val="21"/>
              </w:rPr>
              <w:t>2-20现有</w:t>
            </w:r>
            <w:r>
              <w:rPr>
                <w:b/>
                <w:color w:val="000000"/>
                <w:szCs w:val="21"/>
              </w:rPr>
              <w:t>项目生产设备噪声产生情况一览表</w:t>
            </w:r>
          </w:p>
          <w:tbl>
            <w:tblPr>
              <w:tblStyle w:val="24"/>
              <w:tblW w:w="7919"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2432"/>
              <w:gridCol w:w="2027"/>
              <w:gridCol w:w="346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03" w:hRule="atLeast"/>
                <w:jc w:val="center"/>
              </w:trPr>
              <w:tc>
                <w:tcPr>
                  <w:tcW w:w="2432" w:type="dxa"/>
                  <w:noWrap/>
                  <w:vAlign w:val="center"/>
                </w:tcPr>
                <w:p>
                  <w:pPr>
                    <w:pStyle w:val="20"/>
                    <w:adjustRightInd w:val="0"/>
                    <w:snapToGrid w:val="0"/>
                    <w:spacing w:before="0" w:beforeAutospacing="0" w:after="0" w:afterAutospacing="0"/>
                    <w:jc w:val="center"/>
                    <w:rPr>
                      <w:szCs w:val="21"/>
                    </w:rPr>
                  </w:pPr>
                  <w:r>
                    <w:rPr>
                      <w:rFonts w:eastAsia="Times New Roman"/>
                      <w:kern w:val="2"/>
                      <w:sz w:val="21"/>
                      <w:szCs w:val="21"/>
                    </w:rPr>
                    <w:t>噪声产生源</w:t>
                  </w:r>
                </w:p>
              </w:tc>
              <w:tc>
                <w:tcPr>
                  <w:tcW w:w="2027" w:type="dxa"/>
                  <w:noWrap/>
                  <w:vAlign w:val="center"/>
                </w:tcPr>
                <w:p>
                  <w:pPr>
                    <w:pStyle w:val="20"/>
                    <w:adjustRightInd w:val="0"/>
                    <w:snapToGrid w:val="0"/>
                    <w:spacing w:before="0" w:beforeAutospacing="0" w:after="0" w:afterAutospacing="0"/>
                    <w:jc w:val="center"/>
                    <w:rPr>
                      <w:szCs w:val="21"/>
                    </w:rPr>
                  </w:pPr>
                  <w:r>
                    <w:rPr>
                      <w:rFonts w:eastAsia="Times New Roman"/>
                      <w:kern w:val="2"/>
                      <w:sz w:val="21"/>
                      <w:szCs w:val="21"/>
                    </w:rPr>
                    <w:t>产生方式</w:t>
                  </w:r>
                </w:p>
              </w:tc>
              <w:tc>
                <w:tcPr>
                  <w:tcW w:w="3460" w:type="dxa"/>
                  <w:noWrap/>
                  <w:vAlign w:val="center"/>
                </w:tcPr>
                <w:p>
                  <w:pPr>
                    <w:pStyle w:val="20"/>
                    <w:adjustRightInd w:val="0"/>
                    <w:snapToGrid w:val="0"/>
                    <w:spacing w:before="0" w:beforeAutospacing="0" w:after="0" w:afterAutospacing="0"/>
                    <w:jc w:val="center"/>
                    <w:rPr>
                      <w:szCs w:val="21"/>
                    </w:rPr>
                  </w:pPr>
                  <w:r>
                    <w:rPr>
                      <w:rFonts w:eastAsia="Times New Roman"/>
                      <w:kern w:val="2"/>
                      <w:sz w:val="21"/>
                      <w:szCs w:val="21"/>
                    </w:rPr>
                    <w:t>产生量（dB(A)）</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87" w:hRule="atLeast"/>
                <w:jc w:val="center"/>
              </w:trPr>
              <w:tc>
                <w:tcPr>
                  <w:tcW w:w="2432" w:type="dxa"/>
                  <w:noWrap/>
                  <w:vAlign w:val="center"/>
                </w:tcPr>
                <w:p>
                  <w:pPr>
                    <w:pStyle w:val="20"/>
                    <w:snapToGrid w:val="0"/>
                    <w:spacing w:before="0" w:beforeAutospacing="0" w:after="0" w:afterAutospacing="0"/>
                    <w:jc w:val="center"/>
                    <w:rPr>
                      <w:sz w:val="21"/>
                      <w:szCs w:val="21"/>
                    </w:rPr>
                  </w:pPr>
                  <w:r>
                    <w:rPr>
                      <w:rFonts w:hint="eastAsia"/>
                      <w:sz w:val="21"/>
                      <w:szCs w:val="21"/>
                    </w:rPr>
                    <w:t>船舶发动机</w:t>
                  </w:r>
                </w:p>
              </w:tc>
              <w:tc>
                <w:tcPr>
                  <w:tcW w:w="2027" w:type="dxa"/>
                  <w:noWrap/>
                  <w:vAlign w:val="center"/>
                </w:tcPr>
                <w:p>
                  <w:pPr>
                    <w:jc w:val="center"/>
                    <w:rPr>
                      <w:rFonts w:cs="宋体"/>
                      <w:szCs w:val="21"/>
                    </w:rPr>
                  </w:pPr>
                  <w:r>
                    <w:rPr>
                      <w:rFonts w:hint="eastAsia" w:cs="宋体"/>
                      <w:szCs w:val="21"/>
                    </w:rPr>
                    <w:t>连续</w:t>
                  </w:r>
                </w:p>
              </w:tc>
              <w:tc>
                <w:tcPr>
                  <w:tcW w:w="3460" w:type="dxa"/>
                  <w:noWrap/>
                  <w:vAlign w:val="center"/>
                </w:tcPr>
                <w:p>
                  <w:pPr>
                    <w:jc w:val="center"/>
                    <w:rPr>
                      <w:szCs w:val="21"/>
                    </w:rPr>
                  </w:pPr>
                  <w:r>
                    <w:rPr>
                      <w:rFonts w:hint="eastAsia"/>
                      <w:szCs w:val="21"/>
                    </w:rPr>
                    <w:t>95-100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1" w:hRule="atLeast"/>
                <w:jc w:val="center"/>
              </w:trPr>
              <w:tc>
                <w:tcPr>
                  <w:tcW w:w="2432" w:type="dxa"/>
                  <w:noWrap/>
                  <w:vAlign w:val="center"/>
                </w:tcPr>
                <w:p>
                  <w:pPr>
                    <w:pStyle w:val="20"/>
                    <w:snapToGrid w:val="0"/>
                    <w:spacing w:before="0" w:beforeAutospacing="0" w:after="0" w:afterAutospacing="0"/>
                    <w:jc w:val="center"/>
                  </w:pPr>
                  <w:r>
                    <w:rPr>
                      <w:rFonts w:hint="eastAsia"/>
                      <w:sz w:val="21"/>
                      <w:szCs w:val="21"/>
                    </w:rPr>
                    <w:t>自吸油泵</w:t>
                  </w:r>
                </w:p>
              </w:tc>
              <w:tc>
                <w:tcPr>
                  <w:tcW w:w="2027" w:type="dxa"/>
                  <w:noWrap/>
                  <w:vAlign w:val="center"/>
                </w:tcPr>
                <w:p>
                  <w:pPr>
                    <w:jc w:val="center"/>
                    <w:rPr>
                      <w:szCs w:val="21"/>
                    </w:rPr>
                  </w:pPr>
                  <w:r>
                    <w:rPr>
                      <w:rFonts w:hint="eastAsia" w:cs="宋体"/>
                      <w:szCs w:val="21"/>
                    </w:rPr>
                    <w:t>间断</w:t>
                  </w:r>
                </w:p>
              </w:tc>
              <w:tc>
                <w:tcPr>
                  <w:tcW w:w="3460" w:type="dxa"/>
                  <w:noWrap/>
                  <w:vAlign w:val="center"/>
                </w:tcPr>
                <w:p>
                  <w:pPr>
                    <w:jc w:val="center"/>
                    <w:rPr>
                      <w:szCs w:val="21"/>
                    </w:rPr>
                  </w:pPr>
                  <w:r>
                    <w:rPr>
                      <w:szCs w:val="21"/>
                    </w:rPr>
                    <w:t>≤85</w:t>
                  </w:r>
                </w:p>
              </w:tc>
            </w:tr>
          </w:tbl>
          <w:p>
            <w:pPr>
              <w:adjustRightInd w:val="0"/>
              <w:spacing w:line="360" w:lineRule="auto"/>
              <w:ind w:firstLine="422" w:firstLineChars="200"/>
              <w:jc w:val="center"/>
              <w:rPr>
                <w:b/>
                <w:color w:val="000000"/>
                <w:szCs w:val="21"/>
              </w:rPr>
            </w:pPr>
            <w:r>
              <w:rPr>
                <w:b/>
                <w:color w:val="000000"/>
                <w:szCs w:val="21"/>
              </w:rPr>
              <w:t>表</w:t>
            </w:r>
            <w:r>
              <w:rPr>
                <w:rFonts w:hint="eastAsia"/>
                <w:b/>
                <w:color w:val="000000"/>
                <w:szCs w:val="21"/>
              </w:rPr>
              <w:t>2-21现有</w:t>
            </w:r>
            <w:r>
              <w:rPr>
                <w:b/>
                <w:color w:val="000000"/>
                <w:szCs w:val="21"/>
              </w:rPr>
              <w:t>项目</w:t>
            </w:r>
            <w:r>
              <w:rPr>
                <w:rFonts w:hint="eastAsia"/>
                <w:b/>
                <w:color w:val="000000"/>
                <w:szCs w:val="21"/>
              </w:rPr>
              <w:t>厂界噪声</w:t>
            </w:r>
            <w:r>
              <w:rPr>
                <w:b/>
                <w:color w:val="000000"/>
                <w:szCs w:val="21"/>
              </w:rPr>
              <w:t>一览表</w:t>
            </w:r>
          </w:p>
          <w:tbl>
            <w:tblPr>
              <w:tblStyle w:val="25"/>
              <w:tblW w:w="782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304"/>
              <w:gridCol w:w="1304"/>
              <w:gridCol w:w="1304"/>
              <w:gridCol w:w="1304"/>
              <w:gridCol w:w="1305"/>
              <w:gridCol w:w="130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304" w:type="dxa"/>
                  <w:tcBorders>
                    <w:tl2br w:val="nil"/>
                    <w:tr2bl w:val="nil"/>
                  </w:tcBorders>
                  <w:vAlign w:val="center"/>
                </w:tcPr>
                <w:p>
                  <w:pPr>
                    <w:spacing w:line="360" w:lineRule="auto"/>
                    <w:jc w:val="center"/>
                    <w:rPr>
                      <w:color w:val="000000"/>
                      <w:szCs w:val="21"/>
                    </w:rPr>
                  </w:pPr>
                  <w:r>
                    <w:rPr>
                      <w:rFonts w:hint="eastAsia"/>
                      <w:color w:val="000000"/>
                      <w:szCs w:val="21"/>
                    </w:rPr>
                    <w:t>日期</w:t>
                  </w:r>
                </w:p>
              </w:tc>
              <w:tc>
                <w:tcPr>
                  <w:tcW w:w="1304" w:type="dxa"/>
                  <w:tcBorders>
                    <w:tl2br w:val="nil"/>
                    <w:tr2bl w:val="nil"/>
                  </w:tcBorders>
                  <w:vAlign w:val="center"/>
                </w:tcPr>
                <w:p>
                  <w:pPr>
                    <w:spacing w:line="360" w:lineRule="auto"/>
                    <w:jc w:val="center"/>
                    <w:rPr>
                      <w:color w:val="000000"/>
                      <w:szCs w:val="21"/>
                    </w:rPr>
                  </w:pPr>
                  <w:r>
                    <w:rPr>
                      <w:rFonts w:hint="eastAsia"/>
                      <w:color w:val="000000"/>
                      <w:szCs w:val="21"/>
                    </w:rPr>
                    <w:t>点位名称</w:t>
                  </w:r>
                </w:p>
              </w:tc>
              <w:tc>
                <w:tcPr>
                  <w:tcW w:w="2608" w:type="dxa"/>
                  <w:gridSpan w:val="2"/>
                  <w:tcBorders>
                    <w:tl2br w:val="nil"/>
                    <w:tr2bl w:val="nil"/>
                  </w:tcBorders>
                  <w:vAlign w:val="center"/>
                </w:tcPr>
                <w:p>
                  <w:pPr>
                    <w:spacing w:line="360" w:lineRule="auto"/>
                    <w:jc w:val="center"/>
                    <w:rPr>
                      <w:color w:val="000000"/>
                      <w:szCs w:val="21"/>
                    </w:rPr>
                  </w:pPr>
                  <w:r>
                    <w:rPr>
                      <w:rFonts w:hint="eastAsia"/>
                      <w:color w:val="000000"/>
                      <w:szCs w:val="21"/>
                    </w:rPr>
                    <w:t>检测结果dB（A）</w:t>
                  </w:r>
                </w:p>
              </w:tc>
              <w:tc>
                <w:tcPr>
                  <w:tcW w:w="2610" w:type="dxa"/>
                  <w:gridSpan w:val="2"/>
                  <w:tcBorders>
                    <w:tl2br w:val="nil"/>
                    <w:tr2bl w:val="nil"/>
                  </w:tcBorders>
                  <w:vAlign w:val="center"/>
                </w:tcPr>
                <w:p>
                  <w:pPr>
                    <w:spacing w:line="360" w:lineRule="auto"/>
                    <w:jc w:val="center"/>
                    <w:rPr>
                      <w:color w:val="000000"/>
                      <w:szCs w:val="21"/>
                    </w:rPr>
                  </w:pPr>
                  <w:r>
                    <w:rPr>
                      <w:rFonts w:hint="eastAsia"/>
                      <w:color w:val="000000"/>
                      <w:szCs w:val="21"/>
                    </w:rPr>
                    <w:t>标准限值dB（A）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304" w:type="dxa"/>
                  <w:vMerge w:val="restart"/>
                  <w:tcBorders>
                    <w:tl2br w:val="nil"/>
                    <w:tr2bl w:val="nil"/>
                  </w:tcBorders>
                  <w:vAlign w:val="center"/>
                </w:tcPr>
                <w:p>
                  <w:pPr>
                    <w:spacing w:line="360" w:lineRule="auto"/>
                    <w:jc w:val="center"/>
                    <w:rPr>
                      <w:color w:val="000000"/>
                      <w:szCs w:val="21"/>
                    </w:rPr>
                  </w:pPr>
                  <w:r>
                    <w:rPr>
                      <w:rFonts w:hint="eastAsia"/>
                      <w:color w:val="000000"/>
                      <w:szCs w:val="21"/>
                    </w:rPr>
                    <w:t>2021.3.26</w:t>
                  </w:r>
                </w:p>
              </w:tc>
              <w:tc>
                <w:tcPr>
                  <w:tcW w:w="1304" w:type="dxa"/>
                  <w:tcBorders>
                    <w:tl2br w:val="nil"/>
                    <w:tr2bl w:val="nil"/>
                  </w:tcBorders>
                  <w:vAlign w:val="center"/>
                </w:tcPr>
                <w:p>
                  <w:pPr>
                    <w:spacing w:line="360" w:lineRule="auto"/>
                    <w:jc w:val="center"/>
                    <w:rPr>
                      <w:color w:val="000000"/>
                      <w:szCs w:val="21"/>
                    </w:rPr>
                  </w:pPr>
                  <w:r>
                    <w:rPr>
                      <w:rFonts w:hint="eastAsia"/>
                      <w:color w:val="000000"/>
                      <w:szCs w:val="21"/>
                    </w:rPr>
                    <w:t>鹿角码头</w:t>
                  </w:r>
                </w:p>
              </w:tc>
              <w:tc>
                <w:tcPr>
                  <w:tcW w:w="1304" w:type="dxa"/>
                  <w:tcBorders>
                    <w:tl2br w:val="nil"/>
                    <w:tr2bl w:val="nil"/>
                  </w:tcBorders>
                  <w:vAlign w:val="center"/>
                </w:tcPr>
                <w:p>
                  <w:pPr>
                    <w:spacing w:line="360" w:lineRule="auto"/>
                    <w:jc w:val="center"/>
                    <w:rPr>
                      <w:color w:val="000000"/>
                      <w:szCs w:val="21"/>
                    </w:rPr>
                  </w:pPr>
                  <w:r>
                    <w:rPr>
                      <w:rFonts w:hint="eastAsia"/>
                      <w:color w:val="000000"/>
                      <w:szCs w:val="21"/>
                    </w:rPr>
                    <w:t>66.7</w:t>
                  </w:r>
                </w:p>
              </w:tc>
              <w:tc>
                <w:tcPr>
                  <w:tcW w:w="1304" w:type="dxa"/>
                  <w:tcBorders>
                    <w:tl2br w:val="nil"/>
                    <w:tr2bl w:val="nil"/>
                  </w:tcBorders>
                  <w:vAlign w:val="center"/>
                </w:tcPr>
                <w:p>
                  <w:pPr>
                    <w:spacing w:line="360" w:lineRule="auto"/>
                    <w:jc w:val="center"/>
                    <w:rPr>
                      <w:color w:val="000000"/>
                      <w:szCs w:val="21"/>
                    </w:rPr>
                  </w:pPr>
                  <w:r>
                    <w:rPr>
                      <w:rFonts w:hint="eastAsia"/>
                      <w:color w:val="000000"/>
                      <w:szCs w:val="21"/>
                    </w:rPr>
                    <w:t>53.4</w:t>
                  </w:r>
                </w:p>
              </w:tc>
              <w:tc>
                <w:tcPr>
                  <w:tcW w:w="1305" w:type="dxa"/>
                  <w:tcBorders>
                    <w:tl2br w:val="nil"/>
                    <w:tr2bl w:val="nil"/>
                  </w:tcBorders>
                  <w:vAlign w:val="center"/>
                </w:tcPr>
                <w:p>
                  <w:pPr>
                    <w:spacing w:line="360" w:lineRule="auto"/>
                    <w:jc w:val="center"/>
                    <w:rPr>
                      <w:color w:val="000000"/>
                      <w:szCs w:val="21"/>
                    </w:rPr>
                  </w:pPr>
                  <w:r>
                    <w:rPr>
                      <w:rFonts w:hint="eastAsia"/>
                      <w:color w:val="000000"/>
                      <w:szCs w:val="21"/>
                    </w:rPr>
                    <w:t>70</w:t>
                  </w:r>
                </w:p>
              </w:tc>
              <w:tc>
                <w:tcPr>
                  <w:tcW w:w="1305" w:type="dxa"/>
                  <w:tcBorders>
                    <w:tl2br w:val="nil"/>
                    <w:tr2bl w:val="nil"/>
                  </w:tcBorders>
                  <w:vAlign w:val="center"/>
                </w:tcPr>
                <w:p>
                  <w:pPr>
                    <w:spacing w:line="360" w:lineRule="auto"/>
                    <w:jc w:val="center"/>
                    <w:rPr>
                      <w:color w:val="000000"/>
                      <w:szCs w:val="21"/>
                    </w:rPr>
                  </w:pPr>
                  <w:r>
                    <w:rPr>
                      <w:rFonts w:hint="eastAsia"/>
                      <w:color w:val="000000"/>
                      <w:szCs w:val="21"/>
                    </w:rPr>
                    <w:t>55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304" w:type="dxa"/>
                  <w:vMerge w:val="continue"/>
                  <w:tcBorders>
                    <w:tl2br w:val="nil"/>
                    <w:tr2bl w:val="nil"/>
                  </w:tcBorders>
                  <w:vAlign w:val="center"/>
                </w:tcPr>
                <w:p>
                  <w:pPr>
                    <w:spacing w:line="360" w:lineRule="auto"/>
                    <w:jc w:val="center"/>
                    <w:rPr>
                      <w:color w:val="000000"/>
                      <w:szCs w:val="21"/>
                    </w:rPr>
                  </w:pPr>
                </w:p>
              </w:tc>
              <w:tc>
                <w:tcPr>
                  <w:tcW w:w="1304" w:type="dxa"/>
                  <w:tcBorders>
                    <w:tl2br w:val="nil"/>
                    <w:tr2bl w:val="nil"/>
                  </w:tcBorders>
                  <w:vAlign w:val="center"/>
                </w:tcPr>
                <w:p>
                  <w:pPr>
                    <w:spacing w:line="360" w:lineRule="auto"/>
                    <w:jc w:val="center"/>
                    <w:rPr>
                      <w:color w:val="000000"/>
                      <w:szCs w:val="21"/>
                    </w:rPr>
                  </w:pPr>
                  <w:r>
                    <w:rPr>
                      <w:rFonts w:hint="eastAsia"/>
                      <w:color w:val="000000"/>
                      <w:szCs w:val="21"/>
                    </w:rPr>
                    <w:t>渔业新村</w:t>
                  </w:r>
                </w:p>
              </w:tc>
              <w:tc>
                <w:tcPr>
                  <w:tcW w:w="1304" w:type="dxa"/>
                  <w:tcBorders>
                    <w:tl2br w:val="nil"/>
                    <w:tr2bl w:val="nil"/>
                  </w:tcBorders>
                  <w:vAlign w:val="center"/>
                </w:tcPr>
                <w:p>
                  <w:pPr>
                    <w:spacing w:line="360" w:lineRule="auto"/>
                    <w:jc w:val="center"/>
                    <w:rPr>
                      <w:color w:val="000000"/>
                      <w:szCs w:val="21"/>
                    </w:rPr>
                  </w:pPr>
                  <w:r>
                    <w:rPr>
                      <w:rFonts w:hint="eastAsia"/>
                      <w:color w:val="000000"/>
                      <w:szCs w:val="21"/>
                    </w:rPr>
                    <w:t>58.1</w:t>
                  </w:r>
                </w:p>
              </w:tc>
              <w:tc>
                <w:tcPr>
                  <w:tcW w:w="1304" w:type="dxa"/>
                  <w:tcBorders>
                    <w:tl2br w:val="nil"/>
                    <w:tr2bl w:val="nil"/>
                  </w:tcBorders>
                  <w:vAlign w:val="center"/>
                </w:tcPr>
                <w:p>
                  <w:pPr>
                    <w:spacing w:line="360" w:lineRule="auto"/>
                    <w:jc w:val="center"/>
                    <w:rPr>
                      <w:color w:val="000000"/>
                      <w:szCs w:val="21"/>
                    </w:rPr>
                  </w:pPr>
                  <w:r>
                    <w:rPr>
                      <w:rFonts w:hint="eastAsia"/>
                      <w:color w:val="000000"/>
                      <w:szCs w:val="21"/>
                    </w:rPr>
                    <w:t>48.2</w:t>
                  </w:r>
                </w:p>
              </w:tc>
              <w:tc>
                <w:tcPr>
                  <w:tcW w:w="1305" w:type="dxa"/>
                  <w:tcBorders>
                    <w:tl2br w:val="nil"/>
                    <w:tr2bl w:val="nil"/>
                  </w:tcBorders>
                  <w:vAlign w:val="center"/>
                </w:tcPr>
                <w:p>
                  <w:pPr>
                    <w:spacing w:line="360" w:lineRule="auto"/>
                    <w:jc w:val="center"/>
                    <w:rPr>
                      <w:color w:val="000000"/>
                      <w:szCs w:val="21"/>
                    </w:rPr>
                  </w:pPr>
                  <w:r>
                    <w:rPr>
                      <w:rFonts w:hint="eastAsia"/>
                      <w:color w:val="000000"/>
                      <w:szCs w:val="21"/>
                    </w:rPr>
                    <w:t>60</w:t>
                  </w:r>
                </w:p>
              </w:tc>
              <w:tc>
                <w:tcPr>
                  <w:tcW w:w="1305" w:type="dxa"/>
                  <w:tcBorders>
                    <w:tl2br w:val="nil"/>
                    <w:tr2bl w:val="nil"/>
                  </w:tcBorders>
                  <w:vAlign w:val="center"/>
                </w:tcPr>
                <w:p>
                  <w:pPr>
                    <w:spacing w:line="360" w:lineRule="auto"/>
                    <w:jc w:val="center"/>
                    <w:rPr>
                      <w:color w:val="000000"/>
                      <w:szCs w:val="21"/>
                    </w:rPr>
                  </w:pPr>
                  <w:r>
                    <w:rPr>
                      <w:rFonts w:hint="eastAsia"/>
                      <w:color w:val="000000"/>
                      <w:szCs w:val="21"/>
                    </w:rPr>
                    <w:t>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2608" w:type="dxa"/>
                  <w:gridSpan w:val="2"/>
                  <w:tcBorders>
                    <w:tl2br w:val="nil"/>
                    <w:tr2bl w:val="nil"/>
                  </w:tcBorders>
                  <w:vAlign w:val="center"/>
                </w:tcPr>
                <w:p>
                  <w:pPr>
                    <w:spacing w:line="360" w:lineRule="auto"/>
                    <w:jc w:val="center"/>
                    <w:rPr>
                      <w:color w:val="000000"/>
                      <w:szCs w:val="21"/>
                    </w:rPr>
                  </w:pPr>
                  <w:r>
                    <w:rPr>
                      <w:rFonts w:hint="eastAsia"/>
                      <w:color w:val="000000"/>
                      <w:szCs w:val="21"/>
                    </w:rPr>
                    <w:t>执行标准</w:t>
                  </w:r>
                </w:p>
              </w:tc>
              <w:tc>
                <w:tcPr>
                  <w:tcW w:w="5218" w:type="dxa"/>
                  <w:gridSpan w:val="4"/>
                  <w:tcBorders>
                    <w:tl2br w:val="nil"/>
                    <w:tr2bl w:val="nil"/>
                  </w:tcBorders>
                  <w:vAlign w:val="center"/>
                </w:tcPr>
                <w:p>
                  <w:pPr>
                    <w:spacing w:line="360" w:lineRule="auto"/>
                    <w:jc w:val="center"/>
                    <w:rPr>
                      <w:color w:val="000000"/>
                      <w:szCs w:val="21"/>
                    </w:rPr>
                  </w:pPr>
                  <w:r>
                    <w:rPr>
                      <w:rFonts w:hint="eastAsia"/>
                      <w:color w:val="000000"/>
                      <w:szCs w:val="21"/>
                    </w:rPr>
                    <w:t>内河航道两侧区域执行《工业企业厂界环境噪声排放标准》（GB12348-2008）中4类标准</w:t>
                  </w:r>
                  <w:r>
                    <w:rPr>
                      <w:rFonts w:hint="eastAsia"/>
                      <w:color w:val="000000"/>
                      <w:szCs w:val="21"/>
                    </w:rPr>
                    <w:br w:type="textWrapping"/>
                  </w:r>
                  <w:r>
                    <w:rPr>
                      <w:rFonts w:hint="eastAsia"/>
                      <w:color w:val="000000"/>
                      <w:szCs w:val="21"/>
                    </w:rPr>
                    <w:t>内河航道两侧以外其他区域执行《工业企业厂界环境噪声排放标准》（GB12348-2008）中2类标准</w:t>
                  </w:r>
                </w:p>
              </w:tc>
            </w:tr>
          </w:tbl>
          <w:p>
            <w:pPr>
              <w:spacing w:line="360" w:lineRule="auto"/>
              <w:ind w:firstLine="720" w:firstLineChars="300"/>
              <w:rPr>
                <w:b/>
                <w:bCs/>
                <w:color w:val="000000"/>
                <w:sz w:val="24"/>
              </w:rPr>
            </w:pPr>
            <w:r>
              <w:rPr>
                <w:rFonts w:hint="eastAsia"/>
                <w:color w:val="000000"/>
                <w:sz w:val="24"/>
                <w:szCs w:val="24"/>
              </w:rPr>
              <w:t>根据监测结果，项目所在地噪声能够达到《工业企业厂界环境噪声排放标准》（GB12348-2008）中2类、4类标准。</w:t>
            </w:r>
            <w:r>
              <w:rPr>
                <w:color w:val="000000"/>
                <w:sz w:val="24"/>
                <w:szCs w:val="24"/>
              </w:rPr>
              <w:br w:type="textWrapping"/>
            </w:r>
            <w:r>
              <w:rPr>
                <w:rFonts w:hint="eastAsia"/>
                <w:b/>
                <w:bCs/>
                <w:color w:val="000000"/>
                <w:sz w:val="24"/>
              </w:rPr>
              <w:t>3、</w:t>
            </w:r>
            <w:r>
              <w:rPr>
                <w:b/>
                <w:bCs/>
                <w:color w:val="000000"/>
                <w:sz w:val="24"/>
              </w:rPr>
              <w:t>固废</w:t>
            </w:r>
          </w:p>
          <w:p>
            <w:pPr>
              <w:pStyle w:val="20"/>
              <w:spacing w:before="0" w:beforeAutospacing="0" w:after="0" w:afterAutospacing="0" w:line="360" w:lineRule="auto"/>
              <w:ind w:firstLine="480" w:firstLineChars="200"/>
              <w:jc w:val="both"/>
              <w:rPr>
                <w:rFonts w:ascii="Times New Roman" w:hAnsi="Times New Roman" w:cs="Times New Roman"/>
                <w:kern w:val="2"/>
              </w:rPr>
            </w:pPr>
            <w:r>
              <w:rPr>
                <w:rFonts w:ascii="Times New Roman" w:hAnsi="Times New Roman" w:cs="Times New Roman"/>
                <w:kern w:val="2"/>
              </w:rPr>
              <w:t>废油：本项目废油包括回收废机油专用船含油废水处理后产生的废油（0.31t/a）、</w:t>
            </w:r>
            <w:r>
              <w:rPr>
                <w:rFonts w:ascii="Times New Roman" w:hAnsi="Times New Roman" w:cs="Times New Roman"/>
              </w:rPr>
              <w:t>回收的含油废水处理产生的废油（99.69t/a）以及回收的纯油（100t），共200t/a，一起</w:t>
            </w:r>
            <w:r>
              <w:rPr>
                <w:rFonts w:ascii="Times New Roman" w:hAnsi="Times New Roman" w:cs="Times New Roman"/>
                <w:kern w:val="2"/>
              </w:rPr>
              <w:t>交由远大（湖南）再生燃油股份有限公司处理</w:t>
            </w:r>
            <w:r>
              <w:rPr>
                <w:rFonts w:ascii="Times New Roman" w:hAnsi="Times New Roman" w:cs="Times New Roman"/>
              </w:rPr>
              <w:t>，</w:t>
            </w:r>
            <w:r>
              <w:rPr>
                <w:rFonts w:ascii="Times New Roman" w:hAnsi="Times New Roman" w:cs="Times New Roman"/>
                <w:kern w:val="2"/>
              </w:rPr>
              <w:t>属于《国家危险废物名录》</w:t>
            </w:r>
            <w:r>
              <w:rPr>
                <w:rFonts w:hint="eastAsia" w:ascii="Times New Roman" w:hAnsi="Times New Roman" w:cs="Times New Roman"/>
                <w:kern w:val="2"/>
              </w:rPr>
              <w:t>HW08</w:t>
            </w:r>
            <w:r>
              <w:rPr>
                <w:rFonts w:ascii="Times New Roman" w:hAnsi="Times New Roman" w:cs="Times New Roman"/>
                <w:kern w:val="2"/>
              </w:rPr>
              <w:t>。</w:t>
            </w:r>
          </w:p>
          <w:p>
            <w:pPr>
              <w:pStyle w:val="20"/>
              <w:spacing w:before="0" w:beforeAutospacing="0" w:after="0" w:afterAutospacing="0" w:line="360" w:lineRule="auto"/>
              <w:ind w:firstLine="480" w:firstLineChars="200"/>
              <w:jc w:val="both"/>
              <w:rPr>
                <w:rFonts w:hint="default" w:ascii="Times New Roman" w:hAnsi="Times New Roman" w:cs="Times New Roman"/>
                <w:kern w:val="2"/>
                <w:lang w:val="en-US" w:eastAsia="zh-CN"/>
              </w:rPr>
            </w:pPr>
            <w:r>
              <w:rPr>
                <w:rFonts w:ascii="Times New Roman" w:hAnsi="Times New Roman" w:cs="Times New Roman"/>
                <w:kern w:val="2"/>
              </w:rPr>
              <w:t>生活垃圾：本项目劳动定员2人，船舶生活垃圾产生量定额为0.5kg/</w:t>
            </w:r>
            <w:r>
              <w:rPr>
                <w:rFonts w:hint="eastAsia" w:ascii="Times New Roman" w:hAnsi="Times New Roman" w:cs="Times New Roman"/>
                <w:kern w:val="2"/>
              </w:rPr>
              <w:t>（</w:t>
            </w:r>
            <w:r>
              <w:rPr>
                <w:rFonts w:ascii="Times New Roman" w:hAnsi="Times New Roman" w:cs="Times New Roman"/>
                <w:kern w:val="2"/>
              </w:rPr>
              <w:t>人·d)，则船舶生活垃圾产生量为1kg/d，0.3t/a。带上岸交由环卫部门处理。</w:t>
            </w:r>
            <w:r>
              <w:rPr>
                <w:rFonts w:ascii="Times New Roman" w:hAnsi="Times New Roman" w:cs="Times New Roman"/>
                <w:kern w:val="2"/>
              </w:rPr>
              <w:br w:type="textWrapping"/>
            </w:r>
            <w:r>
              <w:rPr>
                <w:rFonts w:hint="eastAsia" w:ascii="Times New Roman" w:hAnsi="Times New Roman" w:cs="Times New Roman"/>
                <w:b/>
                <w:bCs/>
                <w:kern w:val="2"/>
                <w:lang w:val="en-US" w:eastAsia="zh-CN"/>
              </w:rPr>
              <w:t xml:space="preserve"> 4、企业现有环境风险分析</w:t>
            </w:r>
          </w:p>
          <w:p>
            <w:pPr>
              <w:spacing w:line="360" w:lineRule="auto"/>
              <w:ind w:firstLine="482" w:firstLineChars="200"/>
              <w:rPr>
                <w:b/>
                <w:sz w:val="24"/>
                <w:u w:val="single"/>
              </w:rPr>
            </w:pPr>
            <w:r>
              <w:rPr>
                <w:rFonts w:hint="eastAsia"/>
                <w:b/>
                <w:sz w:val="24"/>
                <w:u w:val="single"/>
                <w:lang w:val="en-US" w:eastAsia="zh-CN"/>
              </w:rPr>
              <w:t>1）</w:t>
            </w:r>
            <w:r>
              <w:rPr>
                <w:rFonts w:hint="eastAsia"/>
                <w:b/>
                <w:sz w:val="24"/>
                <w:u w:val="single"/>
              </w:rPr>
              <w:t>风险识别</w:t>
            </w:r>
          </w:p>
          <w:p>
            <w:pPr>
              <w:pStyle w:val="66"/>
              <w:widowControl/>
              <w:spacing w:line="360" w:lineRule="auto"/>
              <w:ind w:firstLine="480"/>
              <w:rPr>
                <w:rFonts w:hAnsi="Times New Roman" w:cs="宋体"/>
                <w:color w:val="auto"/>
                <w:kern w:val="2"/>
                <w:sz w:val="24"/>
                <w:u w:val="single"/>
              </w:rPr>
            </w:pPr>
            <w:r>
              <w:rPr>
                <w:rFonts w:hint="eastAsia" w:hAnsi="Times New Roman" w:cs="宋体"/>
                <w:color w:val="auto"/>
                <w:kern w:val="2"/>
                <w:sz w:val="24"/>
                <w:u w:val="single"/>
              </w:rPr>
              <w:t>本项目主要风险事故类型为船舶相撞或翻船引起的船舶溢油事故，按《重大危险源辨别》（GB18218-20</w:t>
            </w:r>
            <w:r>
              <w:rPr>
                <w:rFonts w:hint="eastAsia" w:hAnsi="Times New Roman" w:cs="宋体"/>
                <w:color w:val="auto"/>
                <w:kern w:val="2"/>
                <w:sz w:val="24"/>
                <w:u w:val="single"/>
                <w:lang w:val="en-US" w:eastAsia="zh-CN"/>
              </w:rPr>
              <w:t>18</w:t>
            </w:r>
            <w:r>
              <w:rPr>
                <w:rFonts w:hint="eastAsia" w:hAnsi="Times New Roman" w:cs="宋体"/>
                <w:color w:val="auto"/>
                <w:kern w:val="2"/>
                <w:sz w:val="24"/>
                <w:u w:val="single"/>
              </w:rPr>
              <w:t>）、《职业性接触毒物危害程度分级》（GB50844-85）的相关规定，本项目建成后涉及的危险性物质为废机油与柴油。</w:t>
            </w:r>
          </w:p>
          <w:p>
            <w:pPr>
              <w:spacing w:line="360" w:lineRule="auto"/>
              <w:rPr>
                <w:b/>
                <w:sz w:val="24"/>
                <w:u w:val="single"/>
              </w:rPr>
            </w:pPr>
            <w:r>
              <w:rPr>
                <w:rFonts w:hint="eastAsia"/>
                <w:b/>
                <w:sz w:val="24"/>
                <w:u w:val="single"/>
              </w:rPr>
              <w:t>2、物质属性</w:t>
            </w:r>
          </w:p>
          <w:p>
            <w:pPr>
              <w:pStyle w:val="7"/>
              <w:widowControl/>
              <w:spacing w:before="0" w:after="0" w:line="360" w:lineRule="auto"/>
              <w:ind w:firstLine="480" w:firstLineChars="200"/>
              <w:rPr>
                <w:rFonts w:cs="宋体"/>
                <w:b w:val="0"/>
                <w:sz w:val="24"/>
                <w:u w:val="single"/>
              </w:rPr>
            </w:pPr>
            <w:r>
              <w:rPr>
                <w:rFonts w:hint="eastAsia" w:ascii="Times New Roman" w:hAnsi="Times New Roman" w:eastAsia="宋体" w:cs="宋体"/>
                <w:b w:val="0"/>
                <w:sz w:val="24"/>
                <w:szCs w:val="24"/>
                <w:u w:val="single"/>
              </w:rPr>
              <w:t>废机油：是所谓废矿物油，根据国家危险废物环境管理工作手册规定，废矿物油是从石油、煤炭、油页岩中提取和精炼，在开采、加工和使用过程中由于外在因素作用导致改变了原有的物理和化学性能，不能够继续被使用的矿物油。废矿物油特性见下表。</w:t>
            </w:r>
          </w:p>
          <w:p>
            <w:pPr>
              <w:jc w:val="center"/>
              <w:rPr>
                <w:rFonts w:cs="宋体"/>
                <w:b/>
                <w:sz w:val="24"/>
                <w:u w:val="single"/>
              </w:rPr>
            </w:pPr>
          </w:p>
          <w:p>
            <w:pPr>
              <w:jc w:val="center"/>
              <w:rPr>
                <w:b/>
                <w:szCs w:val="21"/>
                <w:u w:val="single"/>
              </w:rPr>
            </w:pPr>
            <w:r>
              <w:rPr>
                <w:rFonts w:hint="eastAsia" w:cs="宋体"/>
                <w:b/>
                <w:szCs w:val="21"/>
                <w:u w:val="single"/>
              </w:rPr>
              <w:t>表4-7废矿物油特性</w:t>
            </w:r>
          </w:p>
          <w:tbl>
            <w:tblPr>
              <w:tblStyle w:val="24"/>
              <w:tblW w:w="0" w:type="auto"/>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818"/>
              <w:gridCol w:w="5981"/>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2" w:hRule="atLeast"/>
              </w:trPr>
              <w:tc>
                <w:tcPr>
                  <w:tcW w:w="1818"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废矿物油性状</w:t>
                  </w:r>
                </w:p>
              </w:tc>
              <w:tc>
                <w:tcPr>
                  <w:tcW w:w="5981"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稍有粘性的棕色液体</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83" w:hRule="atLeast"/>
              </w:trPr>
              <w:tc>
                <w:tcPr>
                  <w:tcW w:w="1818"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溶解性</w:t>
                  </w:r>
                </w:p>
              </w:tc>
              <w:tc>
                <w:tcPr>
                  <w:tcW w:w="5981"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可混溶于乙醇</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83" w:hRule="atLeast"/>
              </w:trPr>
              <w:tc>
                <w:tcPr>
                  <w:tcW w:w="1818"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熔点（℃）</w:t>
                  </w:r>
                </w:p>
              </w:tc>
              <w:tc>
                <w:tcPr>
                  <w:tcW w:w="5981"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~18</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83" w:hRule="atLeast"/>
              </w:trPr>
              <w:tc>
                <w:tcPr>
                  <w:tcW w:w="1818"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沸点（℃）</w:t>
                  </w:r>
                </w:p>
              </w:tc>
              <w:tc>
                <w:tcPr>
                  <w:tcW w:w="5981"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282~338</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83" w:hRule="atLeast"/>
              </w:trPr>
              <w:tc>
                <w:tcPr>
                  <w:tcW w:w="1818"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相对密度（水＝1）</w:t>
                  </w:r>
                </w:p>
              </w:tc>
              <w:tc>
                <w:tcPr>
                  <w:tcW w:w="5981"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0.87~0.9</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83" w:hRule="atLeast"/>
              </w:trPr>
              <w:tc>
                <w:tcPr>
                  <w:tcW w:w="1818"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饱和蒸汽压（kPa）</w:t>
                  </w:r>
                </w:p>
              </w:tc>
              <w:tc>
                <w:tcPr>
                  <w:tcW w:w="5981"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0.67（25℃，纯品）</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83" w:hRule="atLeast"/>
              </w:trPr>
              <w:tc>
                <w:tcPr>
                  <w:tcW w:w="1818"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燃烧性</w:t>
                  </w:r>
                </w:p>
              </w:tc>
              <w:tc>
                <w:tcPr>
                  <w:tcW w:w="5981"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不燃</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83" w:hRule="atLeast"/>
              </w:trPr>
              <w:tc>
                <w:tcPr>
                  <w:tcW w:w="1818"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燃烧分解产物</w:t>
                  </w:r>
                </w:p>
              </w:tc>
              <w:tc>
                <w:tcPr>
                  <w:tcW w:w="5981"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一氧化碳、二氧化碳</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83" w:hRule="atLeast"/>
              </w:trPr>
              <w:tc>
                <w:tcPr>
                  <w:tcW w:w="1818"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闪点（℃）</w:t>
                  </w:r>
                </w:p>
              </w:tc>
              <w:tc>
                <w:tcPr>
                  <w:tcW w:w="5981"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55</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PrEx>
              <w:trPr>
                <w:trHeight w:val="283" w:hRule="atLeast"/>
              </w:trPr>
              <w:tc>
                <w:tcPr>
                  <w:tcW w:w="1818"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聚合危害</w:t>
                  </w:r>
                </w:p>
              </w:tc>
              <w:tc>
                <w:tcPr>
                  <w:tcW w:w="5981"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不聚合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6" w:hRule="atLeast"/>
              </w:trPr>
              <w:tc>
                <w:tcPr>
                  <w:tcW w:w="1818"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危险特性</w:t>
                  </w:r>
                </w:p>
              </w:tc>
              <w:tc>
                <w:tcPr>
                  <w:tcW w:w="5981"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遇明火、高热或与氧化剂接触，有引起燃烧爆炸的危险。若遇高热，容器内压增大，有开裂和爆炸的危险。</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809" w:hRule="atLeast"/>
              </w:trPr>
              <w:tc>
                <w:tcPr>
                  <w:tcW w:w="1818"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灭火方法</w:t>
                  </w:r>
                </w:p>
              </w:tc>
              <w:tc>
                <w:tcPr>
                  <w:tcW w:w="5981"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消防人员必须佩戴防毒面具、穿全身消防服，在上风向灭火。尽可能将容器从火场移至空旷处。喷水保持火场容器冷却，直至灭火结束。在火场中的容器若已变色或从安全泄压装置中产生声音，必须马上撤离。</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PrEx>
              <w:trPr>
                <w:trHeight w:val="90" w:hRule="atLeast"/>
              </w:trPr>
              <w:tc>
                <w:tcPr>
                  <w:tcW w:w="1818"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贮存方法</w:t>
                  </w:r>
                </w:p>
              </w:tc>
              <w:tc>
                <w:tcPr>
                  <w:tcW w:w="5981"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储存于阴凉、通风的库房内，远离火种、热源，应与氧化剂、卤素分开存放，切忌混储。采用防爆型照明、通风设施；禁止使用易产生火花的机械设备和工具。储区应备有泄漏应急处理设备工具和合适的收容材料。</w:t>
                  </w:r>
                </w:p>
              </w:tc>
            </w:tr>
          </w:tbl>
          <w:p>
            <w:pPr>
              <w:jc w:val="center"/>
              <w:rPr>
                <w:b/>
                <w:szCs w:val="21"/>
                <w:u w:val="single"/>
              </w:rPr>
            </w:pPr>
            <w:r>
              <w:rPr>
                <w:rFonts w:hint="eastAsia" w:cs="宋体"/>
                <w:b/>
                <w:szCs w:val="21"/>
                <w:u w:val="single"/>
              </w:rPr>
              <w:t>表4-8柴油特性</w:t>
            </w:r>
          </w:p>
          <w:tbl>
            <w:tblPr>
              <w:tblStyle w:val="24"/>
              <w:tblW w:w="7659"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785"/>
              <w:gridCol w:w="5874"/>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PrEx>
              <w:trPr>
                <w:trHeight w:val="285" w:hRule="atLeast"/>
                <w:jc w:val="center"/>
              </w:trPr>
              <w:tc>
                <w:tcPr>
                  <w:tcW w:w="1785" w:type="dxa"/>
                  <w:noWrap/>
                  <w:vAlign w:val="center"/>
                </w:tcPr>
                <w:p>
                  <w:pPr>
                    <w:jc w:val="center"/>
                    <w:rPr>
                      <w:szCs w:val="21"/>
                      <w:u w:val="single"/>
                    </w:rPr>
                  </w:pPr>
                  <w:r>
                    <w:rPr>
                      <w:szCs w:val="21"/>
                      <w:u w:val="single"/>
                    </w:rPr>
                    <w:t>柴油性状</w:t>
                  </w:r>
                </w:p>
              </w:tc>
              <w:tc>
                <w:tcPr>
                  <w:tcW w:w="5874" w:type="dxa"/>
                  <w:noWrap/>
                  <w:vAlign w:val="center"/>
                </w:tcPr>
                <w:p>
                  <w:pPr>
                    <w:jc w:val="center"/>
                    <w:rPr>
                      <w:szCs w:val="21"/>
                      <w:u w:val="single"/>
                    </w:rPr>
                  </w:pPr>
                  <w:r>
                    <w:rPr>
                      <w:szCs w:val="21"/>
                      <w:u w:val="single"/>
                    </w:rPr>
                    <w:t>稍有粘性的棕色液体</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68" w:hRule="atLeast"/>
                <w:jc w:val="center"/>
              </w:trPr>
              <w:tc>
                <w:tcPr>
                  <w:tcW w:w="1785" w:type="dxa"/>
                  <w:noWrap/>
                  <w:vAlign w:val="center"/>
                </w:tcPr>
                <w:p>
                  <w:pPr>
                    <w:jc w:val="center"/>
                    <w:rPr>
                      <w:szCs w:val="21"/>
                      <w:u w:val="single"/>
                    </w:rPr>
                  </w:pPr>
                  <w:r>
                    <w:rPr>
                      <w:szCs w:val="21"/>
                      <w:u w:val="single"/>
                    </w:rPr>
                    <w:t>溶解性</w:t>
                  </w:r>
                </w:p>
              </w:tc>
              <w:tc>
                <w:tcPr>
                  <w:tcW w:w="5874" w:type="dxa"/>
                  <w:noWrap/>
                  <w:vAlign w:val="center"/>
                </w:tcPr>
                <w:p>
                  <w:pPr>
                    <w:jc w:val="center"/>
                    <w:rPr>
                      <w:szCs w:val="21"/>
                      <w:u w:val="single"/>
                    </w:rPr>
                  </w:pPr>
                  <w:r>
                    <w:rPr>
                      <w:szCs w:val="21"/>
                      <w:u w:val="single"/>
                    </w:rPr>
                    <w:t>不溶于水，能与多种有机溶剂相混溶</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68" w:hRule="atLeast"/>
                <w:jc w:val="center"/>
              </w:trPr>
              <w:tc>
                <w:tcPr>
                  <w:tcW w:w="1785" w:type="dxa"/>
                  <w:noWrap/>
                  <w:vAlign w:val="center"/>
                </w:tcPr>
                <w:p>
                  <w:pPr>
                    <w:jc w:val="center"/>
                    <w:rPr>
                      <w:szCs w:val="21"/>
                      <w:u w:val="single"/>
                    </w:rPr>
                  </w:pPr>
                  <w:r>
                    <w:rPr>
                      <w:szCs w:val="21"/>
                      <w:u w:val="single"/>
                    </w:rPr>
                    <w:t>熔点（℃）</w:t>
                  </w:r>
                </w:p>
              </w:tc>
              <w:tc>
                <w:tcPr>
                  <w:tcW w:w="5874" w:type="dxa"/>
                  <w:noWrap/>
                  <w:vAlign w:val="center"/>
                </w:tcPr>
                <w:p>
                  <w:pPr>
                    <w:jc w:val="center"/>
                    <w:rPr>
                      <w:szCs w:val="21"/>
                      <w:u w:val="single"/>
                    </w:rPr>
                  </w:pPr>
                  <w:r>
                    <w:rPr>
                      <w:szCs w:val="21"/>
                      <w:u w:val="single"/>
                    </w:rPr>
                    <w:t>~18</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68" w:hRule="atLeast"/>
                <w:jc w:val="center"/>
              </w:trPr>
              <w:tc>
                <w:tcPr>
                  <w:tcW w:w="1785" w:type="dxa"/>
                  <w:noWrap/>
                  <w:vAlign w:val="center"/>
                </w:tcPr>
                <w:p>
                  <w:pPr>
                    <w:jc w:val="center"/>
                    <w:rPr>
                      <w:szCs w:val="21"/>
                      <w:u w:val="single"/>
                    </w:rPr>
                  </w:pPr>
                  <w:r>
                    <w:rPr>
                      <w:szCs w:val="21"/>
                      <w:u w:val="single"/>
                    </w:rPr>
                    <w:t>沸点（℃）</w:t>
                  </w:r>
                </w:p>
              </w:tc>
              <w:tc>
                <w:tcPr>
                  <w:tcW w:w="5874" w:type="dxa"/>
                  <w:noWrap/>
                  <w:vAlign w:val="center"/>
                </w:tcPr>
                <w:p>
                  <w:pPr>
                    <w:jc w:val="center"/>
                    <w:rPr>
                      <w:szCs w:val="21"/>
                      <w:u w:val="single"/>
                    </w:rPr>
                  </w:pPr>
                  <w:r>
                    <w:rPr>
                      <w:szCs w:val="21"/>
                      <w:u w:val="single"/>
                    </w:rPr>
                    <w:t>282～338</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PrEx>
              <w:trPr>
                <w:trHeight w:val="268" w:hRule="atLeast"/>
                <w:jc w:val="center"/>
              </w:trPr>
              <w:tc>
                <w:tcPr>
                  <w:tcW w:w="1785" w:type="dxa"/>
                  <w:noWrap/>
                  <w:vAlign w:val="center"/>
                </w:tcPr>
                <w:p>
                  <w:pPr>
                    <w:jc w:val="center"/>
                    <w:rPr>
                      <w:szCs w:val="21"/>
                      <w:u w:val="single"/>
                    </w:rPr>
                  </w:pPr>
                  <w:r>
                    <w:rPr>
                      <w:szCs w:val="21"/>
                      <w:u w:val="single"/>
                    </w:rPr>
                    <w:t>相对密度（水＝1）</w:t>
                  </w:r>
                </w:p>
              </w:tc>
              <w:tc>
                <w:tcPr>
                  <w:tcW w:w="5874" w:type="dxa"/>
                  <w:noWrap/>
                  <w:vAlign w:val="center"/>
                </w:tcPr>
                <w:p>
                  <w:pPr>
                    <w:jc w:val="center"/>
                    <w:rPr>
                      <w:szCs w:val="21"/>
                      <w:u w:val="single"/>
                    </w:rPr>
                  </w:pPr>
                  <w:r>
                    <w:rPr>
                      <w:szCs w:val="21"/>
                      <w:u w:val="single"/>
                    </w:rPr>
                    <w:t>0.87～0.90</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68" w:hRule="atLeast"/>
                <w:jc w:val="center"/>
              </w:trPr>
              <w:tc>
                <w:tcPr>
                  <w:tcW w:w="1785" w:type="dxa"/>
                  <w:noWrap/>
                  <w:vAlign w:val="center"/>
                </w:tcPr>
                <w:p>
                  <w:pPr>
                    <w:jc w:val="center"/>
                    <w:rPr>
                      <w:szCs w:val="21"/>
                      <w:u w:val="single"/>
                    </w:rPr>
                  </w:pPr>
                  <w:r>
                    <w:rPr>
                      <w:szCs w:val="21"/>
                      <w:u w:val="single"/>
                    </w:rPr>
                    <w:t>燃烧性</w:t>
                  </w:r>
                </w:p>
              </w:tc>
              <w:tc>
                <w:tcPr>
                  <w:tcW w:w="5874" w:type="dxa"/>
                  <w:noWrap/>
                  <w:vAlign w:val="center"/>
                </w:tcPr>
                <w:p>
                  <w:pPr>
                    <w:jc w:val="center"/>
                    <w:rPr>
                      <w:szCs w:val="21"/>
                      <w:u w:val="single"/>
                    </w:rPr>
                  </w:pPr>
                  <w:r>
                    <w:rPr>
                      <w:szCs w:val="21"/>
                      <w:u w:val="single"/>
                    </w:rPr>
                    <w:t>易燃</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68" w:hRule="atLeast"/>
                <w:jc w:val="center"/>
              </w:trPr>
              <w:tc>
                <w:tcPr>
                  <w:tcW w:w="1785" w:type="dxa"/>
                  <w:noWrap/>
                  <w:vAlign w:val="center"/>
                </w:tcPr>
                <w:p>
                  <w:pPr>
                    <w:jc w:val="center"/>
                    <w:rPr>
                      <w:szCs w:val="21"/>
                      <w:u w:val="single"/>
                    </w:rPr>
                  </w:pPr>
                  <w:r>
                    <w:rPr>
                      <w:szCs w:val="21"/>
                      <w:u w:val="single"/>
                    </w:rPr>
                    <w:t>燃烧分解产物</w:t>
                  </w:r>
                </w:p>
              </w:tc>
              <w:tc>
                <w:tcPr>
                  <w:tcW w:w="5874" w:type="dxa"/>
                  <w:noWrap/>
                  <w:vAlign w:val="center"/>
                </w:tcPr>
                <w:p>
                  <w:pPr>
                    <w:jc w:val="center"/>
                    <w:rPr>
                      <w:szCs w:val="21"/>
                      <w:u w:val="single"/>
                    </w:rPr>
                  </w:pPr>
                  <w:r>
                    <w:rPr>
                      <w:szCs w:val="21"/>
                      <w:u w:val="single"/>
                    </w:rPr>
                    <w:t>一氧化碳、二氧化碳</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68" w:hRule="atLeast"/>
                <w:jc w:val="center"/>
              </w:trPr>
              <w:tc>
                <w:tcPr>
                  <w:tcW w:w="1785" w:type="dxa"/>
                  <w:noWrap/>
                  <w:vAlign w:val="center"/>
                </w:tcPr>
                <w:p>
                  <w:pPr>
                    <w:jc w:val="center"/>
                    <w:rPr>
                      <w:szCs w:val="21"/>
                      <w:u w:val="single"/>
                    </w:rPr>
                  </w:pPr>
                  <w:r>
                    <w:rPr>
                      <w:szCs w:val="21"/>
                      <w:u w:val="single"/>
                    </w:rPr>
                    <w:t>闪点（℃）</w:t>
                  </w:r>
                </w:p>
              </w:tc>
              <w:tc>
                <w:tcPr>
                  <w:tcW w:w="5874" w:type="dxa"/>
                  <w:noWrap/>
                  <w:vAlign w:val="center"/>
                </w:tcPr>
                <w:p>
                  <w:pPr>
                    <w:jc w:val="center"/>
                    <w:rPr>
                      <w:szCs w:val="21"/>
                      <w:u w:val="single"/>
                    </w:rPr>
                  </w:pPr>
                  <w:r>
                    <w:rPr>
                      <w:rFonts w:hint="eastAsia"/>
                      <w:szCs w:val="21"/>
                      <w:u w:val="single"/>
                    </w:rPr>
                    <w:t>38</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68" w:hRule="atLeast"/>
                <w:jc w:val="center"/>
              </w:trPr>
              <w:tc>
                <w:tcPr>
                  <w:tcW w:w="1785" w:type="dxa"/>
                  <w:noWrap/>
                  <w:vAlign w:val="center"/>
                </w:tcPr>
                <w:p>
                  <w:pPr>
                    <w:jc w:val="center"/>
                    <w:rPr>
                      <w:szCs w:val="21"/>
                      <w:u w:val="single"/>
                    </w:rPr>
                  </w:pPr>
                  <w:r>
                    <w:rPr>
                      <w:szCs w:val="21"/>
                      <w:u w:val="single"/>
                    </w:rPr>
                    <w:t>聚合危害</w:t>
                  </w:r>
                </w:p>
              </w:tc>
              <w:tc>
                <w:tcPr>
                  <w:tcW w:w="5874" w:type="dxa"/>
                  <w:noWrap/>
                  <w:vAlign w:val="center"/>
                </w:tcPr>
                <w:p>
                  <w:pPr>
                    <w:jc w:val="center"/>
                    <w:rPr>
                      <w:szCs w:val="21"/>
                      <w:u w:val="single"/>
                    </w:rPr>
                  </w:pPr>
                  <w:r>
                    <w:rPr>
                      <w:szCs w:val="21"/>
                      <w:u w:val="single"/>
                    </w:rPr>
                    <w:t>不聚合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PrEx>
              <w:trPr>
                <w:trHeight w:val="507" w:hRule="atLeast"/>
                <w:jc w:val="center"/>
              </w:trPr>
              <w:tc>
                <w:tcPr>
                  <w:tcW w:w="1785" w:type="dxa"/>
                  <w:noWrap/>
                  <w:vAlign w:val="center"/>
                </w:tcPr>
                <w:p>
                  <w:pPr>
                    <w:jc w:val="center"/>
                    <w:rPr>
                      <w:szCs w:val="21"/>
                      <w:u w:val="single"/>
                    </w:rPr>
                  </w:pPr>
                  <w:r>
                    <w:rPr>
                      <w:szCs w:val="21"/>
                      <w:u w:val="single"/>
                    </w:rPr>
                    <w:t>危险特性</w:t>
                  </w:r>
                </w:p>
              </w:tc>
              <w:tc>
                <w:tcPr>
                  <w:tcW w:w="5874" w:type="dxa"/>
                  <w:noWrap/>
                  <w:vAlign w:val="center"/>
                </w:tcPr>
                <w:p>
                  <w:pPr>
                    <w:jc w:val="center"/>
                    <w:rPr>
                      <w:szCs w:val="21"/>
                      <w:u w:val="single"/>
                    </w:rPr>
                  </w:pPr>
                  <w:r>
                    <w:rPr>
                      <w:szCs w:val="21"/>
                      <w:u w:val="single"/>
                    </w:rPr>
                    <w:t>遇明火、高热，有引起燃烧爆炸的危险。若遇高热，容器内压增大，有开裂和爆炸的危险。</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PrEx>
              <w:trPr>
                <w:trHeight w:val="761" w:hRule="atLeast"/>
                <w:jc w:val="center"/>
              </w:trPr>
              <w:tc>
                <w:tcPr>
                  <w:tcW w:w="1785" w:type="dxa"/>
                  <w:noWrap/>
                  <w:vAlign w:val="center"/>
                </w:tcPr>
                <w:p>
                  <w:pPr>
                    <w:jc w:val="center"/>
                    <w:rPr>
                      <w:szCs w:val="21"/>
                      <w:u w:val="single"/>
                    </w:rPr>
                  </w:pPr>
                  <w:r>
                    <w:rPr>
                      <w:szCs w:val="21"/>
                      <w:u w:val="single"/>
                    </w:rPr>
                    <w:t>灭火方法</w:t>
                  </w:r>
                </w:p>
              </w:tc>
              <w:tc>
                <w:tcPr>
                  <w:tcW w:w="5874" w:type="dxa"/>
                  <w:noWrap/>
                  <w:vAlign w:val="center"/>
                </w:tcPr>
                <w:p>
                  <w:pPr>
                    <w:jc w:val="center"/>
                    <w:rPr>
                      <w:szCs w:val="21"/>
                      <w:u w:val="single"/>
                    </w:rPr>
                  </w:pPr>
                  <w:r>
                    <w:rPr>
                      <w:szCs w:val="21"/>
                      <w:u w:val="single"/>
                    </w:rPr>
                    <w:t>消防人员须戴防毒面具，穿全身消防服，在上风向灭火。尽可能将容器从火场移至空旷处。喷水保持火场容器冷却，直至灭火结束。处在火场中的容器若已变色或从安全泄压装置中产生声音，必须马上撤离。</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85" w:hRule="atLeast"/>
                <w:jc w:val="center"/>
              </w:trPr>
              <w:tc>
                <w:tcPr>
                  <w:tcW w:w="1785" w:type="dxa"/>
                  <w:noWrap/>
                  <w:vAlign w:val="center"/>
                </w:tcPr>
                <w:p>
                  <w:pPr>
                    <w:jc w:val="center"/>
                    <w:rPr>
                      <w:szCs w:val="21"/>
                      <w:u w:val="single"/>
                    </w:rPr>
                  </w:pPr>
                  <w:r>
                    <w:rPr>
                      <w:szCs w:val="21"/>
                      <w:u w:val="single"/>
                    </w:rPr>
                    <w:t>贮存方法</w:t>
                  </w:r>
                </w:p>
              </w:tc>
              <w:tc>
                <w:tcPr>
                  <w:tcW w:w="5874" w:type="dxa"/>
                  <w:noWrap/>
                  <w:vAlign w:val="center"/>
                </w:tcPr>
                <w:p>
                  <w:pPr>
                    <w:jc w:val="center"/>
                    <w:rPr>
                      <w:szCs w:val="21"/>
                      <w:u w:val="single"/>
                    </w:rPr>
                  </w:pPr>
                  <w:r>
                    <w:rPr>
                      <w:szCs w:val="21"/>
                      <w:u w:val="single"/>
                    </w:rPr>
                    <w:t>储存于阴凉、通风的库房。远离火种、热源。应与氧化剂、卤素分开存放，切忌混储。采用防爆型照明、通风设施。禁止使用易产生火花的机械设备和工具。储区应备有泄漏应急处理设备和合适的收容材料。</w:t>
                  </w:r>
                </w:p>
              </w:tc>
            </w:tr>
          </w:tbl>
          <w:p>
            <w:pPr>
              <w:spacing w:line="360" w:lineRule="auto"/>
              <w:rPr>
                <w:b/>
                <w:sz w:val="24"/>
                <w:u w:val="single"/>
              </w:rPr>
            </w:pPr>
            <w:r>
              <w:rPr>
                <w:rFonts w:hint="eastAsia"/>
                <w:b/>
                <w:sz w:val="24"/>
                <w:u w:val="single"/>
              </w:rPr>
              <w:t>3、风险评价等级</w:t>
            </w:r>
          </w:p>
          <w:p>
            <w:pPr>
              <w:autoSpaceDE w:val="0"/>
              <w:autoSpaceDN w:val="0"/>
              <w:spacing w:line="360" w:lineRule="auto"/>
              <w:ind w:firstLine="480"/>
              <w:rPr>
                <w:sz w:val="24"/>
                <w:szCs w:val="24"/>
                <w:u w:val="single"/>
              </w:rPr>
            </w:pPr>
            <w:r>
              <w:rPr>
                <w:sz w:val="24"/>
                <w:szCs w:val="24"/>
                <w:u w:val="single"/>
              </w:rPr>
              <w:t>根据HJ/T169-2004《建设项目环境风险评价技术导则》、《危险化学品重大危险源辨识》(GB18218-20</w:t>
            </w:r>
            <w:r>
              <w:rPr>
                <w:rFonts w:hint="eastAsia"/>
                <w:sz w:val="24"/>
                <w:szCs w:val="24"/>
                <w:u w:val="single"/>
                <w:lang w:val="en-US" w:eastAsia="zh-CN"/>
              </w:rPr>
              <w:t>18</w:t>
            </w:r>
            <w:r>
              <w:rPr>
                <w:sz w:val="24"/>
                <w:szCs w:val="24"/>
                <w:u w:val="single"/>
              </w:rPr>
              <w:t>)，生产、加工、运输、使用或贮存危险性物质，且危险性物质的数量等于或超过临界量的功能单元，构成重大危险源。本项目</w:t>
            </w:r>
            <w:r>
              <w:rPr>
                <w:bCs/>
                <w:sz w:val="24"/>
                <w:szCs w:val="24"/>
                <w:u w:val="single"/>
              </w:rPr>
              <w:t>重大危险源辨识下表。</w:t>
            </w:r>
          </w:p>
          <w:p>
            <w:pPr>
              <w:jc w:val="center"/>
              <w:rPr>
                <w:rFonts w:cs="宋体"/>
                <w:b/>
                <w:sz w:val="24"/>
                <w:u w:val="single"/>
              </w:rPr>
            </w:pPr>
            <w:r>
              <w:rPr>
                <w:rFonts w:hint="eastAsia" w:cs="宋体"/>
                <w:b/>
                <w:sz w:val="24"/>
                <w:u w:val="single"/>
              </w:rPr>
              <w:t>表4-9 重大危险源辨识一览表</w:t>
            </w:r>
          </w:p>
          <w:tbl>
            <w:tblPr>
              <w:tblStyle w:val="24"/>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69"/>
              <w:gridCol w:w="2010"/>
              <w:gridCol w:w="1749"/>
              <w:gridCol w:w="859"/>
              <w:gridCol w:w="221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969" w:type="dxa"/>
                  <w:noWrap/>
                  <w:vAlign w:val="center"/>
                </w:tcPr>
                <w:p>
                  <w:pPr>
                    <w:jc w:val="center"/>
                    <w:rPr>
                      <w:szCs w:val="21"/>
                      <w:u w:val="single"/>
                    </w:rPr>
                  </w:pPr>
                  <w:r>
                    <w:rPr>
                      <w:rFonts w:hAnsi="宋体"/>
                      <w:szCs w:val="21"/>
                      <w:u w:val="single"/>
                    </w:rPr>
                    <w:t>名称</w:t>
                  </w:r>
                </w:p>
              </w:tc>
              <w:tc>
                <w:tcPr>
                  <w:tcW w:w="2010" w:type="dxa"/>
                  <w:noWrap/>
                  <w:vAlign w:val="center"/>
                </w:tcPr>
                <w:p>
                  <w:pPr>
                    <w:jc w:val="center"/>
                    <w:rPr>
                      <w:color w:val="FF0000"/>
                      <w:szCs w:val="21"/>
                      <w:u w:val="single"/>
                    </w:rPr>
                  </w:pPr>
                  <w:r>
                    <w:rPr>
                      <w:rFonts w:hAnsi="宋体"/>
                      <w:color w:val="auto"/>
                      <w:szCs w:val="21"/>
                      <w:u w:val="single"/>
                    </w:rPr>
                    <w:t>最大存储数量</w:t>
                  </w:r>
                  <w:r>
                    <w:rPr>
                      <w:color w:val="auto"/>
                      <w:szCs w:val="21"/>
                      <w:u w:val="single"/>
                    </w:rPr>
                    <w:t>qi</w:t>
                  </w:r>
                  <w:r>
                    <w:rPr>
                      <w:rFonts w:hAnsi="宋体"/>
                      <w:color w:val="auto"/>
                      <w:szCs w:val="21"/>
                      <w:u w:val="single"/>
                    </w:rPr>
                    <w:t>（</w:t>
                  </w:r>
                  <w:r>
                    <w:rPr>
                      <w:color w:val="auto"/>
                      <w:szCs w:val="21"/>
                      <w:u w:val="single"/>
                    </w:rPr>
                    <w:t>t</w:t>
                  </w:r>
                  <w:r>
                    <w:rPr>
                      <w:rFonts w:hAnsi="宋体"/>
                      <w:color w:val="auto"/>
                      <w:szCs w:val="21"/>
                      <w:u w:val="single"/>
                    </w:rPr>
                    <w:t>）</w:t>
                  </w:r>
                </w:p>
              </w:tc>
              <w:tc>
                <w:tcPr>
                  <w:tcW w:w="1749" w:type="dxa"/>
                  <w:noWrap/>
                  <w:vAlign w:val="center"/>
                </w:tcPr>
                <w:p>
                  <w:pPr>
                    <w:jc w:val="center"/>
                    <w:rPr>
                      <w:szCs w:val="21"/>
                      <w:u w:val="single"/>
                    </w:rPr>
                  </w:pPr>
                  <w:r>
                    <w:rPr>
                      <w:rFonts w:hAnsi="宋体"/>
                      <w:szCs w:val="21"/>
                      <w:u w:val="single"/>
                    </w:rPr>
                    <w:t>临界量</w:t>
                  </w:r>
                  <w:r>
                    <w:rPr>
                      <w:szCs w:val="21"/>
                      <w:u w:val="single"/>
                    </w:rPr>
                    <w:t>Qi*</w:t>
                  </w:r>
                  <w:r>
                    <w:rPr>
                      <w:rFonts w:hAnsi="宋体"/>
                      <w:szCs w:val="21"/>
                      <w:u w:val="single"/>
                    </w:rPr>
                    <w:t>（</w:t>
                  </w:r>
                  <w:r>
                    <w:rPr>
                      <w:szCs w:val="21"/>
                      <w:u w:val="single"/>
                    </w:rPr>
                    <w:t>t</w:t>
                  </w:r>
                  <w:r>
                    <w:rPr>
                      <w:rFonts w:hAnsi="宋体"/>
                      <w:szCs w:val="21"/>
                      <w:u w:val="single"/>
                    </w:rPr>
                    <w:t>）</w:t>
                  </w:r>
                </w:p>
              </w:tc>
              <w:tc>
                <w:tcPr>
                  <w:tcW w:w="859" w:type="dxa"/>
                  <w:noWrap/>
                  <w:vAlign w:val="center"/>
                </w:tcPr>
                <w:p>
                  <w:pPr>
                    <w:jc w:val="center"/>
                    <w:rPr>
                      <w:szCs w:val="21"/>
                      <w:u w:val="single"/>
                    </w:rPr>
                  </w:pPr>
                  <w:r>
                    <w:rPr>
                      <w:szCs w:val="21"/>
                      <w:u w:val="single"/>
                    </w:rPr>
                    <w:t>qi/Qi</w:t>
                  </w:r>
                </w:p>
              </w:tc>
              <w:tc>
                <w:tcPr>
                  <w:tcW w:w="2211" w:type="dxa"/>
                  <w:noWrap/>
                  <w:vAlign w:val="center"/>
                </w:tcPr>
                <w:p>
                  <w:pPr>
                    <w:jc w:val="center"/>
                    <w:rPr>
                      <w:szCs w:val="21"/>
                      <w:u w:val="single"/>
                    </w:rPr>
                  </w:pPr>
                  <w:r>
                    <w:rPr>
                      <w:rFonts w:hAnsi="宋体"/>
                      <w:szCs w:val="21"/>
                      <w:u w:val="single"/>
                    </w:rPr>
                    <w:t>是否构成重大危险源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1" w:hRule="atLeast"/>
              </w:trPr>
              <w:tc>
                <w:tcPr>
                  <w:tcW w:w="969" w:type="dxa"/>
                  <w:noWrap/>
                  <w:vAlign w:val="center"/>
                </w:tcPr>
                <w:p>
                  <w:pPr>
                    <w:jc w:val="center"/>
                    <w:rPr>
                      <w:szCs w:val="21"/>
                      <w:u w:val="single"/>
                    </w:rPr>
                  </w:pPr>
                  <w:r>
                    <w:rPr>
                      <w:rFonts w:hint="eastAsia" w:hAnsi="宋体"/>
                      <w:szCs w:val="21"/>
                      <w:u w:val="single"/>
                    </w:rPr>
                    <w:t>废</w:t>
                  </w:r>
                  <w:r>
                    <w:rPr>
                      <w:rFonts w:hAnsi="宋体"/>
                      <w:szCs w:val="21"/>
                      <w:u w:val="single"/>
                    </w:rPr>
                    <w:t>机油</w:t>
                  </w:r>
                </w:p>
              </w:tc>
              <w:tc>
                <w:tcPr>
                  <w:tcW w:w="2010" w:type="dxa"/>
                  <w:noWrap/>
                  <w:vAlign w:val="center"/>
                </w:tcPr>
                <w:p>
                  <w:pPr>
                    <w:jc w:val="center"/>
                    <w:rPr>
                      <w:rFonts w:hint="default" w:eastAsia="宋体"/>
                      <w:szCs w:val="21"/>
                      <w:u w:val="single"/>
                      <w:lang w:val="en-US" w:eastAsia="zh-CN"/>
                    </w:rPr>
                  </w:pPr>
                  <w:r>
                    <w:rPr>
                      <w:rFonts w:hint="eastAsia"/>
                      <w:szCs w:val="21"/>
                      <w:u w:val="single"/>
                      <w:lang w:val="en-US" w:eastAsia="zh-CN"/>
                    </w:rPr>
                    <w:t>50</w:t>
                  </w:r>
                </w:p>
              </w:tc>
              <w:tc>
                <w:tcPr>
                  <w:tcW w:w="1749" w:type="dxa"/>
                  <w:noWrap/>
                  <w:vAlign w:val="center"/>
                </w:tcPr>
                <w:p>
                  <w:pPr>
                    <w:jc w:val="center"/>
                    <w:rPr>
                      <w:rFonts w:hint="default" w:eastAsia="宋体"/>
                      <w:szCs w:val="21"/>
                      <w:u w:val="single"/>
                      <w:lang w:val="en-US" w:eastAsia="zh-CN"/>
                    </w:rPr>
                  </w:pPr>
                  <w:r>
                    <w:rPr>
                      <w:rFonts w:hint="eastAsia"/>
                      <w:szCs w:val="21"/>
                      <w:u w:val="single"/>
                      <w:lang w:val="en-US" w:eastAsia="zh-CN"/>
                    </w:rPr>
                    <w:t>2500</w:t>
                  </w:r>
                </w:p>
              </w:tc>
              <w:tc>
                <w:tcPr>
                  <w:tcW w:w="859" w:type="dxa"/>
                  <w:noWrap/>
                  <w:vAlign w:val="center"/>
                </w:tcPr>
                <w:p>
                  <w:pPr>
                    <w:jc w:val="center"/>
                    <w:rPr>
                      <w:rFonts w:hint="default" w:eastAsia="宋体"/>
                      <w:szCs w:val="21"/>
                      <w:u w:val="single"/>
                      <w:lang w:val="en-US" w:eastAsia="zh-CN"/>
                    </w:rPr>
                  </w:pPr>
                  <w:r>
                    <w:rPr>
                      <w:rFonts w:hint="eastAsia"/>
                      <w:szCs w:val="21"/>
                      <w:u w:val="single"/>
                    </w:rPr>
                    <w:t>0.</w:t>
                  </w:r>
                  <w:r>
                    <w:rPr>
                      <w:rFonts w:hint="eastAsia"/>
                      <w:szCs w:val="21"/>
                      <w:u w:val="single"/>
                      <w:lang w:val="en-US" w:eastAsia="zh-CN"/>
                    </w:rPr>
                    <w:t>02</w:t>
                  </w:r>
                </w:p>
              </w:tc>
              <w:tc>
                <w:tcPr>
                  <w:tcW w:w="2211" w:type="dxa"/>
                  <w:noWrap/>
                  <w:vAlign w:val="center"/>
                </w:tcPr>
                <w:p>
                  <w:pPr>
                    <w:jc w:val="center"/>
                    <w:rPr>
                      <w:szCs w:val="21"/>
                      <w:u w:val="single"/>
                    </w:rPr>
                  </w:pPr>
                  <w:r>
                    <w:rPr>
                      <w:rFonts w:hAnsi="宋体"/>
                      <w:szCs w:val="21"/>
                      <w:u w:val="single"/>
                    </w:rPr>
                    <w:t>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69" w:type="dxa"/>
                  <w:noWrap/>
                  <w:vAlign w:val="center"/>
                </w:tcPr>
                <w:p>
                  <w:pPr>
                    <w:jc w:val="center"/>
                    <w:rPr>
                      <w:szCs w:val="21"/>
                      <w:u w:val="single"/>
                    </w:rPr>
                  </w:pPr>
                  <w:r>
                    <w:rPr>
                      <w:rFonts w:hAnsi="宋体"/>
                      <w:szCs w:val="21"/>
                      <w:u w:val="single"/>
                    </w:rPr>
                    <w:t>柴油</w:t>
                  </w:r>
                </w:p>
              </w:tc>
              <w:tc>
                <w:tcPr>
                  <w:tcW w:w="2010" w:type="dxa"/>
                  <w:noWrap/>
                  <w:vAlign w:val="center"/>
                </w:tcPr>
                <w:p>
                  <w:pPr>
                    <w:jc w:val="center"/>
                    <w:rPr>
                      <w:rFonts w:hint="eastAsia" w:eastAsia="宋体"/>
                      <w:szCs w:val="21"/>
                      <w:u w:val="single"/>
                      <w:lang w:eastAsia="zh-CN"/>
                    </w:rPr>
                  </w:pPr>
                  <w:r>
                    <w:rPr>
                      <w:rFonts w:hint="eastAsia"/>
                      <w:szCs w:val="21"/>
                      <w:u w:val="single"/>
                      <w:lang w:val="en-US" w:eastAsia="zh-CN"/>
                    </w:rPr>
                    <w:t>3</w:t>
                  </w:r>
                </w:p>
              </w:tc>
              <w:tc>
                <w:tcPr>
                  <w:tcW w:w="1749" w:type="dxa"/>
                  <w:noWrap/>
                  <w:vAlign w:val="center"/>
                </w:tcPr>
                <w:p>
                  <w:pPr>
                    <w:jc w:val="center"/>
                    <w:rPr>
                      <w:rFonts w:hint="default" w:eastAsia="宋体"/>
                      <w:szCs w:val="21"/>
                      <w:u w:val="single"/>
                      <w:lang w:val="en-US" w:eastAsia="zh-CN"/>
                    </w:rPr>
                  </w:pPr>
                  <w:r>
                    <w:rPr>
                      <w:rFonts w:hint="eastAsia"/>
                      <w:szCs w:val="21"/>
                      <w:u w:val="single"/>
                      <w:lang w:val="en-US" w:eastAsia="zh-CN"/>
                    </w:rPr>
                    <w:t>2500</w:t>
                  </w:r>
                </w:p>
              </w:tc>
              <w:tc>
                <w:tcPr>
                  <w:tcW w:w="859" w:type="dxa"/>
                  <w:noWrap/>
                  <w:vAlign w:val="center"/>
                </w:tcPr>
                <w:p>
                  <w:pPr>
                    <w:jc w:val="center"/>
                    <w:rPr>
                      <w:rFonts w:hint="default" w:eastAsia="宋体"/>
                      <w:szCs w:val="21"/>
                      <w:u w:val="single"/>
                      <w:lang w:val="en-US" w:eastAsia="zh-CN"/>
                    </w:rPr>
                  </w:pPr>
                  <w:r>
                    <w:rPr>
                      <w:szCs w:val="21"/>
                      <w:u w:val="single"/>
                    </w:rPr>
                    <w:t>0.00</w:t>
                  </w:r>
                  <w:r>
                    <w:rPr>
                      <w:rFonts w:hint="eastAsia"/>
                      <w:szCs w:val="21"/>
                      <w:u w:val="single"/>
                      <w:lang w:val="en-US" w:eastAsia="zh-CN"/>
                    </w:rPr>
                    <w:t>12</w:t>
                  </w:r>
                </w:p>
              </w:tc>
              <w:tc>
                <w:tcPr>
                  <w:tcW w:w="2211" w:type="dxa"/>
                  <w:noWrap/>
                  <w:vAlign w:val="center"/>
                </w:tcPr>
                <w:p>
                  <w:pPr>
                    <w:jc w:val="center"/>
                    <w:rPr>
                      <w:szCs w:val="21"/>
                      <w:u w:val="single"/>
                    </w:rPr>
                  </w:pPr>
                  <w:r>
                    <w:rPr>
                      <w:rFonts w:hAnsi="宋体"/>
                      <w:szCs w:val="21"/>
                      <w:u w:val="single"/>
                    </w:rPr>
                    <w:t>否</w:t>
                  </w:r>
                </w:p>
              </w:tc>
            </w:tr>
          </w:tbl>
          <w:p>
            <w:pPr>
              <w:spacing w:line="360" w:lineRule="auto"/>
              <w:ind w:firstLine="480" w:firstLineChars="200"/>
              <w:rPr>
                <w:rFonts w:cs="宋体"/>
                <w:sz w:val="24"/>
                <w:szCs w:val="24"/>
                <w:u w:val="single"/>
              </w:rPr>
            </w:pPr>
            <w:r>
              <w:rPr>
                <w:rFonts w:hint="eastAsia" w:cs="宋体"/>
                <w:sz w:val="24"/>
                <w:u w:val="single"/>
              </w:rPr>
              <w:t>本项目的风险评价为非重大危险源的爆炸危险性物质，风险评价工作等级定为二级。</w:t>
            </w:r>
            <w:r>
              <w:rPr>
                <w:rStyle w:val="30"/>
                <w:rFonts w:hint="eastAsia"/>
                <w:sz w:val="24"/>
                <w:szCs w:val="24"/>
                <w:u w:val="single"/>
              </w:rPr>
              <w:t>本项目废机油年的回收量与柴油的年用量较小，故只进行简单分析。</w:t>
            </w:r>
          </w:p>
          <w:p>
            <w:pPr>
              <w:spacing w:line="360" w:lineRule="auto"/>
              <w:rPr>
                <w:b/>
                <w:sz w:val="24"/>
                <w:u w:val="single"/>
              </w:rPr>
            </w:pPr>
            <w:r>
              <w:rPr>
                <w:rFonts w:hint="eastAsia"/>
                <w:b/>
                <w:sz w:val="24"/>
                <w:u w:val="single"/>
              </w:rPr>
              <w:t>4、源项分析</w:t>
            </w:r>
          </w:p>
          <w:p>
            <w:pPr>
              <w:pStyle w:val="66"/>
              <w:widowControl/>
              <w:spacing w:line="360" w:lineRule="auto"/>
              <w:ind w:firstLine="480"/>
              <w:rPr>
                <w:rFonts w:hAnsi="Times New Roman"/>
                <w:color w:val="auto"/>
                <w:kern w:val="2"/>
                <w:sz w:val="24"/>
                <w:u w:val="single"/>
              </w:rPr>
            </w:pPr>
            <w:r>
              <w:rPr>
                <w:rFonts w:hint="eastAsia" w:hAnsi="Times New Roman" w:cs="宋体"/>
                <w:color w:val="auto"/>
                <w:kern w:val="2"/>
                <w:sz w:val="24"/>
                <w:u w:val="single"/>
              </w:rPr>
              <w:t>随着水上交通运输业的繁忙，溢油事故屡有发生，其中港口溢油事故也不鲜见，如青岛港从</w:t>
            </w:r>
            <w:r>
              <w:rPr>
                <w:rFonts w:hAnsi="Times New Roman"/>
                <w:color w:val="auto"/>
                <w:kern w:val="2"/>
                <w:sz w:val="24"/>
                <w:u w:val="single"/>
              </w:rPr>
              <w:t>1974</w:t>
            </w:r>
            <w:r>
              <w:rPr>
                <w:rFonts w:hint="eastAsia" w:hAnsi="Times New Roman" w:cs="宋体"/>
                <w:color w:val="auto"/>
                <w:kern w:val="2"/>
                <w:sz w:val="24"/>
                <w:u w:val="single"/>
              </w:rPr>
              <w:t>年至</w:t>
            </w:r>
            <w:r>
              <w:rPr>
                <w:rFonts w:hAnsi="Times New Roman"/>
                <w:color w:val="auto"/>
                <w:kern w:val="2"/>
                <w:sz w:val="24"/>
                <w:u w:val="single"/>
              </w:rPr>
              <w:t>1985</w:t>
            </w:r>
            <w:r>
              <w:rPr>
                <w:rFonts w:hint="eastAsia" w:hAnsi="Times New Roman" w:cs="宋体"/>
                <w:color w:val="auto"/>
                <w:kern w:val="2"/>
                <w:sz w:val="24"/>
                <w:u w:val="single"/>
              </w:rPr>
              <w:t>年</w:t>
            </w:r>
            <w:r>
              <w:rPr>
                <w:rFonts w:hAnsi="Times New Roman"/>
                <w:color w:val="auto"/>
                <w:kern w:val="2"/>
                <w:sz w:val="24"/>
                <w:u w:val="single"/>
              </w:rPr>
              <w:t>11</w:t>
            </w:r>
            <w:r>
              <w:rPr>
                <w:rFonts w:hint="eastAsia" w:hAnsi="Times New Roman" w:cs="宋体"/>
                <w:color w:val="auto"/>
                <w:kern w:val="2"/>
                <w:sz w:val="24"/>
                <w:u w:val="single"/>
              </w:rPr>
              <w:t>月底</w:t>
            </w:r>
            <w:r>
              <w:rPr>
                <w:rFonts w:hAnsi="Times New Roman"/>
                <w:color w:val="auto"/>
                <w:kern w:val="2"/>
                <w:sz w:val="24"/>
                <w:u w:val="single"/>
              </w:rPr>
              <w:t>11</w:t>
            </w:r>
            <w:r>
              <w:rPr>
                <w:rFonts w:hint="eastAsia" w:hAnsi="Times New Roman" w:cs="宋体"/>
                <w:color w:val="auto"/>
                <w:kern w:val="2"/>
                <w:sz w:val="24"/>
                <w:u w:val="single"/>
              </w:rPr>
              <w:t>年间共发生大小跑油事故</w:t>
            </w:r>
            <w:r>
              <w:rPr>
                <w:rFonts w:hAnsi="Times New Roman"/>
                <w:color w:val="auto"/>
                <w:kern w:val="2"/>
                <w:sz w:val="24"/>
                <w:u w:val="single"/>
              </w:rPr>
              <w:t>208</w:t>
            </w:r>
            <w:r>
              <w:rPr>
                <w:rFonts w:hint="eastAsia" w:hAnsi="Times New Roman" w:cs="宋体"/>
                <w:color w:val="auto"/>
                <w:kern w:val="2"/>
                <w:sz w:val="24"/>
                <w:u w:val="single"/>
              </w:rPr>
              <w:t>次，累计溢油达</w:t>
            </w:r>
            <w:r>
              <w:rPr>
                <w:rFonts w:hAnsi="Times New Roman"/>
                <w:color w:val="auto"/>
                <w:kern w:val="2"/>
                <w:sz w:val="24"/>
                <w:u w:val="single"/>
              </w:rPr>
              <w:t>5810</w:t>
            </w:r>
            <w:r>
              <w:rPr>
                <w:rFonts w:hint="eastAsia" w:hAnsi="Times New Roman" w:cs="宋体"/>
                <w:color w:val="auto"/>
                <w:kern w:val="2"/>
                <w:sz w:val="24"/>
                <w:u w:val="single"/>
              </w:rPr>
              <w:t>吨，平均每年溢油</w:t>
            </w:r>
            <w:r>
              <w:rPr>
                <w:rFonts w:hAnsi="Times New Roman"/>
                <w:color w:val="auto"/>
                <w:kern w:val="2"/>
                <w:sz w:val="24"/>
                <w:u w:val="single"/>
              </w:rPr>
              <w:t>19</w:t>
            </w:r>
            <w:r>
              <w:rPr>
                <w:rFonts w:hint="eastAsia" w:hAnsi="Times New Roman" w:cs="宋体"/>
                <w:color w:val="auto"/>
                <w:kern w:val="2"/>
                <w:sz w:val="24"/>
                <w:u w:val="single"/>
              </w:rPr>
              <w:t>次。据统计，全世界溢油事件中，在港的占</w:t>
            </w:r>
            <w:r>
              <w:rPr>
                <w:rFonts w:hAnsi="Times New Roman"/>
                <w:color w:val="auto"/>
                <w:kern w:val="2"/>
                <w:sz w:val="24"/>
                <w:u w:val="single"/>
              </w:rPr>
              <w:t>92%</w:t>
            </w:r>
            <w:r>
              <w:rPr>
                <w:rFonts w:hint="eastAsia" w:hAnsi="Times New Roman" w:cs="宋体"/>
                <w:color w:val="auto"/>
                <w:kern w:val="2"/>
                <w:sz w:val="24"/>
                <w:u w:val="single"/>
              </w:rPr>
              <w:t>，海上的占</w:t>
            </w:r>
            <w:r>
              <w:rPr>
                <w:rFonts w:hAnsi="Times New Roman"/>
                <w:color w:val="auto"/>
                <w:kern w:val="2"/>
                <w:sz w:val="24"/>
                <w:u w:val="single"/>
              </w:rPr>
              <w:t>8%</w:t>
            </w:r>
            <w:r>
              <w:rPr>
                <w:rFonts w:hint="eastAsia" w:hAnsi="Times New Roman" w:cs="宋体"/>
                <w:color w:val="auto"/>
                <w:kern w:val="2"/>
                <w:sz w:val="24"/>
                <w:u w:val="single"/>
              </w:rPr>
              <w:t>。</w:t>
            </w:r>
          </w:p>
          <w:p>
            <w:pPr>
              <w:pStyle w:val="66"/>
              <w:widowControl/>
              <w:spacing w:line="360" w:lineRule="auto"/>
              <w:ind w:firstLine="480"/>
              <w:rPr>
                <w:rFonts w:hAnsi="Times New Roman"/>
                <w:color w:val="auto"/>
                <w:kern w:val="2"/>
                <w:sz w:val="24"/>
                <w:u w:val="single"/>
              </w:rPr>
            </w:pPr>
            <w:r>
              <w:rPr>
                <w:rFonts w:hint="eastAsia" w:hAnsi="Times New Roman" w:cs="宋体"/>
                <w:color w:val="auto"/>
                <w:kern w:val="2"/>
                <w:sz w:val="24"/>
                <w:u w:val="single"/>
              </w:rPr>
              <w:t>大量的资料分析表明，船舶发生事故性溢油的原因主要有：船舶触礁搁浅、船与码头相撞、操作失误、失火、风浪、进水及机舱事故、翻船以及战争等，其中因触礁搁浅而引起溢油的事故最多。造成溢油事故，除一些不可抗拒的自然因素外，绝大部分是由于操作不当或违章作业等人为原因引起的。由于客观原因加上人为因素，都有可能造成溢油事故的发生。因而必须加强防范措施，重视对船员的管理和培训，尤其是提高船员安全生产的高度责任感和责任心，增强对潜在事故风险的认识，提高实际操作应变能力，避免人为因素，以减少风险事故的发生与危害。</w:t>
            </w:r>
          </w:p>
          <w:p>
            <w:pPr>
              <w:pStyle w:val="66"/>
              <w:widowControl/>
              <w:spacing w:line="360" w:lineRule="auto"/>
              <w:ind w:firstLine="480"/>
              <w:rPr>
                <w:rFonts w:hAnsi="Times New Roman"/>
                <w:color w:val="auto"/>
                <w:kern w:val="2"/>
                <w:sz w:val="24"/>
                <w:u w:val="single"/>
              </w:rPr>
            </w:pPr>
            <w:r>
              <w:rPr>
                <w:rFonts w:hint="eastAsia" w:hAnsi="Times New Roman" w:cs="宋体"/>
                <w:color w:val="auto"/>
                <w:kern w:val="2"/>
                <w:sz w:val="24"/>
                <w:u w:val="single"/>
              </w:rPr>
              <w:t>从风险概率角度考虑，本项目可能发生溢油事故达的情况是设备运转不正常或者在装卸过程中发生泄漏，会造成废机油的跑冒滴漏。</w:t>
            </w:r>
          </w:p>
          <w:p>
            <w:pPr>
              <w:pStyle w:val="20"/>
              <w:spacing w:before="0" w:beforeAutospacing="0" w:after="0" w:afterAutospacing="0" w:line="360" w:lineRule="auto"/>
              <w:ind w:firstLine="480" w:firstLineChars="200"/>
              <w:jc w:val="both"/>
              <w:rPr>
                <w:rFonts w:ascii="Times New Roman" w:hAnsi="Times New Roman" w:cs="Times New Roman"/>
                <w:u w:val="single"/>
              </w:rPr>
            </w:pPr>
            <w:r>
              <w:rPr>
                <w:rFonts w:hint="eastAsia"/>
                <w:kern w:val="2"/>
                <w:u w:val="single"/>
              </w:rPr>
              <w:t>溢油进入水体后，油在水体表面扩散，尤其是轻油，除了在表面挥发，主要受风和表面流速的影响水面上扩散至最终只剩下一薄层。一般国外估计溢油在水体的扩散污染带范围是根据水面油膜的形态来确定的。一般勉强可</w:t>
            </w:r>
            <w:r>
              <w:rPr>
                <w:rFonts w:ascii="Times New Roman" w:hAnsi="Times New Roman" w:cs="Times New Roman"/>
                <w:kern w:val="2"/>
                <w:u w:val="single"/>
              </w:rPr>
              <w:t>见时油膜厚度约0.038μm，油量为44L/Km。</w:t>
            </w:r>
          </w:p>
          <w:p>
            <w:pPr>
              <w:pStyle w:val="20"/>
              <w:spacing w:before="0" w:beforeAutospacing="0" w:after="0" w:afterAutospacing="0" w:line="360" w:lineRule="auto"/>
              <w:ind w:firstLine="480" w:firstLineChars="200"/>
              <w:jc w:val="both"/>
              <w:rPr>
                <w:rFonts w:ascii="Times New Roman" w:hAnsi="Times New Roman" w:cs="Times New Roman"/>
                <w:kern w:val="2"/>
                <w:u w:val="single"/>
              </w:rPr>
            </w:pPr>
            <w:r>
              <w:rPr>
                <w:rFonts w:ascii="Times New Roman" w:hAnsi="Times New Roman" w:cs="Times New Roman"/>
                <w:kern w:val="2"/>
                <w:u w:val="single"/>
              </w:rPr>
              <w:t>经类比分析，确定油（或物料）的事故排放量为1000kg/5min，处理时间5min即油事故排放量为1000kg，即最初污染带约220米。</w:t>
            </w:r>
          </w:p>
          <w:p>
            <w:pPr>
              <w:spacing w:line="360" w:lineRule="auto"/>
              <w:ind w:firstLine="480" w:firstLineChars="200"/>
              <w:rPr>
                <w:rFonts w:cs="宋体"/>
                <w:sz w:val="24"/>
                <w:u w:val="single"/>
              </w:rPr>
            </w:pPr>
            <w:r>
              <w:rPr>
                <w:rFonts w:hint="eastAsia" w:cs="宋体"/>
                <w:sz w:val="24"/>
                <w:u w:val="single"/>
              </w:rPr>
              <w:t>一方面形成油膜覆盖在水面上阻止水中溶解的氧气与大气的交换，另一方面废油被微生物降解又消耗水中的溶氧，结果使水中的含氧量明显下降，而影响鱼类、贝类及水生植物的正常生活。因此废油污染水系会严重危害水生动植物的生存，应尽量防止事故排放情况的发生。</w:t>
            </w:r>
          </w:p>
          <w:p>
            <w:pPr>
              <w:spacing w:line="360" w:lineRule="auto"/>
              <w:rPr>
                <w:b/>
                <w:sz w:val="24"/>
                <w:u w:val="single"/>
              </w:rPr>
            </w:pPr>
            <w:r>
              <w:rPr>
                <w:rFonts w:hint="eastAsia"/>
                <w:b/>
                <w:sz w:val="24"/>
                <w:u w:val="single"/>
              </w:rPr>
              <w:t>5、风险防范措施</w:t>
            </w:r>
          </w:p>
          <w:p>
            <w:pPr>
              <w:autoSpaceDE w:val="0"/>
              <w:autoSpaceDN w:val="0"/>
              <w:adjustRightInd w:val="0"/>
              <w:snapToGrid w:val="0"/>
              <w:spacing w:line="360" w:lineRule="auto"/>
              <w:ind w:firstLine="480" w:firstLineChars="200"/>
              <w:jc w:val="left"/>
              <w:rPr>
                <w:rFonts w:hint="eastAsia" w:asciiTheme="minorEastAsia" w:hAnsiTheme="minorEastAsia" w:eastAsiaTheme="minorEastAsia" w:cstheme="minorEastAsia"/>
                <w:sz w:val="24"/>
                <w:szCs w:val="24"/>
                <w:u w:val="single"/>
              </w:rPr>
            </w:pPr>
            <w:r>
              <w:rPr>
                <w:rFonts w:hint="eastAsia" w:hAnsi="Times New Roman" w:cs="宋体"/>
                <w:color w:val="auto"/>
                <w:kern w:val="2"/>
                <w:sz w:val="24"/>
                <w:u w:val="single"/>
              </w:rPr>
              <w:t>（1）根据《中华人名共和国内河交通安全管理条例》、《中华人民共和国危险化学品安全管理条例》、《船舶载运危险货物安全监督管理规定》（交通部2003年第10号）、《船舶检验工作管理暂行办法》（交通部海事局[2000]586号）等有关法律法规，加强对船舶的日常管理，杜绝事故隐患。</w:t>
            </w:r>
          </w:p>
          <w:p>
            <w:pPr>
              <w:autoSpaceDE w:val="0"/>
              <w:autoSpaceDN w:val="0"/>
              <w:adjustRightInd w:val="0"/>
              <w:snapToGrid w:val="0"/>
              <w:spacing w:line="360" w:lineRule="auto"/>
              <w:ind w:firstLine="480" w:firstLineChars="200"/>
              <w:jc w:val="left"/>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u w:val="single"/>
                <w:lang w:eastAsia="zh-CN"/>
              </w:rPr>
              <w:t>（</w:t>
            </w:r>
            <w:r>
              <w:rPr>
                <w:rFonts w:hint="eastAsia" w:asciiTheme="minorEastAsia" w:hAnsiTheme="minorEastAsia" w:eastAsiaTheme="minorEastAsia" w:cstheme="minorEastAsia"/>
                <w:sz w:val="24"/>
                <w:szCs w:val="24"/>
                <w:u w:val="single"/>
                <w:lang w:val="en-US" w:eastAsia="zh-CN"/>
              </w:rPr>
              <w:t>2</w:t>
            </w:r>
            <w:r>
              <w:rPr>
                <w:rFonts w:hint="eastAsia" w:asciiTheme="minorEastAsia" w:hAnsiTheme="minorEastAsia" w:eastAsiaTheme="minorEastAsia" w:cstheme="minorEastAsia"/>
                <w:sz w:val="24"/>
                <w:szCs w:val="24"/>
                <w:u w:val="single"/>
                <w:lang w:eastAsia="zh-CN"/>
              </w:rPr>
              <w:t>）</w:t>
            </w:r>
            <w:r>
              <w:rPr>
                <w:rFonts w:hint="eastAsia" w:asciiTheme="minorEastAsia" w:hAnsiTheme="minorEastAsia" w:eastAsiaTheme="minorEastAsia" w:cstheme="minorEastAsia"/>
                <w:sz w:val="24"/>
                <w:szCs w:val="24"/>
                <w:u w:val="single"/>
              </w:rPr>
              <w:t xml:space="preserve">公司在各风险单元，均粘贴了警示标识标牌；船舱内并按规范设置了消防设施；在船舱内粘贴了安全管理责任卡，在关键位置设置了内部应急电话和通讯录； </w:t>
            </w:r>
          </w:p>
          <w:p>
            <w:pPr>
              <w:autoSpaceDE w:val="0"/>
              <w:autoSpaceDN w:val="0"/>
              <w:adjustRightInd w:val="0"/>
              <w:snapToGrid w:val="0"/>
              <w:spacing w:line="360" w:lineRule="auto"/>
              <w:ind w:firstLine="480" w:firstLineChars="200"/>
              <w:jc w:val="left"/>
              <w:rPr>
                <w:rFonts w:hAnsi="Times New Roman" w:cs="宋体"/>
                <w:color w:val="auto"/>
                <w:kern w:val="2"/>
                <w:sz w:val="24"/>
                <w:u w:val="single"/>
              </w:rPr>
            </w:pPr>
            <w:r>
              <w:rPr>
                <w:rFonts w:hint="eastAsia" w:asciiTheme="minorEastAsia" w:hAnsiTheme="minorEastAsia" w:eastAsiaTheme="minorEastAsia" w:cstheme="minorEastAsia"/>
                <w:sz w:val="24"/>
                <w:szCs w:val="24"/>
                <w:u w:val="single"/>
                <w:lang w:eastAsia="zh-CN"/>
              </w:rPr>
              <w:t>（</w:t>
            </w:r>
            <w:r>
              <w:rPr>
                <w:rFonts w:hint="eastAsia" w:asciiTheme="minorEastAsia" w:hAnsiTheme="minorEastAsia" w:eastAsiaTheme="minorEastAsia" w:cstheme="minorEastAsia"/>
                <w:sz w:val="24"/>
                <w:szCs w:val="24"/>
                <w:u w:val="single"/>
                <w:lang w:val="en-US" w:eastAsia="zh-CN"/>
              </w:rPr>
              <w:t>3</w:t>
            </w:r>
            <w:r>
              <w:rPr>
                <w:rFonts w:hint="eastAsia" w:asciiTheme="minorEastAsia" w:hAnsiTheme="minorEastAsia" w:eastAsiaTheme="minorEastAsia" w:cstheme="minorEastAsia"/>
                <w:sz w:val="24"/>
                <w:szCs w:val="24"/>
                <w:u w:val="single"/>
                <w:lang w:eastAsia="zh-CN"/>
              </w:rPr>
              <w:t>）</w:t>
            </w:r>
            <w:r>
              <w:rPr>
                <w:rFonts w:hint="eastAsia" w:asciiTheme="minorEastAsia" w:hAnsiTheme="minorEastAsia" w:eastAsiaTheme="minorEastAsia" w:cstheme="minorEastAsia"/>
                <w:sz w:val="24"/>
                <w:szCs w:val="24"/>
                <w:u w:val="single"/>
              </w:rPr>
              <w:t>制定了重点设备、关键设施巡检制度，定时定人巡视检查，排除隐患，巡检记录表上墙；在废水排放口设立了排放口标识。</w:t>
            </w:r>
          </w:p>
          <w:p>
            <w:pPr>
              <w:pStyle w:val="66"/>
              <w:widowControl/>
              <w:spacing w:line="360" w:lineRule="auto"/>
              <w:ind w:firstLine="480"/>
              <w:rPr>
                <w:rFonts w:hint="eastAsia" w:hAnsi="Times New Roman" w:cs="宋体"/>
                <w:color w:val="auto"/>
                <w:kern w:val="2"/>
                <w:sz w:val="24"/>
                <w:u w:val="single"/>
              </w:rPr>
            </w:pPr>
            <w:r>
              <w:rPr>
                <w:rFonts w:hint="eastAsia" w:hAnsi="Times New Roman" w:cs="宋体"/>
                <w:color w:val="auto"/>
                <w:kern w:val="2"/>
                <w:sz w:val="24"/>
                <w:u w:val="single"/>
              </w:rPr>
              <w:t>（</w:t>
            </w:r>
            <w:r>
              <w:rPr>
                <w:rFonts w:hint="eastAsia" w:hAnsi="Times New Roman" w:cs="宋体"/>
                <w:color w:val="auto"/>
                <w:kern w:val="2"/>
                <w:sz w:val="24"/>
                <w:u w:val="single"/>
                <w:lang w:val="en-US" w:eastAsia="zh-CN"/>
              </w:rPr>
              <w:t>4</w:t>
            </w:r>
            <w:r>
              <w:rPr>
                <w:rFonts w:hint="eastAsia" w:hAnsi="Times New Roman" w:cs="宋体"/>
                <w:color w:val="auto"/>
                <w:kern w:val="2"/>
                <w:sz w:val="24"/>
                <w:u w:val="single"/>
              </w:rPr>
              <w:t>）加强突发灾害和事故的防范及应急措施，加固船舶靠泊，</w:t>
            </w:r>
            <w:r>
              <w:rPr>
                <w:rFonts w:hint="eastAsia" w:hAnsi="Times New Roman" w:cs="宋体"/>
                <w:color w:val="auto"/>
                <w:kern w:val="2"/>
                <w:sz w:val="24"/>
                <w:u w:val="single"/>
                <w:lang w:eastAsia="zh-CN"/>
              </w:rPr>
              <w:t>防止</w:t>
            </w:r>
            <w:r>
              <w:rPr>
                <w:rFonts w:hint="eastAsia" w:hAnsi="Times New Roman" w:cs="宋体"/>
                <w:color w:val="auto"/>
                <w:kern w:val="2"/>
                <w:sz w:val="24"/>
                <w:u w:val="single"/>
              </w:rPr>
              <w:t>船舶间的碰撞。</w:t>
            </w:r>
            <w:r>
              <w:rPr>
                <w:rFonts w:hint="eastAsia" w:hAnsi="Times New Roman" w:cs="宋体"/>
                <w:color w:val="auto"/>
                <w:kern w:val="2"/>
                <w:sz w:val="24"/>
                <w:u w:val="single"/>
              </w:rPr>
              <w:br w:type="textWrapping"/>
            </w:r>
            <w:r>
              <w:rPr>
                <w:rFonts w:hint="eastAsia" w:hAnsi="Times New Roman" w:cs="宋体"/>
                <w:color w:val="auto"/>
                <w:kern w:val="2"/>
                <w:sz w:val="24"/>
                <w:u w:val="single"/>
                <w:lang w:val="en-US" w:eastAsia="zh-CN"/>
              </w:rPr>
              <w:t xml:space="preserve">    </w:t>
            </w:r>
            <w:r>
              <w:rPr>
                <w:rFonts w:hint="eastAsia" w:hAnsi="Times New Roman" w:cs="宋体"/>
                <w:color w:val="auto"/>
                <w:kern w:val="2"/>
                <w:sz w:val="24"/>
                <w:u w:val="single"/>
                <w:lang w:eastAsia="zh-CN"/>
              </w:rPr>
              <w:t>（</w:t>
            </w:r>
            <w:r>
              <w:rPr>
                <w:rFonts w:hint="eastAsia" w:hAnsi="Times New Roman" w:cs="宋体"/>
                <w:color w:val="auto"/>
                <w:kern w:val="2"/>
                <w:sz w:val="24"/>
                <w:u w:val="single"/>
                <w:lang w:val="en-US" w:eastAsia="zh-CN"/>
              </w:rPr>
              <w:t>5</w:t>
            </w:r>
            <w:r>
              <w:rPr>
                <w:rFonts w:hint="eastAsia" w:hAnsi="Times New Roman" w:cs="宋体"/>
                <w:color w:val="auto"/>
                <w:kern w:val="2"/>
                <w:sz w:val="24"/>
                <w:u w:val="single"/>
                <w:lang w:eastAsia="zh-CN"/>
              </w:rPr>
              <w:t>）</w:t>
            </w:r>
            <w:r>
              <w:rPr>
                <w:rFonts w:hint="eastAsia" w:hAnsi="Times New Roman" w:cs="宋体"/>
                <w:color w:val="auto"/>
                <w:kern w:val="2"/>
                <w:sz w:val="24"/>
                <w:u w:val="single"/>
              </w:rPr>
              <w:t>建立健全设备日常维护保养制度，及时检修有跑冒滴漏的设施；</w:t>
            </w:r>
          </w:p>
          <w:p>
            <w:pPr>
              <w:pStyle w:val="66"/>
              <w:widowControl/>
              <w:spacing w:line="360" w:lineRule="auto"/>
              <w:ind w:firstLine="480"/>
              <w:rPr>
                <w:rFonts w:hint="eastAsia" w:hAnsi="Times New Roman" w:cs="宋体"/>
                <w:color w:val="auto"/>
                <w:kern w:val="2"/>
                <w:sz w:val="24"/>
                <w:u w:val="single"/>
              </w:rPr>
            </w:pPr>
            <w:r>
              <w:rPr>
                <w:rFonts w:hint="eastAsia" w:hAnsi="Times New Roman" w:cs="宋体"/>
                <w:color w:val="auto"/>
                <w:kern w:val="2"/>
                <w:sz w:val="24"/>
                <w:u w:val="single"/>
                <w:lang w:eastAsia="zh-CN"/>
              </w:rPr>
              <w:t>（</w:t>
            </w:r>
            <w:r>
              <w:rPr>
                <w:rFonts w:hint="eastAsia" w:hAnsi="Times New Roman" w:cs="宋体"/>
                <w:color w:val="auto"/>
                <w:kern w:val="2"/>
                <w:sz w:val="24"/>
                <w:u w:val="single"/>
                <w:lang w:val="en-US" w:eastAsia="zh-CN"/>
              </w:rPr>
              <w:t>6</w:t>
            </w:r>
            <w:r>
              <w:rPr>
                <w:rFonts w:hint="eastAsia" w:hAnsi="Times New Roman" w:cs="宋体"/>
                <w:color w:val="auto"/>
                <w:kern w:val="2"/>
                <w:sz w:val="24"/>
                <w:u w:val="single"/>
                <w:lang w:eastAsia="zh-CN"/>
              </w:rPr>
              <w:t>）</w:t>
            </w:r>
            <w:r>
              <w:rPr>
                <w:rFonts w:hint="eastAsia" w:hAnsi="Times New Roman" w:cs="宋体"/>
                <w:color w:val="auto"/>
                <w:kern w:val="2"/>
                <w:sz w:val="24"/>
                <w:u w:val="single"/>
              </w:rPr>
              <w:t>建立和落实民企联系制度，加强与当地企业、村镇、医院、学校等企事业或组织的联系，做好事故应急救援的联动；</w:t>
            </w:r>
          </w:p>
          <w:p>
            <w:pPr>
              <w:pStyle w:val="66"/>
              <w:widowControl/>
              <w:spacing w:line="360" w:lineRule="auto"/>
              <w:ind w:firstLine="480"/>
              <w:rPr>
                <w:rFonts w:hAnsi="Times New Roman"/>
                <w:b/>
                <w:bCs/>
                <w:color w:val="auto"/>
                <w:kern w:val="2"/>
                <w:sz w:val="24"/>
                <w:u w:val="single"/>
              </w:rPr>
            </w:pPr>
            <w:r>
              <w:rPr>
                <w:rFonts w:hint="eastAsia" w:hAnsi="Times New Roman" w:cs="宋体"/>
                <w:color w:val="auto"/>
                <w:kern w:val="2"/>
                <w:sz w:val="24"/>
                <w:u w:val="single"/>
                <w:lang w:eastAsia="zh-CN"/>
              </w:rPr>
              <w:t>（</w:t>
            </w:r>
            <w:r>
              <w:rPr>
                <w:rFonts w:hint="eastAsia" w:hAnsi="Times New Roman" w:cs="宋体"/>
                <w:color w:val="auto"/>
                <w:kern w:val="2"/>
                <w:sz w:val="24"/>
                <w:u w:val="single"/>
                <w:lang w:val="en-US" w:eastAsia="zh-CN"/>
              </w:rPr>
              <w:t>7</w:t>
            </w:r>
            <w:r>
              <w:rPr>
                <w:rFonts w:hint="eastAsia" w:hAnsi="Times New Roman" w:cs="宋体"/>
                <w:color w:val="auto"/>
                <w:kern w:val="2"/>
                <w:sz w:val="24"/>
                <w:u w:val="single"/>
                <w:lang w:eastAsia="zh-CN"/>
              </w:rPr>
              <w:t>）</w:t>
            </w:r>
            <w:r>
              <w:rPr>
                <w:rFonts w:hint="eastAsia" w:hAnsi="Times New Roman" w:cs="宋体"/>
                <w:color w:val="auto"/>
                <w:kern w:val="2"/>
                <w:sz w:val="24"/>
                <w:u w:val="single"/>
              </w:rPr>
              <w:t>加强危险废物管理，严格按照《危险废物贮存污染控制标准》（GB18597-2001）中相关要求进行储存。</w:t>
            </w:r>
          </w:p>
          <w:p>
            <w:pPr>
              <w:pStyle w:val="66"/>
              <w:widowControl/>
              <w:spacing w:line="360" w:lineRule="auto"/>
              <w:ind w:firstLine="480"/>
              <w:rPr>
                <w:rStyle w:val="30"/>
                <w:rFonts w:hAnsi="Times New Roman"/>
                <w:color w:val="auto"/>
                <w:kern w:val="2"/>
                <w:u w:val="single"/>
              </w:rPr>
            </w:pPr>
            <w:r>
              <w:rPr>
                <w:rFonts w:hint="eastAsia" w:hAnsi="Times New Roman" w:cs="宋体"/>
                <w:color w:val="auto"/>
                <w:kern w:val="2"/>
                <w:sz w:val="24"/>
                <w:u w:val="single"/>
              </w:rPr>
              <w:t>（</w:t>
            </w:r>
            <w:r>
              <w:rPr>
                <w:rFonts w:hint="eastAsia" w:hAnsi="Times New Roman" w:cs="宋体"/>
                <w:color w:val="auto"/>
                <w:kern w:val="2"/>
                <w:sz w:val="24"/>
                <w:u w:val="single"/>
                <w:lang w:val="en-US" w:eastAsia="zh-CN"/>
              </w:rPr>
              <w:t>8</w:t>
            </w:r>
            <w:r>
              <w:rPr>
                <w:rFonts w:hint="eastAsia" w:hAnsi="Times New Roman" w:cs="宋体"/>
                <w:color w:val="auto"/>
                <w:kern w:val="2"/>
                <w:sz w:val="24"/>
                <w:u w:val="single"/>
              </w:rPr>
              <w:t>）储备应急救援物资，加强溢油事故的应急措施，当发生溢油事故时，首先应使用围油栏把发生事故的水域圈围起来回收溢油。同时，加强职工人员的安全培训，配套必要的通信器材，确保溢油事故得到及时妥善地处理。</w:t>
            </w:r>
          </w:p>
          <w:p>
            <w:pPr>
              <w:pStyle w:val="66"/>
              <w:widowControl/>
              <w:spacing w:line="360" w:lineRule="auto"/>
              <w:ind w:firstLine="480"/>
              <w:rPr>
                <w:rStyle w:val="30"/>
                <w:rFonts w:hAnsi="Times New Roman"/>
                <w:color w:val="auto"/>
                <w:kern w:val="2"/>
                <w:sz w:val="24"/>
                <w:szCs w:val="24"/>
                <w:u w:val="single"/>
              </w:rPr>
            </w:pPr>
            <w:r>
              <w:rPr>
                <w:rStyle w:val="30"/>
                <w:rFonts w:hint="eastAsia" w:hAnsi="Times New Roman"/>
                <w:color w:val="auto"/>
                <w:kern w:val="2"/>
                <w:sz w:val="24"/>
                <w:szCs w:val="24"/>
                <w:u w:val="single"/>
              </w:rPr>
              <w:t>（</w:t>
            </w:r>
            <w:r>
              <w:rPr>
                <w:rStyle w:val="30"/>
                <w:rFonts w:hint="eastAsia" w:hAnsi="Times New Roman"/>
                <w:color w:val="auto"/>
                <w:kern w:val="2"/>
                <w:sz w:val="24"/>
                <w:szCs w:val="24"/>
                <w:u w:val="single"/>
                <w:lang w:val="en-US" w:eastAsia="zh-CN"/>
              </w:rPr>
              <w:t>9</w:t>
            </w:r>
            <w:r>
              <w:rPr>
                <w:rStyle w:val="30"/>
                <w:rFonts w:hint="eastAsia" w:hAnsi="Times New Roman"/>
                <w:color w:val="auto"/>
                <w:kern w:val="2"/>
                <w:sz w:val="24"/>
                <w:szCs w:val="24"/>
                <w:u w:val="single"/>
              </w:rPr>
              <w:t>）加强天气预警，大风暴雨应泊港规避。</w:t>
            </w:r>
          </w:p>
          <w:p>
            <w:pPr>
              <w:pStyle w:val="20"/>
              <w:spacing w:before="0" w:beforeAutospacing="0" w:after="0" w:afterAutospacing="0" w:line="360" w:lineRule="auto"/>
              <w:ind w:firstLine="480" w:firstLineChars="200"/>
              <w:jc w:val="both"/>
              <w:rPr>
                <w:u w:val="single"/>
              </w:rPr>
            </w:pPr>
            <w:r>
              <w:rPr>
                <w:rFonts w:hint="eastAsia"/>
                <w:kern w:val="2"/>
                <w:u w:val="single"/>
              </w:rPr>
              <w:t>通过以上措施后，本项目能尽量降低灾害发生的可能性及其危害程度，将环境风险降至最低。</w:t>
            </w:r>
            <w:r>
              <w:rPr>
                <w:rFonts w:hint="eastAsia"/>
                <w:color w:val="000000"/>
              </w:rPr>
              <w:br w:type="textWrapping"/>
            </w:r>
            <w:r>
              <w:rPr>
                <w:rFonts w:hint="eastAsia"/>
                <w:b/>
                <w:bCs/>
                <w:u w:val="single"/>
              </w:rPr>
              <w:t>项目存在的环保问题：</w:t>
            </w:r>
          </w:p>
          <w:p>
            <w:pPr>
              <w:numPr>
                <w:ilvl w:val="0"/>
                <w:numId w:val="11"/>
              </w:numPr>
              <w:spacing w:line="360" w:lineRule="auto"/>
              <w:rPr>
                <w:sz w:val="24"/>
                <w:szCs w:val="24"/>
                <w:u w:val="single"/>
              </w:rPr>
            </w:pPr>
            <w:r>
              <w:rPr>
                <w:rFonts w:hint="eastAsia"/>
                <w:sz w:val="24"/>
                <w:szCs w:val="24"/>
                <w:u w:val="single"/>
              </w:rPr>
              <w:t>项目含油废水经油水分离器处理后的废水排入东洞庭湖。</w:t>
            </w:r>
          </w:p>
          <w:p>
            <w:pPr>
              <w:pStyle w:val="2"/>
              <w:numPr>
                <w:ilvl w:val="0"/>
                <w:numId w:val="11"/>
              </w:numPr>
              <w:spacing w:line="360" w:lineRule="auto"/>
              <w:rPr>
                <w:color w:val="000000"/>
                <w:sz w:val="24"/>
                <w:szCs w:val="24"/>
                <w:u w:val="single"/>
              </w:rPr>
            </w:pPr>
            <w:r>
              <w:rPr>
                <w:color w:val="000000"/>
                <w:sz w:val="24"/>
                <w:szCs w:val="24"/>
                <w:u w:val="single"/>
              </w:rPr>
              <w:t>未安装江豚声音记录仪、江豚驱赶设备</w:t>
            </w:r>
            <w:r>
              <w:rPr>
                <w:rFonts w:hint="eastAsia"/>
                <w:color w:val="000000"/>
                <w:sz w:val="24"/>
                <w:szCs w:val="24"/>
                <w:u w:val="single"/>
              </w:rPr>
              <w:t>。</w:t>
            </w:r>
          </w:p>
          <w:p>
            <w:pPr>
              <w:numPr>
                <w:ilvl w:val="0"/>
                <w:numId w:val="11"/>
              </w:numPr>
              <w:spacing w:line="360" w:lineRule="auto"/>
              <w:rPr>
                <w:u w:val="single"/>
              </w:rPr>
            </w:pPr>
            <w:r>
              <w:rPr>
                <w:rFonts w:hint="eastAsia"/>
                <w:color w:val="000000"/>
                <w:sz w:val="24"/>
                <w:szCs w:val="24"/>
                <w:u w:val="single"/>
              </w:rPr>
              <w:t>需</w:t>
            </w:r>
            <w:r>
              <w:rPr>
                <w:color w:val="000000"/>
                <w:sz w:val="24"/>
                <w:szCs w:val="24"/>
                <w:u w:val="single"/>
              </w:rPr>
              <w:t>加强对职工的教育培训</w:t>
            </w:r>
            <w:r>
              <w:rPr>
                <w:rFonts w:hint="eastAsia"/>
                <w:color w:val="000000"/>
                <w:sz w:val="24"/>
                <w:szCs w:val="24"/>
                <w:u w:val="single"/>
              </w:rPr>
              <w:t>，</w:t>
            </w:r>
            <w:r>
              <w:rPr>
                <w:color w:val="000000"/>
                <w:sz w:val="24"/>
                <w:szCs w:val="24"/>
                <w:u w:val="single"/>
              </w:rPr>
              <w:t>积极开展的环境风险应急培训计划</w:t>
            </w:r>
            <w:r>
              <w:rPr>
                <w:rFonts w:hint="eastAsia"/>
                <w:color w:val="000000"/>
                <w:sz w:val="24"/>
                <w:szCs w:val="24"/>
                <w:u w:val="single"/>
              </w:rPr>
              <w:t>。</w:t>
            </w:r>
          </w:p>
          <w:p>
            <w:pPr>
              <w:spacing w:line="360" w:lineRule="auto"/>
              <w:ind w:firstLine="482" w:firstLineChars="200"/>
              <w:rPr>
                <w:b/>
                <w:bCs/>
                <w:sz w:val="24"/>
                <w:u w:val="single"/>
              </w:rPr>
            </w:pPr>
            <w:r>
              <w:rPr>
                <w:rFonts w:hint="eastAsia"/>
                <w:b/>
                <w:bCs/>
                <w:sz w:val="24"/>
                <w:u w:val="single"/>
              </w:rPr>
              <w:t>以新带老整改措施：</w:t>
            </w:r>
          </w:p>
          <w:p>
            <w:pPr>
              <w:numPr>
                <w:ilvl w:val="0"/>
                <w:numId w:val="12"/>
              </w:numPr>
              <w:spacing w:line="360" w:lineRule="auto"/>
              <w:ind w:left="210"/>
              <w:rPr>
                <w:sz w:val="24"/>
                <w:szCs w:val="24"/>
                <w:u w:val="single"/>
              </w:rPr>
            </w:pPr>
            <w:r>
              <w:rPr>
                <w:rFonts w:hint="eastAsia"/>
                <w:sz w:val="24"/>
                <w:szCs w:val="24"/>
                <w:u w:val="single"/>
              </w:rPr>
              <w:t>分离后的废水与生活污水收集后转运至污水处理厂处理。</w:t>
            </w:r>
            <w:r>
              <w:rPr>
                <w:rFonts w:hint="eastAsia"/>
                <w:sz w:val="24"/>
                <w:szCs w:val="24"/>
                <w:u w:val="single"/>
              </w:rPr>
              <w:br w:type="textWrapping"/>
            </w:r>
            <w:r>
              <w:rPr>
                <w:rFonts w:hint="eastAsia"/>
                <w:sz w:val="24"/>
                <w:szCs w:val="24"/>
                <w:u w:val="single"/>
              </w:rPr>
              <w:t>2、需要</w:t>
            </w:r>
            <w:r>
              <w:rPr>
                <w:color w:val="000000"/>
                <w:sz w:val="24"/>
                <w:szCs w:val="24"/>
                <w:u w:val="single"/>
              </w:rPr>
              <w:t>安装江豚声音记录仪、江豚驱赶设备</w:t>
            </w:r>
            <w:r>
              <w:rPr>
                <w:rFonts w:hint="eastAsia"/>
                <w:color w:val="000000"/>
                <w:sz w:val="24"/>
                <w:szCs w:val="24"/>
                <w:u w:val="single"/>
              </w:rPr>
              <w:t>。</w:t>
            </w:r>
            <w:r>
              <w:rPr>
                <w:rFonts w:hint="eastAsia"/>
                <w:color w:val="000000"/>
                <w:sz w:val="24"/>
                <w:szCs w:val="24"/>
                <w:u w:val="single"/>
              </w:rPr>
              <w:br w:type="textWrapping"/>
            </w:r>
            <w:r>
              <w:rPr>
                <w:rFonts w:hint="eastAsia"/>
                <w:color w:val="000000"/>
                <w:sz w:val="24"/>
                <w:szCs w:val="24"/>
                <w:u w:val="single"/>
              </w:rPr>
              <w:t>3、</w:t>
            </w:r>
            <w:r>
              <w:rPr>
                <w:color w:val="000000"/>
                <w:sz w:val="24"/>
                <w:szCs w:val="24"/>
                <w:u w:val="single"/>
              </w:rPr>
              <w:t>加强对职工的教育培训</w:t>
            </w:r>
            <w:r>
              <w:rPr>
                <w:rFonts w:hint="eastAsia"/>
                <w:color w:val="000000"/>
                <w:sz w:val="24"/>
                <w:szCs w:val="24"/>
                <w:u w:val="single"/>
              </w:rPr>
              <w:t>，</w:t>
            </w:r>
            <w:r>
              <w:rPr>
                <w:color w:val="000000"/>
                <w:sz w:val="24"/>
                <w:szCs w:val="24"/>
                <w:u w:val="single"/>
              </w:rPr>
              <w:t>积极开展的环境风险应急培训计划</w:t>
            </w:r>
            <w:r>
              <w:rPr>
                <w:rFonts w:hint="eastAsia"/>
                <w:color w:val="000000"/>
                <w:sz w:val="24"/>
                <w:szCs w:val="24"/>
                <w:u w:val="single"/>
              </w:rPr>
              <w:t>。</w:t>
            </w:r>
          </w:p>
          <w:p>
            <w:pPr>
              <w:snapToGrid w:val="0"/>
              <w:spacing w:line="360" w:lineRule="auto"/>
              <w:ind w:left="482" w:hanging="482" w:hangingChars="200"/>
              <w:rPr>
                <w:b/>
                <w:bCs/>
                <w:sz w:val="24"/>
                <w:szCs w:val="24"/>
              </w:rPr>
            </w:pPr>
            <w:r>
              <w:rPr>
                <w:rFonts w:hint="eastAsia"/>
                <w:b/>
                <w:bCs/>
                <w:sz w:val="24"/>
                <w:szCs w:val="24"/>
              </w:rPr>
              <w:t>现有项目污染物产生量：</w:t>
            </w:r>
            <w:r>
              <w:rPr>
                <w:rFonts w:hint="eastAsia"/>
                <w:b/>
                <w:bCs/>
                <w:sz w:val="24"/>
                <w:szCs w:val="24"/>
              </w:rPr>
              <w:br w:type="textWrapping"/>
            </w:r>
            <w:r>
              <w:rPr>
                <w:rFonts w:hint="eastAsia"/>
                <w:b/>
                <w:bCs/>
                <w:sz w:val="24"/>
                <w:szCs w:val="24"/>
              </w:rPr>
              <w:t>现有项目污染物产生量根据项目现有工艺及处理方式计算得出。</w:t>
            </w:r>
          </w:p>
          <w:p>
            <w:pPr>
              <w:pStyle w:val="2"/>
              <w:jc w:val="center"/>
              <w:rPr>
                <w:b/>
                <w:bCs/>
                <w:szCs w:val="21"/>
              </w:rPr>
            </w:pPr>
          </w:p>
          <w:p>
            <w:pPr>
              <w:pStyle w:val="2"/>
              <w:jc w:val="center"/>
              <w:rPr>
                <w:b/>
                <w:bCs/>
                <w:szCs w:val="21"/>
              </w:rPr>
            </w:pPr>
          </w:p>
          <w:p>
            <w:pPr>
              <w:pStyle w:val="2"/>
              <w:jc w:val="center"/>
              <w:rPr>
                <w:szCs w:val="21"/>
              </w:rPr>
            </w:pPr>
            <w:r>
              <w:rPr>
                <w:rFonts w:hint="eastAsia"/>
                <w:b/>
                <w:bCs/>
                <w:szCs w:val="21"/>
              </w:rPr>
              <w:t>表2-22  现有项目污染物产生量及排放量汇总一览表</w:t>
            </w:r>
          </w:p>
          <w:tbl>
            <w:tblPr>
              <w:tblStyle w:val="25"/>
              <w:tblW w:w="787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153"/>
              <w:gridCol w:w="1080"/>
              <w:gridCol w:w="1410"/>
              <w:gridCol w:w="1130"/>
              <w:gridCol w:w="1300"/>
              <w:gridCol w:w="112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53" w:hRule="atLeast"/>
              </w:trPr>
              <w:tc>
                <w:tcPr>
                  <w:tcW w:w="680" w:type="dxa"/>
                  <w:vMerge w:val="restart"/>
                  <w:tcBorders>
                    <w:tl2br w:val="nil"/>
                    <w:tr2bl w:val="nil"/>
                  </w:tcBorders>
                  <w:vAlign w:val="center"/>
                </w:tcPr>
                <w:p>
                  <w:pPr>
                    <w:pStyle w:val="2"/>
                    <w:jc w:val="center"/>
                  </w:pPr>
                  <w:r>
                    <w:rPr>
                      <w:rFonts w:hint="eastAsia"/>
                    </w:rPr>
                    <w:t>内容</w:t>
                  </w:r>
                </w:p>
              </w:tc>
              <w:tc>
                <w:tcPr>
                  <w:tcW w:w="1153" w:type="dxa"/>
                  <w:vMerge w:val="restart"/>
                  <w:tcBorders>
                    <w:tl2br w:val="nil"/>
                    <w:tr2bl w:val="nil"/>
                  </w:tcBorders>
                  <w:vAlign w:val="center"/>
                </w:tcPr>
                <w:p>
                  <w:pPr>
                    <w:pStyle w:val="2"/>
                    <w:jc w:val="center"/>
                  </w:pPr>
                  <w:r>
                    <w:rPr>
                      <w:rFonts w:hint="eastAsia"/>
                    </w:rPr>
                    <w:t>名称</w:t>
                  </w:r>
                </w:p>
              </w:tc>
              <w:tc>
                <w:tcPr>
                  <w:tcW w:w="1080" w:type="dxa"/>
                  <w:vMerge w:val="restart"/>
                  <w:tcBorders>
                    <w:tl2br w:val="nil"/>
                    <w:tr2bl w:val="nil"/>
                  </w:tcBorders>
                  <w:vAlign w:val="center"/>
                </w:tcPr>
                <w:p>
                  <w:pPr>
                    <w:pStyle w:val="2"/>
                    <w:jc w:val="center"/>
                  </w:pPr>
                  <w:r>
                    <w:rPr>
                      <w:rFonts w:hint="eastAsia"/>
                    </w:rPr>
                    <w:t>污染物</w:t>
                  </w:r>
                </w:p>
              </w:tc>
              <w:tc>
                <w:tcPr>
                  <w:tcW w:w="2540" w:type="dxa"/>
                  <w:gridSpan w:val="2"/>
                  <w:tcBorders>
                    <w:tl2br w:val="nil"/>
                    <w:tr2bl w:val="nil"/>
                  </w:tcBorders>
                  <w:vAlign w:val="center"/>
                </w:tcPr>
                <w:p>
                  <w:pPr>
                    <w:pStyle w:val="2"/>
                    <w:jc w:val="center"/>
                  </w:pPr>
                  <w:r>
                    <w:rPr>
                      <w:rFonts w:hint="eastAsia"/>
                    </w:rPr>
                    <w:t>产生量及浓度</w:t>
                  </w:r>
                </w:p>
              </w:tc>
              <w:tc>
                <w:tcPr>
                  <w:tcW w:w="2425" w:type="dxa"/>
                  <w:gridSpan w:val="2"/>
                  <w:tcBorders>
                    <w:tl2br w:val="nil"/>
                    <w:tr2bl w:val="nil"/>
                  </w:tcBorders>
                  <w:vAlign w:val="center"/>
                </w:tcPr>
                <w:p>
                  <w:pPr>
                    <w:pStyle w:val="2"/>
                    <w:jc w:val="center"/>
                  </w:pPr>
                  <w:r>
                    <w:rPr>
                      <w:rFonts w:hint="eastAsia"/>
                    </w:rPr>
                    <w:t>排放量及浓度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680" w:type="dxa"/>
                  <w:vMerge w:val="continue"/>
                  <w:tcBorders>
                    <w:tl2br w:val="nil"/>
                    <w:tr2bl w:val="nil"/>
                  </w:tcBorders>
                  <w:vAlign w:val="center"/>
                </w:tcPr>
                <w:p>
                  <w:pPr>
                    <w:pStyle w:val="2"/>
                    <w:jc w:val="center"/>
                  </w:pPr>
                </w:p>
              </w:tc>
              <w:tc>
                <w:tcPr>
                  <w:tcW w:w="1153" w:type="dxa"/>
                  <w:vMerge w:val="continue"/>
                  <w:tcBorders>
                    <w:tl2br w:val="nil"/>
                    <w:tr2bl w:val="nil"/>
                  </w:tcBorders>
                  <w:vAlign w:val="center"/>
                </w:tcPr>
                <w:p>
                  <w:pPr>
                    <w:pStyle w:val="2"/>
                    <w:jc w:val="center"/>
                  </w:pPr>
                </w:p>
              </w:tc>
              <w:tc>
                <w:tcPr>
                  <w:tcW w:w="1080" w:type="dxa"/>
                  <w:vMerge w:val="continue"/>
                  <w:tcBorders>
                    <w:tl2br w:val="nil"/>
                    <w:tr2bl w:val="nil"/>
                  </w:tcBorders>
                  <w:vAlign w:val="center"/>
                </w:tcPr>
                <w:p>
                  <w:pPr>
                    <w:pStyle w:val="2"/>
                    <w:jc w:val="center"/>
                  </w:pPr>
                </w:p>
              </w:tc>
              <w:tc>
                <w:tcPr>
                  <w:tcW w:w="1410" w:type="dxa"/>
                  <w:tcBorders>
                    <w:tl2br w:val="nil"/>
                    <w:tr2bl w:val="nil"/>
                  </w:tcBorders>
                  <w:vAlign w:val="center"/>
                </w:tcPr>
                <w:p>
                  <w:pPr>
                    <w:pStyle w:val="2"/>
                    <w:jc w:val="center"/>
                  </w:pPr>
                  <w:r>
                    <w:rPr>
                      <w:rFonts w:hint="eastAsia"/>
                    </w:rPr>
                    <w:t>浓度</w:t>
                  </w:r>
                </w:p>
              </w:tc>
              <w:tc>
                <w:tcPr>
                  <w:tcW w:w="1130" w:type="dxa"/>
                  <w:tcBorders>
                    <w:tl2br w:val="nil"/>
                    <w:tr2bl w:val="nil"/>
                  </w:tcBorders>
                  <w:vAlign w:val="center"/>
                </w:tcPr>
                <w:p>
                  <w:pPr>
                    <w:pStyle w:val="2"/>
                    <w:jc w:val="center"/>
                  </w:pPr>
                  <w:r>
                    <w:rPr>
                      <w:rFonts w:hint="eastAsia"/>
                    </w:rPr>
                    <w:t>产生量</w:t>
                  </w:r>
                </w:p>
              </w:tc>
              <w:tc>
                <w:tcPr>
                  <w:tcW w:w="1300" w:type="dxa"/>
                  <w:tcBorders>
                    <w:tl2br w:val="nil"/>
                    <w:tr2bl w:val="nil"/>
                  </w:tcBorders>
                  <w:vAlign w:val="center"/>
                </w:tcPr>
                <w:p>
                  <w:pPr>
                    <w:pStyle w:val="2"/>
                    <w:jc w:val="center"/>
                  </w:pPr>
                  <w:r>
                    <w:rPr>
                      <w:rFonts w:hint="eastAsia"/>
                    </w:rPr>
                    <w:t>浓度</w:t>
                  </w:r>
                </w:p>
              </w:tc>
              <w:tc>
                <w:tcPr>
                  <w:tcW w:w="1125" w:type="dxa"/>
                  <w:tcBorders>
                    <w:tl2br w:val="nil"/>
                    <w:tr2bl w:val="nil"/>
                  </w:tcBorders>
                  <w:vAlign w:val="center"/>
                </w:tcPr>
                <w:p>
                  <w:pPr>
                    <w:pStyle w:val="2"/>
                    <w:jc w:val="center"/>
                  </w:pPr>
                  <w:r>
                    <w:rPr>
                      <w:rFonts w:hint="eastAsia"/>
                    </w:rPr>
                    <w:t>排放量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680" w:type="dxa"/>
                  <w:vMerge w:val="restart"/>
                  <w:tcBorders>
                    <w:tl2br w:val="nil"/>
                    <w:tr2bl w:val="nil"/>
                  </w:tcBorders>
                  <w:vAlign w:val="center"/>
                </w:tcPr>
                <w:p>
                  <w:pPr>
                    <w:pStyle w:val="2"/>
                    <w:jc w:val="center"/>
                  </w:pPr>
                  <w:r>
                    <w:rPr>
                      <w:rFonts w:hint="eastAsia"/>
                    </w:rPr>
                    <w:t>大气污染物</w:t>
                  </w:r>
                </w:p>
              </w:tc>
              <w:tc>
                <w:tcPr>
                  <w:tcW w:w="1153" w:type="dxa"/>
                  <w:vMerge w:val="restart"/>
                  <w:tcBorders>
                    <w:tl2br w:val="nil"/>
                    <w:tr2bl w:val="nil"/>
                  </w:tcBorders>
                  <w:vAlign w:val="center"/>
                </w:tcPr>
                <w:p>
                  <w:pPr>
                    <w:pStyle w:val="2"/>
                    <w:jc w:val="center"/>
                  </w:pPr>
                  <w:r>
                    <w:rPr>
                      <w:rFonts w:hint="eastAsia"/>
                    </w:rPr>
                    <w:t>柴油发电机</w:t>
                  </w:r>
                </w:p>
              </w:tc>
              <w:tc>
                <w:tcPr>
                  <w:tcW w:w="1080" w:type="dxa"/>
                  <w:tcBorders>
                    <w:tl2br w:val="nil"/>
                    <w:tr2bl w:val="nil"/>
                  </w:tcBorders>
                  <w:vAlign w:val="center"/>
                </w:tcPr>
                <w:p>
                  <w:pPr>
                    <w:spacing w:line="360" w:lineRule="auto"/>
                    <w:jc w:val="center"/>
                  </w:pPr>
                  <w:r>
                    <w:rPr>
                      <w:szCs w:val="21"/>
                    </w:rPr>
                    <w:t>SO</w:t>
                  </w:r>
                  <w:r>
                    <w:rPr>
                      <w:szCs w:val="21"/>
                      <w:vertAlign w:val="subscript"/>
                    </w:rPr>
                    <w:t>2</w:t>
                  </w:r>
                </w:p>
              </w:tc>
              <w:tc>
                <w:tcPr>
                  <w:tcW w:w="1410" w:type="dxa"/>
                  <w:tcBorders>
                    <w:tl2br w:val="nil"/>
                    <w:tr2bl w:val="nil"/>
                  </w:tcBorders>
                  <w:vAlign w:val="center"/>
                </w:tcPr>
                <w:p>
                  <w:pPr>
                    <w:spacing w:line="360" w:lineRule="auto"/>
                    <w:jc w:val="center"/>
                  </w:pPr>
                  <w:r>
                    <w:rPr>
                      <w:rFonts w:hint="eastAsia"/>
                    </w:rPr>
                    <w:t>/</w:t>
                  </w:r>
                </w:p>
              </w:tc>
              <w:tc>
                <w:tcPr>
                  <w:tcW w:w="1130" w:type="dxa"/>
                  <w:tcBorders>
                    <w:tl2br w:val="nil"/>
                    <w:tr2bl w:val="nil"/>
                  </w:tcBorders>
                  <w:vAlign w:val="center"/>
                </w:tcPr>
                <w:p>
                  <w:pPr>
                    <w:spacing w:before="120" w:beforeLines="50" w:after="120" w:afterLines="50"/>
                    <w:jc w:val="center"/>
                  </w:pPr>
                  <w:r>
                    <w:rPr>
                      <w:rFonts w:hint="eastAsia"/>
                      <w:bCs/>
                      <w:szCs w:val="21"/>
                    </w:rPr>
                    <w:t>4.8</w:t>
                  </w:r>
                  <w:r>
                    <w:rPr>
                      <w:bCs/>
                      <w:szCs w:val="21"/>
                    </w:rPr>
                    <w:t>kg/a</w:t>
                  </w:r>
                </w:p>
              </w:tc>
              <w:tc>
                <w:tcPr>
                  <w:tcW w:w="1300" w:type="dxa"/>
                  <w:tcBorders>
                    <w:tl2br w:val="nil"/>
                    <w:tr2bl w:val="nil"/>
                  </w:tcBorders>
                  <w:vAlign w:val="center"/>
                </w:tcPr>
                <w:p>
                  <w:pPr>
                    <w:spacing w:line="360" w:lineRule="auto"/>
                    <w:jc w:val="center"/>
                  </w:pPr>
                  <w:r>
                    <w:rPr>
                      <w:rFonts w:hint="eastAsia"/>
                      <w:szCs w:val="21"/>
                    </w:rPr>
                    <w:t>/</w:t>
                  </w:r>
                </w:p>
              </w:tc>
              <w:tc>
                <w:tcPr>
                  <w:tcW w:w="1125" w:type="dxa"/>
                  <w:tcBorders>
                    <w:tl2br w:val="nil"/>
                    <w:tr2bl w:val="nil"/>
                  </w:tcBorders>
                  <w:vAlign w:val="center"/>
                </w:tcPr>
                <w:p>
                  <w:pPr>
                    <w:spacing w:before="120" w:beforeLines="50" w:after="120" w:afterLines="50"/>
                    <w:jc w:val="center"/>
                  </w:pPr>
                  <w:r>
                    <w:rPr>
                      <w:rFonts w:hint="eastAsia"/>
                      <w:bCs/>
                      <w:szCs w:val="21"/>
                    </w:rPr>
                    <w:t>4.8</w:t>
                  </w:r>
                  <w:r>
                    <w:rPr>
                      <w:bCs/>
                      <w:szCs w:val="21"/>
                    </w:rPr>
                    <w:t>kg/a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680" w:type="dxa"/>
                  <w:vMerge w:val="continue"/>
                  <w:tcBorders>
                    <w:tl2br w:val="nil"/>
                    <w:tr2bl w:val="nil"/>
                  </w:tcBorders>
                  <w:vAlign w:val="center"/>
                </w:tcPr>
                <w:p>
                  <w:pPr>
                    <w:pStyle w:val="2"/>
                    <w:jc w:val="center"/>
                  </w:pPr>
                </w:p>
              </w:tc>
              <w:tc>
                <w:tcPr>
                  <w:tcW w:w="1153" w:type="dxa"/>
                  <w:vMerge w:val="continue"/>
                  <w:tcBorders>
                    <w:tl2br w:val="nil"/>
                    <w:tr2bl w:val="nil"/>
                  </w:tcBorders>
                  <w:vAlign w:val="center"/>
                </w:tcPr>
                <w:p>
                  <w:pPr>
                    <w:pStyle w:val="2"/>
                    <w:jc w:val="center"/>
                  </w:pPr>
                </w:p>
              </w:tc>
              <w:tc>
                <w:tcPr>
                  <w:tcW w:w="1080" w:type="dxa"/>
                  <w:tcBorders>
                    <w:tl2br w:val="nil"/>
                    <w:tr2bl w:val="nil"/>
                  </w:tcBorders>
                  <w:vAlign w:val="center"/>
                </w:tcPr>
                <w:p>
                  <w:pPr>
                    <w:spacing w:line="360" w:lineRule="auto"/>
                    <w:jc w:val="center"/>
                  </w:pPr>
                  <w:r>
                    <w:rPr>
                      <w:szCs w:val="21"/>
                    </w:rPr>
                    <w:t>NO</w:t>
                  </w:r>
                  <w:r>
                    <w:rPr>
                      <w:szCs w:val="21"/>
                      <w:vertAlign w:val="subscript"/>
                    </w:rPr>
                    <w:t>x</w:t>
                  </w:r>
                </w:p>
              </w:tc>
              <w:tc>
                <w:tcPr>
                  <w:tcW w:w="1410" w:type="dxa"/>
                  <w:tcBorders>
                    <w:tl2br w:val="nil"/>
                    <w:tr2bl w:val="nil"/>
                  </w:tcBorders>
                  <w:vAlign w:val="center"/>
                </w:tcPr>
                <w:p>
                  <w:pPr>
                    <w:spacing w:line="360" w:lineRule="auto"/>
                    <w:jc w:val="center"/>
                  </w:pPr>
                  <w:r>
                    <w:rPr>
                      <w:rFonts w:hint="eastAsia"/>
                      <w:szCs w:val="21"/>
                    </w:rPr>
                    <w:t>/</w:t>
                  </w:r>
                </w:p>
              </w:tc>
              <w:tc>
                <w:tcPr>
                  <w:tcW w:w="1130" w:type="dxa"/>
                  <w:tcBorders>
                    <w:tl2br w:val="nil"/>
                    <w:tr2bl w:val="nil"/>
                  </w:tcBorders>
                  <w:vAlign w:val="center"/>
                </w:tcPr>
                <w:p>
                  <w:pPr>
                    <w:spacing w:before="120" w:beforeLines="50" w:after="120" w:afterLines="50"/>
                    <w:jc w:val="center"/>
                  </w:pPr>
                  <w:r>
                    <w:rPr>
                      <w:rFonts w:hint="eastAsia"/>
                      <w:bCs/>
                      <w:szCs w:val="21"/>
                    </w:rPr>
                    <w:t>79.64</w:t>
                  </w:r>
                  <w:r>
                    <w:rPr>
                      <w:bCs/>
                      <w:szCs w:val="21"/>
                    </w:rPr>
                    <w:t>kg/a</w:t>
                  </w:r>
                </w:p>
              </w:tc>
              <w:tc>
                <w:tcPr>
                  <w:tcW w:w="1300" w:type="dxa"/>
                  <w:tcBorders>
                    <w:tl2br w:val="nil"/>
                    <w:tr2bl w:val="nil"/>
                  </w:tcBorders>
                  <w:vAlign w:val="center"/>
                </w:tcPr>
                <w:p>
                  <w:pPr>
                    <w:spacing w:line="360" w:lineRule="auto"/>
                    <w:jc w:val="center"/>
                  </w:pPr>
                  <w:r>
                    <w:rPr>
                      <w:rFonts w:hint="eastAsia"/>
                      <w:szCs w:val="21"/>
                    </w:rPr>
                    <w:t>/</w:t>
                  </w:r>
                </w:p>
              </w:tc>
              <w:tc>
                <w:tcPr>
                  <w:tcW w:w="1125" w:type="dxa"/>
                  <w:tcBorders>
                    <w:tl2br w:val="nil"/>
                    <w:tr2bl w:val="nil"/>
                  </w:tcBorders>
                  <w:vAlign w:val="center"/>
                </w:tcPr>
                <w:p>
                  <w:pPr>
                    <w:spacing w:before="120" w:beforeLines="50" w:after="120" w:afterLines="50"/>
                    <w:jc w:val="center"/>
                  </w:pPr>
                  <w:r>
                    <w:rPr>
                      <w:rFonts w:hint="eastAsia"/>
                      <w:bCs/>
                      <w:szCs w:val="21"/>
                    </w:rPr>
                    <w:t>79.64</w:t>
                  </w:r>
                  <w:r>
                    <w:rPr>
                      <w:bCs/>
                      <w:szCs w:val="21"/>
                    </w:rPr>
                    <w:t>kg/a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680" w:type="dxa"/>
                  <w:vMerge w:val="continue"/>
                  <w:tcBorders>
                    <w:tl2br w:val="nil"/>
                    <w:tr2bl w:val="nil"/>
                  </w:tcBorders>
                  <w:vAlign w:val="center"/>
                </w:tcPr>
                <w:p>
                  <w:pPr>
                    <w:pStyle w:val="2"/>
                    <w:jc w:val="center"/>
                  </w:pPr>
                </w:p>
              </w:tc>
              <w:tc>
                <w:tcPr>
                  <w:tcW w:w="1153" w:type="dxa"/>
                  <w:vMerge w:val="continue"/>
                  <w:tcBorders>
                    <w:tl2br w:val="nil"/>
                    <w:tr2bl w:val="nil"/>
                  </w:tcBorders>
                  <w:vAlign w:val="center"/>
                </w:tcPr>
                <w:p>
                  <w:pPr>
                    <w:pStyle w:val="2"/>
                    <w:jc w:val="center"/>
                  </w:pPr>
                </w:p>
              </w:tc>
              <w:tc>
                <w:tcPr>
                  <w:tcW w:w="1080" w:type="dxa"/>
                  <w:tcBorders>
                    <w:tl2br w:val="nil"/>
                    <w:tr2bl w:val="nil"/>
                  </w:tcBorders>
                  <w:vAlign w:val="center"/>
                </w:tcPr>
                <w:p>
                  <w:pPr>
                    <w:spacing w:line="360" w:lineRule="auto"/>
                    <w:jc w:val="center"/>
                  </w:pPr>
                  <w:r>
                    <w:rPr>
                      <w:rFonts w:hint="eastAsia" w:cs="宋体"/>
                      <w:szCs w:val="21"/>
                    </w:rPr>
                    <w:t>烟尘</w:t>
                  </w:r>
                </w:p>
              </w:tc>
              <w:tc>
                <w:tcPr>
                  <w:tcW w:w="1410" w:type="dxa"/>
                  <w:tcBorders>
                    <w:tl2br w:val="nil"/>
                    <w:tr2bl w:val="nil"/>
                  </w:tcBorders>
                  <w:vAlign w:val="center"/>
                </w:tcPr>
                <w:p>
                  <w:pPr>
                    <w:spacing w:line="360" w:lineRule="auto"/>
                    <w:jc w:val="center"/>
                  </w:pPr>
                  <w:r>
                    <w:rPr>
                      <w:rFonts w:hint="eastAsia"/>
                      <w:szCs w:val="21"/>
                    </w:rPr>
                    <w:t>/</w:t>
                  </w:r>
                </w:p>
              </w:tc>
              <w:tc>
                <w:tcPr>
                  <w:tcW w:w="1130" w:type="dxa"/>
                  <w:tcBorders>
                    <w:tl2br w:val="nil"/>
                    <w:tr2bl w:val="nil"/>
                  </w:tcBorders>
                  <w:vAlign w:val="center"/>
                </w:tcPr>
                <w:p>
                  <w:pPr>
                    <w:spacing w:before="120" w:beforeLines="50" w:after="120" w:afterLines="50"/>
                    <w:jc w:val="center"/>
                  </w:pPr>
                  <w:r>
                    <w:rPr>
                      <w:rFonts w:hint="eastAsia"/>
                      <w:bCs/>
                      <w:szCs w:val="21"/>
                    </w:rPr>
                    <w:t>29.47</w:t>
                  </w:r>
                  <w:r>
                    <w:rPr>
                      <w:bCs/>
                      <w:szCs w:val="21"/>
                    </w:rPr>
                    <w:t>kg/a</w:t>
                  </w:r>
                </w:p>
              </w:tc>
              <w:tc>
                <w:tcPr>
                  <w:tcW w:w="1300" w:type="dxa"/>
                  <w:tcBorders>
                    <w:tl2br w:val="nil"/>
                    <w:tr2bl w:val="nil"/>
                  </w:tcBorders>
                  <w:vAlign w:val="center"/>
                </w:tcPr>
                <w:p>
                  <w:pPr>
                    <w:spacing w:line="360" w:lineRule="auto"/>
                    <w:jc w:val="center"/>
                  </w:pPr>
                  <w:r>
                    <w:rPr>
                      <w:rFonts w:hint="eastAsia"/>
                      <w:szCs w:val="21"/>
                    </w:rPr>
                    <w:t>/</w:t>
                  </w:r>
                </w:p>
              </w:tc>
              <w:tc>
                <w:tcPr>
                  <w:tcW w:w="1125" w:type="dxa"/>
                  <w:tcBorders>
                    <w:tl2br w:val="nil"/>
                    <w:tr2bl w:val="nil"/>
                  </w:tcBorders>
                  <w:vAlign w:val="center"/>
                </w:tcPr>
                <w:p>
                  <w:pPr>
                    <w:spacing w:before="120" w:beforeLines="50" w:after="120" w:afterLines="50"/>
                    <w:jc w:val="center"/>
                  </w:pPr>
                  <w:r>
                    <w:rPr>
                      <w:rFonts w:hint="eastAsia"/>
                      <w:bCs/>
                      <w:szCs w:val="21"/>
                    </w:rPr>
                    <w:t>29.47</w:t>
                  </w:r>
                  <w:r>
                    <w:rPr>
                      <w:bCs/>
                      <w:szCs w:val="21"/>
                    </w:rPr>
                    <w:t>kg/a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680" w:type="dxa"/>
                  <w:vMerge w:val="continue"/>
                  <w:tcBorders>
                    <w:tl2br w:val="nil"/>
                    <w:tr2bl w:val="nil"/>
                  </w:tcBorders>
                  <w:vAlign w:val="center"/>
                </w:tcPr>
                <w:p>
                  <w:pPr>
                    <w:pStyle w:val="2"/>
                    <w:jc w:val="center"/>
                  </w:pPr>
                </w:p>
              </w:tc>
              <w:tc>
                <w:tcPr>
                  <w:tcW w:w="1153" w:type="dxa"/>
                  <w:tcBorders>
                    <w:tl2br w:val="nil"/>
                    <w:tr2bl w:val="nil"/>
                  </w:tcBorders>
                  <w:vAlign w:val="center"/>
                </w:tcPr>
                <w:p>
                  <w:pPr>
                    <w:pStyle w:val="2"/>
                    <w:jc w:val="center"/>
                  </w:pPr>
                  <w:r>
                    <w:rPr>
                      <w:rFonts w:hint="eastAsia"/>
                    </w:rPr>
                    <w:t>生产区</w:t>
                  </w:r>
                </w:p>
              </w:tc>
              <w:tc>
                <w:tcPr>
                  <w:tcW w:w="1080" w:type="dxa"/>
                  <w:tcBorders>
                    <w:tl2br w:val="nil"/>
                    <w:tr2bl w:val="nil"/>
                  </w:tcBorders>
                  <w:vAlign w:val="center"/>
                </w:tcPr>
                <w:p>
                  <w:pPr>
                    <w:pStyle w:val="2"/>
                    <w:jc w:val="center"/>
                  </w:pPr>
                  <w:r>
                    <w:rPr>
                      <w:rFonts w:hint="eastAsia"/>
                    </w:rPr>
                    <w:t>非甲烷总烃</w:t>
                  </w:r>
                </w:p>
              </w:tc>
              <w:tc>
                <w:tcPr>
                  <w:tcW w:w="1410" w:type="dxa"/>
                  <w:tcBorders>
                    <w:tl2br w:val="nil"/>
                    <w:tr2bl w:val="nil"/>
                  </w:tcBorders>
                  <w:vAlign w:val="center"/>
                </w:tcPr>
                <w:p>
                  <w:pPr>
                    <w:pStyle w:val="2"/>
                    <w:jc w:val="center"/>
                  </w:pPr>
                  <w:r>
                    <w:rPr>
                      <w:rFonts w:hint="eastAsia"/>
                      <w:szCs w:val="21"/>
                    </w:rPr>
                    <w:t>1.08</w:t>
                  </w:r>
                  <w:r>
                    <w:rPr>
                      <w:szCs w:val="21"/>
                    </w:rPr>
                    <w:t>mg/m³</w:t>
                  </w:r>
                </w:p>
              </w:tc>
              <w:tc>
                <w:tcPr>
                  <w:tcW w:w="1130" w:type="dxa"/>
                  <w:tcBorders>
                    <w:tl2br w:val="nil"/>
                    <w:tr2bl w:val="nil"/>
                  </w:tcBorders>
                  <w:vAlign w:val="center"/>
                </w:tcPr>
                <w:p>
                  <w:pPr>
                    <w:pStyle w:val="2"/>
                    <w:jc w:val="center"/>
                  </w:pPr>
                  <w:r>
                    <w:rPr>
                      <w:rFonts w:hint="eastAsia"/>
                      <w:szCs w:val="21"/>
                    </w:rPr>
                    <w:t>0.0026t</w:t>
                  </w:r>
                  <w:r>
                    <w:rPr>
                      <w:szCs w:val="21"/>
                    </w:rPr>
                    <w:t>/a</w:t>
                  </w:r>
                </w:p>
              </w:tc>
              <w:tc>
                <w:tcPr>
                  <w:tcW w:w="1300" w:type="dxa"/>
                  <w:tcBorders>
                    <w:tl2br w:val="nil"/>
                    <w:tr2bl w:val="nil"/>
                  </w:tcBorders>
                  <w:vAlign w:val="center"/>
                </w:tcPr>
                <w:p>
                  <w:pPr>
                    <w:pStyle w:val="2"/>
                    <w:jc w:val="center"/>
                  </w:pPr>
                  <w:r>
                    <w:rPr>
                      <w:rFonts w:hint="eastAsia"/>
                      <w:szCs w:val="21"/>
                    </w:rPr>
                    <w:t>1.08</w:t>
                  </w:r>
                  <w:r>
                    <w:rPr>
                      <w:szCs w:val="21"/>
                    </w:rPr>
                    <w:t>mg/m³</w:t>
                  </w:r>
                </w:p>
              </w:tc>
              <w:tc>
                <w:tcPr>
                  <w:tcW w:w="1125" w:type="dxa"/>
                  <w:tcBorders>
                    <w:tl2br w:val="nil"/>
                    <w:tr2bl w:val="nil"/>
                  </w:tcBorders>
                  <w:vAlign w:val="center"/>
                </w:tcPr>
                <w:p>
                  <w:pPr>
                    <w:pStyle w:val="2"/>
                    <w:jc w:val="center"/>
                  </w:pPr>
                  <w:r>
                    <w:rPr>
                      <w:rFonts w:hint="eastAsia"/>
                      <w:szCs w:val="21"/>
                    </w:rPr>
                    <w:t>0.0026t</w:t>
                  </w:r>
                  <w:r>
                    <w:rPr>
                      <w:szCs w:val="21"/>
                    </w:rPr>
                    <w: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680" w:type="dxa"/>
                  <w:vMerge w:val="restart"/>
                  <w:tcBorders>
                    <w:tl2br w:val="nil"/>
                    <w:tr2bl w:val="nil"/>
                  </w:tcBorders>
                  <w:vAlign w:val="center"/>
                </w:tcPr>
                <w:p>
                  <w:pPr>
                    <w:pStyle w:val="2"/>
                    <w:jc w:val="center"/>
                  </w:pPr>
                  <w:r>
                    <w:rPr>
                      <w:rFonts w:hint="eastAsia"/>
                    </w:rPr>
                    <w:t>水污染物</w:t>
                  </w:r>
                </w:p>
              </w:tc>
              <w:tc>
                <w:tcPr>
                  <w:tcW w:w="1153" w:type="dxa"/>
                  <w:vMerge w:val="restart"/>
                  <w:tcBorders>
                    <w:tl2br w:val="nil"/>
                    <w:tr2bl w:val="nil"/>
                  </w:tcBorders>
                  <w:vAlign w:val="center"/>
                </w:tcPr>
                <w:p>
                  <w:pPr>
                    <w:pStyle w:val="2"/>
                    <w:jc w:val="center"/>
                  </w:pPr>
                  <w:r>
                    <w:rPr>
                      <w:rFonts w:hint="eastAsia"/>
                    </w:rPr>
                    <w:t>处理后废水（1324.31t）</w:t>
                  </w:r>
                </w:p>
              </w:tc>
              <w:tc>
                <w:tcPr>
                  <w:tcW w:w="1080" w:type="dxa"/>
                  <w:tcBorders>
                    <w:tl2br w:val="nil"/>
                    <w:tr2bl w:val="nil"/>
                  </w:tcBorders>
                  <w:vAlign w:val="center"/>
                </w:tcPr>
                <w:p>
                  <w:pPr>
                    <w:pStyle w:val="2"/>
                    <w:jc w:val="center"/>
                  </w:pPr>
                  <w:r>
                    <w:rPr>
                      <w:rFonts w:hint="eastAsia"/>
                    </w:rPr>
                    <w:t>COD</w:t>
                  </w:r>
                </w:p>
              </w:tc>
              <w:tc>
                <w:tcPr>
                  <w:tcW w:w="1410" w:type="dxa"/>
                  <w:tcBorders>
                    <w:tl2br w:val="nil"/>
                    <w:tr2bl w:val="nil"/>
                  </w:tcBorders>
                  <w:vAlign w:val="center"/>
                </w:tcPr>
                <w:p>
                  <w:pPr>
                    <w:jc w:val="center"/>
                  </w:pPr>
                  <w:r>
                    <w:rPr>
                      <w:rFonts w:hint="eastAsia"/>
                      <w:szCs w:val="21"/>
                    </w:rPr>
                    <w:t>229</w:t>
                  </w:r>
                  <w:r>
                    <w:rPr>
                      <w:szCs w:val="21"/>
                    </w:rPr>
                    <w:t>mg/m³</w:t>
                  </w:r>
                </w:p>
              </w:tc>
              <w:tc>
                <w:tcPr>
                  <w:tcW w:w="1130" w:type="dxa"/>
                  <w:tcBorders>
                    <w:tl2br w:val="nil"/>
                    <w:tr2bl w:val="nil"/>
                  </w:tcBorders>
                  <w:vAlign w:val="center"/>
                </w:tcPr>
                <w:p>
                  <w:pPr>
                    <w:jc w:val="center"/>
                  </w:pPr>
                  <w:r>
                    <w:rPr>
                      <w:rFonts w:hint="eastAsia"/>
                      <w:szCs w:val="21"/>
                    </w:rPr>
                    <w:t>0.303t/a</w:t>
                  </w:r>
                </w:p>
              </w:tc>
              <w:tc>
                <w:tcPr>
                  <w:tcW w:w="1300" w:type="dxa"/>
                  <w:tcBorders>
                    <w:tl2br w:val="nil"/>
                    <w:tr2bl w:val="nil"/>
                  </w:tcBorders>
                  <w:vAlign w:val="center"/>
                </w:tcPr>
                <w:p>
                  <w:pPr>
                    <w:jc w:val="center"/>
                  </w:pPr>
                  <w:r>
                    <w:rPr>
                      <w:rFonts w:hint="eastAsia"/>
                      <w:szCs w:val="21"/>
                    </w:rPr>
                    <w:t>68</w:t>
                  </w:r>
                  <w:r>
                    <w:rPr>
                      <w:szCs w:val="21"/>
                    </w:rPr>
                    <w:t>mg/m³</w:t>
                  </w:r>
                </w:p>
              </w:tc>
              <w:tc>
                <w:tcPr>
                  <w:tcW w:w="1125" w:type="dxa"/>
                  <w:tcBorders>
                    <w:tl2br w:val="nil"/>
                    <w:tr2bl w:val="nil"/>
                  </w:tcBorders>
                  <w:vAlign w:val="center"/>
                </w:tcPr>
                <w:p>
                  <w:pPr>
                    <w:widowControl/>
                    <w:jc w:val="center"/>
                    <w:textAlignment w:val="center"/>
                    <w:rPr>
                      <w:szCs w:val="21"/>
                    </w:rPr>
                  </w:pPr>
                  <w:r>
                    <w:rPr>
                      <w:rFonts w:hint="eastAsia"/>
                      <w:color w:val="000000"/>
                      <w:kern w:val="0"/>
                      <w:szCs w:val="21"/>
                    </w:rPr>
                    <w:t>0.09t/a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680" w:type="dxa"/>
                  <w:vMerge w:val="continue"/>
                  <w:tcBorders>
                    <w:tl2br w:val="nil"/>
                    <w:tr2bl w:val="nil"/>
                  </w:tcBorders>
                  <w:vAlign w:val="center"/>
                </w:tcPr>
                <w:p>
                  <w:pPr>
                    <w:pStyle w:val="2"/>
                    <w:jc w:val="center"/>
                  </w:pPr>
                </w:p>
              </w:tc>
              <w:tc>
                <w:tcPr>
                  <w:tcW w:w="1153" w:type="dxa"/>
                  <w:vMerge w:val="continue"/>
                  <w:tcBorders>
                    <w:tl2br w:val="nil"/>
                    <w:tr2bl w:val="nil"/>
                  </w:tcBorders>
                  <w:vAlign w:val="center"/>
                </w:tcPr>
                <w:p>
                  <w:pPr>
                    <w:pStyle w:val="2"/>
                    <w:jc w:val="center"/>
                  </w:pPr>
                </w:p>
              </w:tc>
              <w:tc>
                <w:tcPr>
                  <w:tcW w:w="1080" w:type="dxa"/>
                  <w:tcBorders>
                    <w:tl2br w:val="nil"/>
                    <w:tr2bl w:val="nil"/>
                  </w:tcBorders>
                  <w:vAlign w:val="center"/>
                </w:tcPr>
                <w:p>
                  <w:pPr>
                    <w:pStyle w:val="2"/>
                    <w:jc w:val="center"/>
                  </w:pPr>
                  <w:r>
                    <w:rPr>
                      <w:rFonts w:hint="eastAsia"/>
                    </w:rPr>
                    <w:t>BOD</w:t>
                  </w:r>
                </w:p>
              </w:tc>
              <w:tc>
                <w:tcPr>
                  <w:tcW w:w="1410" w:type="dxa"/>
                  <w:tcBorders>
                    <w:tl2br w:val="nil"/>
                    <w:tr2bl w:val="nil"/>
                  </w:tcBorders>
                  <w:vAlign w:val="center"/>
                </w:tcPr>
                <w:p>
                  <w:pPr>
                    <w:jc w:val="center"/>
                    <w:rPr>
                      <w:szCs w:val="21"/>
                    </w:rPr>
                  </w:pPr>
                  <w:r>
                    <w:rPr>
                      <w:rFonts w:hint="eastAsia"/>
                      <w:szCs w:val="21"/>
                    </w:rPr>
                    <w:t>150</w:t>
                  </w:r>
                  <w:r>
                    <w:rPr>
                      <w:szCs w:val="21"/>
                    </w:rPr>
                    <w:t>mg/m³</w:t>
                  </w:r>
                </w:p>
              </w:tc>
              <w:tc>
                <w:tcPr>
                  <w:tcW w:w="1130" w:type="dxa"/>
                  <w:tcBorders>
                    <w:tl2br w:val="nil"/>
                    <w:tr2bl w:val="nil"/>
                  </w:tcBorders>
                  <w:vAlign w:val="center"/>
                </w:tcPr>
                <w:p>
                  <w:pPr>
                    <w:jc w:val="center"/>
                    <w:rPr>
                      <w:szCs w:val="21"/>
                    </w:rPr>
                  </w:pPr>
                  <w:r>
                    <w:rPr>
                      <w:rFonts w:hint="eastAsia"/>
                      <w:szCs w:val="21"/>
                    </w:rPr>
                    <w:t>0.199t/a</w:t>
                  </w:r>
                </w:p>
              </w:tc>
              <w:tc>
                <w:tcPr>
                  <w:tcW w:w="1300" w:type="dxa"/>
                  <w:tcBorders>
                    <w:tl2br w:val="nil"/>
                    <w:tr2bl w:val="nil"/>
                  </w:tcBorders>
                  <w:vAlign w:val="center"/>
                </w:tcPr>
                <w:p>
                  <w:pPr>
                    <w:jc w:val="center"/>
                    <w:rPr>
                      <w:szCs w:val="21"/>
                    </w:rPr>
                  </w:pPr>
                  <w:r>
                    <w:rPr>
                      <w:rFonts w:hint="eastAsia"/>
                      <w:szCs w:val="21"/>
                    </w:rPr>
                    <w:t>30</w:t>
                  </w:r>
                  <w:r>
                    <w:rPr>
                      <w:szCs w:val="21"/>
                    </w:rPr>
                    <w:t>mg/m³</w:t>
                  </w:r>
                </w:p>
              </w:tc>
              <w:tc>
                <w:tcPr>
                  <w:tcW w:w="1125" w:type="dxa"/>
                  <w:tcBorders>
                    <w:tl2br w:val="nil"/>
                    <w:tr2bl w:val="nil"/>
                  </w:tcBorders>
                  <w:vAlign w:val="center"/>
                </w:tcPr>
                <w:p>
                  <w:pPr>
                    <w:widowControl/>
                    <w:jc w:val="center"/>
                    <w:textAlignment w:val="center"/>
                    <w:rPr>
                      <w:szCs w:val="21"/>
                    </w:rPr>
                  </w:pPr>
                  <w:r>
                    <w:rPr>
                      <w:color w:val="000000"/>
                      <w:kern w:val="0"/>
                      <w:szCs w:val="21"/>
                    </w:rPr>
                    <w:t>0.0</w:t>
                  </w:r>
                  <w:r>
                    <w:rPr>
                      <w:rFonts w:hint="eastAsia"/>
                      <w:color w:val="000000"/>
                      <w:kern w:val="0"/>
                      <w:szCs w:val="21"/>
                    </w:rPr>
                    <w:t>4t/a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680" w:type="dxa"/>
                  <w:vMerge w:val="continue"/>
                  <w:tcBorders>
                    <w:tl2br w:val="nil"/>
                    <w:tr2bl w:val="nil"/>
                  </w:tcBorders>
                  <w:vAlign w:val="center"/>
                </w:tcPr>
                <w:p>
                  <w:pPr>
                    <w:pStyle w:val="2"/>
                    <w:jc w:val="center"/>
                  </w:pPr>
                </w:p>
              </w:tc>
              <w:tc>
                <w:tcPr>
                  <w:tcW w:w="1153" w:type="dxa"/>
                  <w:vMerge w:val="continue"/>
                  <w:tcBorders>
                    <w:tl2br w:val="nil"/>
                    <w:tr2bl w:val="nil"/>
                  </w:tcBorders>
                  <w:vAlign w:val="center"/>
                </w:tcPr>
                <w:p>
                  <w:pPr>
                    <w:pStyle w:val="2"/>
                    <w:jc w:val="center"/>
                  </w:pPr>
                </w:p>
              </w:tc>
              <w:tc>
                <w:tcPr>
                  <w:tcW w:w="1080" w:type="dxa"/>
                  <w:tcBorders>
                    <w:tl2br w:val="nil"/>
                    <w:tr2bl w:val="nil"/>
                  </w:tcBorders>
                  <w:vAlign w:val="center"/>
                </w:tcPr>
                <w:p>
                  <w:pPr>
                    <w:pStyle w:val="2"/>
                    <w:jc w:val="center"/>
                  </w:pPr>
                  <w:r>
                    <w:rPr>
                      <w:rFonts w:hint="eastAsia"/>
                    </w:rPr>
                    <w:t>SS</w:t>
                  </w:r>
                </w:p>
              </w:tc>
              <w:tc>
                <w:tcPr>
                  <w:tcW w:w="1410" w:type="dxa"/>
                  <w:tcBorders>
                    <w:tl2br w:val="nil"/>
                    <w:tr2bl w:val="nil"/>
                  </w:tcBorders>
                  <w:vAlign w:val="center"/>
                </w:tcPr>
                <w:p>
                  <w:pPr>
                    <w:jc w:val="center"/>
                    <w:rPr>
                      <w:szCs w:val="21"/>
                    </w:rPr>
                  </w:pPr>
                  <w:r>
                    <w:rPr>
                      <w:rFonts w:hint="eastAsia"/>
                      <w:szCs w:val="21"/>
                    </w:rPr>
                    <w:t>200</w:t>
                  </w:r>
                  <w:r>
                    <w:rPr>
                      <w:szCs w:val="21"/>
                    </w:rPr>
                    <w:t>mg/m³</w:t>
                  </w:r>
                </w:p>
              </w:tc>
              <w:tc>
                <w:tcPr>
                  <w:tcW w:w="1130" w:type="dxa"/>
                  <w:tcBorders>
                    <w:tl2br w:val="nil"/>
                    <w:tr2bl w:val="nil"/>
                  </w:tcBorders>
                  <w:vAlign w:val="center"/>
                </w:tcPr>
                <w:p>
                  <w:pPr>
                    <w:jc w:val="center"/>
                    <w:rPr>
                      <w:szCs w:val="21"/>
                    </w:rPr>
                  </w:pPr>
                  <w:r>
                    <w:rPr>
                      <w:rFonts w:hint="eastAsia"/>
                      <w:szCs w:val="21"/>
                    </w:rPr>
                    <w:t>0.26t/a</w:t>
                  </w:r>
                </w:p>
              </w:tc>
              <w:tc>
                <w:tcPr>
                  <w:tcW w:w="1300" w:type="dxa"/>
                  <w:tcBorders>
                    <w:tl2br w:val="nil"/>
                    <w:tr2bl w:val="nil"/>
                  </w:tcBorders>
                  <w:vAlign w:val="center"/>
                </w:tcPr>
                <w:p>
                  <w:pPr>
                    <w:jc w:val="center"/>
                    <w:rPr>
                      <w:szCs w:val="21"/>
                    </w:rPr>
                  </w:pPr>
                  <w:r>
                    <w:rPr>
                      <w:rFonts w:hint="eastAsia"/>
                      <w:szCs w:val="21"/>
                    </w:rPr>
                    <w:t>70</w:t>
                  </w:r>
                  <w:r>
                    <w:rPr>
                      <w:szCs w:val="21"/>
                    </w:rPr>
                    <w:t>mg/m³</w:t>
                  </w:r>
                </w:p>
              </w:tc>
              <w:tc>
                <w:tcPr>
                  <w:tcW w:w="1125" w:type="dxa"/>
                  <w:tcBorders>
                    <w:tl2br w:val="nil"/>
                    <w:tr2bl w:val="nil"/>
                  </w:tcBorders>
                  <w:vAlign w:val="center"/>
                </w:tcPr>
                <w:p>
                  <w:pPr>
                    <w:widowControl/>
                    <w:jc w:val="center"/>
                    <w:textAlignment w:val="center"/>
                    <w:rPr>
                      <w:szCs w:val="21"/>
                    </w:rPr>
                  </w:pPr>
                  <w:r>
                    <w:rPr>
                      <w:color w:val="000000"/>
                      <w:kern w:val="0"/>
                      <w:szCs w:val="21"/>
                    </w:rPr>
                    <w:t>0.09</w:t>
                  </w:r>
                  <w:r>
                    <w:rPr>
                      <w:rFonts w:hint="eastAsia"/>
                      <w:color w:val="000000"/>
                      <w:kern w:val="0"/>
                      <w:szCs w:val="21"/>
                    </w:rPr>
                    <w:t>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680" w:type="dxa"/>
                  <w:vMerge w:val="continue"/>
                  <w:tcBorders>
                    <w:tl2br w:val="nil"/>
                    <w:tr2bl w:val="nil"/>
                  </w:tcBorders>
                  <w:vAlign w:val="center"/>
                </w:tcPr>
                <w:p>
                  <w:pPr>
                    <w:pStyle w:val="2"/>
                    <w:jc w:val="center"/>
                  </w:pPr>
                </w:p>
                <w:p/>
              </w:tc>
              <w:tc>
                <w:tcPr>
                  <w:tcW w:w="1153" w:type="dxa"/>
                  <w:vMerge w:val="continue"/>
                  <w:tcBorders>
                    <w:tl2br w:val="nil"/>
                    <w:tr2bl w:val="nil"/>
                  </w:tcBorders>
                  <w:vAlign w:val="center"/>
                </w:tcPr>
                <w:p>
                  <w:pPr>
                    <w:pStyle w:val="2"/>
                    <w:jc w:val="center"/>
                  </w:pPr>
                </w:p>
              </w:tc>
              <w:tc>
                <w:tcPr>
                  <w:tcW w:w="1080" w:type="dxa"/>
                  <w:tcBorders>
                    <w:tl2br w:val="nil"/>
                    <w:tr2bl w:val="nil"/>
                  </w:tcBorders>
                  <w:vAlign w:val="center"/>
                </w:tcPr>
                <w:p>
                  <w:pPr>
                    <w:pStyle w:val="2"/>
                    <w:jc w:val="center"/>
                  </w:pPr>
                  <w:r>
                    <w:rPr>
                      <w:rFonts w:hint="eastAsia"/>
                    </w:rPr>
                    <w:t>氨氮</w:t>
                  </w:r>
                </w:p>
              </w:tc>
              <w:tc>
                <w:tcPr>
                  <w:tcW w:w="1410" w:type="dxa"/>
                  <w:tcBorders>
                    <w:tl2br w:val="nil"/>
                    <w:tr2bl w:val="nil"/>
                  </w:tcBorders>
                  <w:vAlign w:val="center"/>
                </w:tcPr>
                <w:p>
                  <w:pPr>
                    <w:jc w:val="center"/>
                    <w:rPr>
                      <w:szCs w:val="21"/>
                    </w:rPr>
                  </w:pPr>
                  <w:r>
                    <w:rPr>
                      <w:rFonts w:hint="eastAsia"/>
                      <w:szCs w:val="21"/>
                    </w:rPr>
                    <w:t>30</w:t>
                  </w:r>
                  <w:r>
                    <w:rPr>
                      <w:szCs w:val="21"/>
                    </w:rPr>
                    <w:t>mg/m³</w:t>
                  </w:r>
                </w:p>
              </w:tc>
              <w:tc>
                <w:tcPr>
                  <w:tcW w:w="1130" w:type="dxa"/>
                  <w:tcBorders>
                    <w:tl2br w:val="nil"/>
                    <w:tr2bl w:val="nil"/>
                  </w:tcBorders>
                  <w:vAlign w:val="center"/>
                </w:tcPr>
                <w:p>
                  <w:pPr>
                    <w:jc w:val="center"/>
                    <w:rPr>
                      <w:szCs w:val="21"/>
                    </w:rPr>
                  </w:pPr>
                  <w:r>
                    <w:rPr>
                      <w:rFonts w:hint="eastAsia"/>
                      <w:szCs w:val="21"/>
                    </w:rPr>
                    <w:t>0.04t/a</w:t>
                  </w:r>
                </w:p>
              </w:tc>
              <w:tc>
                <w:tcPr>
                  <w:tcW w:w="1300" w:type="dxa"/>
                  <w:tcBorders>
                    <w:tl2br w:val="nil"/>
                    <w:tr2bl w:val="nil"/>
                  </w:tcBorders>
                  <w:vAlign w:val="center"/>
                </w:tcPr>
                <w:p>
                  <w:pPr>
                    <w:jc w:val="center"/>
                    <w:rPr>
                      <w:szCs w:val="21"/>
                    </w:rPr>
                  </w:pPr>
                  <w:r>
                    <w:rPr>
                      <w:rFonts w:hint="eastAsia"/>
                      <w:szCs w:val="21"/>
                    </w:rPr>
                    <w:t>15</w:t>
                  </w:r>
                  <w:r>
                    <w:rPr>
                      <w:szCs w:val="21"/>
                    </w:rPr>
                    <w:t>mg/m³</w:t>
                  </w:r>
                </w:p>
              </w:tc>
              <w:tc>
                <w:tcPr>
                  <w:tcW w:w="1125" w:type="dxa"/>
                  <w:tcBorders>
                    <w:tl2br w:val="nil"/>
                    <w:tr2bl w:val="nil"/>
                  </w:tcBorders>
                  <w:vAlign w:val="center"/>
                </w:tcPr>
                <w:p>
                  <w:pPr>
                    <w:widowControl/>
                    <w:jc w:val="center"/>
                    <w:textAlignment w:val="center"/>
                    <w:rPr>
                      <w:szCs w:val="21"/>
                    </w:rPr>
                  </w:pPr>
                  <w:r>
                    <w:rPr>
                      <w:color w:val="000000"/>
                      <w:kern w:val="0"/>
                      <w:szCs w:val="21"/>
                    </w:rPr>
                    <w:t>0.0</w:t>
                  </w:r>
                  <w:r>
                    <w:rPr>
                      <w:rFonts w:hint="eastAsia"/>
                      <w:color w:val="000000"/>
                      <w:kern w:val="0"/>
                      <w:szCs w:val="21"/>
                    </w:rPr>
                    <w:t>2t/a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680" w:type="dxa"/>
                  <w:vMerge w:val="continue"/>
                  <w:tcBorders>
                    <w:tl2br w:val="nil"/>
                    <w:tr2bl w:val="nil"/>
                  </w:tcBorders>
                  <w:vAlign w:val="center"/>
                </w:tcPr>
                <w:p>
                  <w:pPr>
                    <w:pStyle w:val="2"/>
                    <w:jc w:val="center"/>
                  </w:pPr>
                </w:p>
              </w:tc>
              <w:tc>
                <w:tcPr>
                  <w:tcW w:w="1153" w:type="dxa"/>
                  <w:vMerge w:val="continue"/>
                  <w:tcBorders>
                    <w:tl2br w:val="nil"/>
                    <w:tr2bl w:val="nil"/>
                  </w:tcBorders>
                  <w:vAlign w:val="center"/>
                </w:tcPr>
                <w:p>
                  <w:pPr>
                    <w:pStyle w:val="2"/>
                    <w:jc w:val="center"/>
                  </w:pPr>
                </w:p>
              </w:tc>
              <w:tc>
                <w:tcPr>
                  <w:tcW w:w="1080" w:type="dxa"/>
                  <w:tcBorders>
                    <w:tl2br w:val="nil"/>
                    <w:tr2bl w:val="nil"/>
                  </w:tcBorders>
                  <w:vAlign w:val="center"/>
                </w:tcPr>
                <w:p>
                  <w:pPr>
                    <w:pStyle w:val="2"/>
                    <w:jc w:val="center"/>
                  </w:pPr>
                  <w:r>
                    <w:rPr>
                      <w:rFonts w:hint="eastAsia"/>
                    </w:rPr>
                    <w:t>石油类</w:t>
                  </w:r>
                </w:p>
              </w:tc>
              <w:tc>
                <w:tcPr>
                  <w:tcW w:w="1410" w:type="dxa"/>
                  <w:tcBorders>
                    <w:tl2br w:val="nil"/>
                    <w:tr2bl w:val="nil"/>
                  </w:tcBorders>
                  <w:vAlign w:val="center"/>
                </w:tcPr>
                <w:p>
                  <w:pPr>
                    <w:jc w:val="center"/>
                  </w:pPr>
                  <w:r>
                    <w:rPr>
                      <w:rFonts w:hint="eastAsia"/>
                      <w:szCs w:val="21"/>
                    </w:rPr>
                    <w:t>6.64</w:t>
                  </w:r>
                  <w:r>
                    <w:rPr>
                      <w:szCs w:val="21"/>
                    </w:rPr>
                    <w:t>mg/m³</w:t>
                  </w:r>
                </w:p>
              </w:tc>
              <w:tc>
                <w:tcPr>
                  <w:tcW w:w="1130" w:type="dxa"/>
                  <w:tcBorders>
                    <w:tl2br w:val="nil"/>
                    <w:tr2bl w:val="nil"/>
                  </w:tcBorders>
                  <w:vAlign w:val="center"/>
                </w:tcPr>
                <w:p>
                  <w:pPr>
                    <w:jc w:val="center"/>
                  </w:pPr>
                  <w:r>
                    <w:rPr>
                      <w:rFonts w:hint="eastAsia"/>
                      <w:szCs w:val="21"/>
                    </w:rPr>
                    <w:t>0.0088t/a</w:t>
                  </w:r>
                </w:p>
              </w:tc>
              <w:tc>
                <w:tcPr>
                  <w:tcW w:w="1300" w:type="dxa"/>
                  <w:tcBorders>
                    <w:tl2br w:val="nil"/>
                    <w:tr2bl w:val="nil"/>
                  </w:tcBorders>
                  <w:vAlign w:val="center"/>
                </w:tcPr>
                <w:p>
                  <w:pPr>
                    <w:jc w:val="center"/>
                  </w:pPr>
                  <w:r>
                    <w:rPr>
                      <w:rFonts w:hint="eastAsia"/>
                      <w:szCs w:val="21"/>
                    </w:rPr>
                    <w:t>0.244</w:t>
                  </w:r>
                  <w:r>
                    <w:rPr>
                      <w:szCs w:val="21"/>
                    </w:rPr>
                    <w:t>mg/m³</w:t>
                  </w:r>
                </w:p>
              </w:tc>
              <w:tc>
                <w:tcPr>
                  <w:tcW w:w="1125" w:type="dxa"/>
                  <w:tcBorders>
                    <w:tl2br w:val="nil"/>
                    <w:tr2bl w:val="nil"/>
                  </w:tcBorders>
                  <w:vAlign w:val="center"/>
                </w:tcPr>
                <w:p>
                  <w:pPr>
                    <w:widowControl/>
                    <w:jc w:val="center"/>
                    <w:textAlignment w:val="center"/>
                    <w:rPr>
                      <w:szCs w:val="21"/>
                    </w:rPr>
                  </w:pPr>
                  <w:r>
                    <w:rPr>
                      <w:color w:val="000000"/>
                      <w:kern w:val="0"/>
                      <w:szCs w:val="21"/>
                    </w:rPr>
                    <w:t>0.0</w:t>
                  </w:r>
                  <w:r>
                    <w:rPr>
                      <w:rFonts w:hint="eastAsia"/>
                      <w:color w:val="000000"/>
                      <w:kern w:val="0"/>
                      <w:szCs w:val="21"/>
                    </w:rPr>
                    <w:t>003t/a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680" w:type="dxa"/>
                  <w:tcBorders>
                    <w:tl2br w:val="nil"/>
                    <w:tr2bl w:val="nil"/>
                  </w:tcBorders>
                  <w:vAlign w:val="center"/>
                </w:tcPr>
                <w:p>
                  <w:pPr>
                    <w:pStyle w:val="2"/>
                    <w:jc w:val="center"/>
                  </w:pPr>
                  <w:r>
                    <w:rPr>
                      <w:rFonts w:hint="eastAsia"/>
                    </w:rPr>
                    <w:t>声环境</w:t>
                  </w:r>
                </w:p>
              </w:tc>
              <w:tc>
                <w:tcPr>
                  <w:tcW w:w="1153" w:type="dxa"/>
                  <w:tcBorders>
                    <w:tl2br w:val="nil"/>
                    <w:tr2bl w:val="nil"/>
                  </w:tcBorders>
                  <w:vAlign w:val="center"/>
                </w:tcPr>
                <w:p>
                  <w:pPr>
                    <w:pStyle w:val="2"/>
                    <w:jc w:val="center"/>
                  </w:pPr>
                  <w:r>
                    <w:rPr>
                      <w:rFonts w:hint="eastAsia"/>
                    </w:rPr>
                    <w:t>噪声</w:t>
                  </w:r>
                </w:p>
              </w:tc>
              <w:tc>
                <w:tcPr>
                  <w:tcW w:w="6045" w:type="dxa"/>
                  <w:gridSpan w:val="5"/>
                  <w:tcBorders>
                    <w:tl2br w:val="nil"/>
                    <w:tr2bl w:val="nil"/>
                  </w:tcBorders>
                  <w:vAlign w:val="center"/>
                </w:tcPr>
                <w:p>
                  <w:pPr>
                    <w:pStyle w:val="2"/>
                    <w:jc w:val="center"/>
                  </w:pPr>
                  <w:r>
                    <w:rPr>
                      <w:rFonts w:hint="eastAsia"/>
                    </w:rPr>
                    <w:t>基座减振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680" w:type="dxa"/>
                  <w:vMerge w:val="restart"/>
                  <w:tcBorders>
                    <w:tl2br w:val="nil"/>
                    <w:tr2bl w:val="nil"/>
                  </w:tcBorders>
                  <w:vAlign w:val="center"/>
                </w:tcPr>
                <w:p>
                  <w:pPr>
                    <w:pStyle w:val="2"/>
                    <w:jc w:val="center"/>
                  </w:pPr>
                  <w:r>
                    <w:rPr>
                      <w:rFonts w:hint="eastAsia"/>
                    </w:rPr>
                    <w:t>固废</w:t>
                  </w:r>
                </w:p>
              </w:tc>
              <w:tc>
                <w:tcPr>
                  <w:tcW w:w="1153" w:type="dxa"/>
                  <w:tcBorders>
                    <w:tl2br w:val="nil"/>
                    <w:tr2bl w:val="nil"/>
                  </w:tcBorders>
                  <w:vAlign w:val="center"/>
                </w:tcPr>
                <w:p>
                  <w:pPr>
                    <w:ind w:left="-42" w:leftChars="-20" w:right="-42" w:rightChars="-20"/>
                    <w:jc w:val="center"/>
                  </w:pPr>
                  <w:r>
                    <w:rPr>
                      <w:color w:val="000000"/>
                    </w:rPr>
                    <w:t>食堂</w:t>
                  </w:r>
                </w:p>
              </w:tc>
              <w:tc>
                <w:tcPr>
                  <w:tcW w:w="1080" w:type="dxa"/>
                  <w:tcBorders>
                    <w:tl2br w:val="nil"/>
                    <w:tr2bl w:val="nil"/>
                  </w:tcBorders>
                  <w:vAlign w:val="center"/>
                </w:tcPr>
                <w:p>
                  <w:pPr>
                    <w:ind w:left="-42" w:leftChars="-20" w:right="-42" w:rightChars="-20"/>
                    <w:jc w:val="center"/>
                    <w:rPr>
                      <w:color w:val="000000"/>
                      <w:szCs w:val="21"/>
                    </w:rPr>
                  </w:pPr>
                  <w:r>
                    <w:rPr>
                      <w:color w:val="000000"/>
                      <w:szCs w:val="21"/>
                    </w:rPr>
                    <w:t>生活垃圾</w:t>
                  </w:r>
                </w:p>
              </w:tc>
              <w:tc>
                <w:tcPr>
                  <w:tcW w:w="2540" w:type="dxa"/>
                  <w:gridSpan w:val="2"/>
                  <w:tcBorders>
                    <w:tl2br w:val="nil"/>
                    <w:tr2bl w:val="nil"/>
                  </w:tcBorders>
                  <w:vAlign w:val="center"/>
                </w:tcPr>
                <w:p>
                  <w:pPr>
                    <w:ind w:left="-42" w:leftChars="-20" w:right="-42" w:rightChars="-20"/>
                    <w:jc w:val="center"/>
                    <w:rPr>
                      <w:color w:val="000000"/>
                      <w:szCs w:val="21"/>
                    </w:rPr>
                  </w:pPr>
                  <w:r>
                    <w:rPr>
                      <w:rFonts w:hint="eastAsia"/>
                      <w:color w:val="000000"/>
                      <w:szCs w:val="21"/>
                    </w:rPr>
                    <w:t>0.3t/a</w:t>
                  </w:r>
                </w:p>
              </w:tc>
              <w:tc>
                <w:tcPr>
                  <w:tcW w:w="2425" w:type="dxa"/>
                  <w:gridSpan w:val="2"/>
                  <w:tcBorders>
                    <w:tl2br w:val="nil"/>
                    <w:tr2bl w:val="nil"/>
                  </w:tcBorders>
                  <w:vAlign w:val="center"/>
                </w:tcPr>
                <w:p>
                  <w:pPr>
                    <w:ind w:left="-42" w:leftChars="-20" w:right="-42" w:rightChars="-20"/>
                    <w:jc w:val="center"/>
                  </w:pPr>
                  <w:r>
                    <w:rPr>
                      <w:rFonts w:hint="eastAsia"/>
                      <w:color w:val="000000"/>
                      <w:szCs w:val="21"/>
                    </w:rPr>
                    <w:t>0.3t/a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680" w:type="dxa"/>
                  <w:vMerge w:val="continue"/>
                </w:tcPr>
                <w:p>
                  <w:pPr>
                    <w:pStyle w:val="2"/>
                    <w:jc w:val="center"/>
                  </w:pPr>
                </w:p>
              </w:tc>
              <w:tc>
                <w:tcPr>
                  <w:tcW w:w="1153" w:type="dxa"/>
                  <w:vAlign w:val="center"/>
                </w:tcPr>
                <w:p>
                  <w:pPr>
                    <w:ind w:left="-42" w:leftChars="-20" w:right="-42" w:rightChars="-20"/>
                    <w:jc w:val="center"/>
                  </w:pPr>
                  <w:r>
                    <w:rPr>
                      <w:rFonts w:hint="eastAsia"/>
                    </w:rPr>
                    <w:t>生产区</w:t>
                  </w:r>
                </w:p>
              </w:tc>
              <w:tc>
                <w:tcPr>
                  <w:tcW w:w="1080" w:type="dxa"/>
                  <w:vAlign w:val="center"/>
                </w:tcPr>
                <w:p>
                  <w:pPr>
                    <w:ind w:left="-42" w:leftChars="-20" w:right="-42" w:rightChars="-20"/>
                    <w:jc w:val="center"/>
                    <w:rPr>
                      <w:color w:val="000000"/>
                      <w:szCs w:val="21"/>
                    </w:rPr>
                  </w:pPr>
                  <w:r>
                    <w:rPr>
                      <w:rFonts w:hint="eastAsia"/>
                      <w:color w:val="000000"/>
                      <w:szCs w:val="21"/>
                    </w:rPr>
                    <w:t>废油</w:t>
                  </w:r>
                </w:p>
              </w:tc>
              <w:tc>
                <w:tcPr>
                  <w:tcW w:w="2540" w:type="dxa"/>
                  <w:gridSpan w:val="2"/>
                  <w:vAlign w:val="center"/>
                </w:tcPr>
                <w:p>
                  <w:pPr>
                    <w:ind w:left="-42" w:leftChars="-20" w:right="-42" w:rightChars="-20"/>
                    <w:jc w:val="center"/>
                    <w:rPr>
                      <w:color w:val="000000"/>
                      <w:szCs w:val="21"/>
                    </w:rPr>
                  </w:pPr>
                  <w:r>
                    <w:rPr>
                      <w:rFonts w:hint="eastAsia"/>
                      <w:color w:val="000000"/>
                      <w:szCs w:val="21"/>
                    </w:rPr>
                    <w:t>200t/a</w:t>
                  </w:r>
                </w:p>
              </w:tc>
              <w:tc>
                <w:tcPr>
                  <w:tcW w:w="2425" w:type="dxa"/>
                  <w:gridSpan w:val="2"/>
                  <w:vAlign w:val="center"/>
                </w:tcPr>
                <w:p>
                  <w:pPr>
                    <w:ind w:left="-42" w:leftChars="-20" w:right="-42" w:rightChars="-20"/>
                    <w:jc w:val="center"/>
                  </w:pPr>
                  <w:r>
                    <w:rPr>
                      <w:rFonts w:hint="eastAsia"/>
                      <w:color w:val="000000"/>
                      <w:szCs w:val="21"/>
                    </w:rPr>
                    <w:t>200t/a</w:t>
                  </w:r>
                </w:p>
              </w:tc>
            </w:tr>
          </w:tbl>
          <w:p>
            <w:pPr>
              <w:spacing w:line="360" w:lineRule="auto"/>
              <w:ind w:firstLine="420" w:firstLineChars="200"/>
              <w:rPr>
                <w:rFonts w:ascii="宋体" w:hAnsi="宋体"/>
                <w:bCs/>
                <w:szCs w:val="21"/>
              </w:rPr>
            </w:pPr>
            <w:r>
              <w:rPr>
                <w:rFonts w:ascii="宋体" w:hAnsi="宋体"/>
                <w:bCs/>
                <w:szCs w:val="21"/>
              </w:rPr>
              <w:br w:type="textWrapping"/>
            </w:r>
            <w:r>
              <w:rPr>
                <w:rFonts w:ascii="宋体" w:hAnsi="宋体"/>
                <w:bCs/>
                <w:szCs w:val="21"/>
              </w:rPr>
              <w:br w:type="textWrapping"/>
            </w:r>
            <w:r>
              <w:rPr>
                <w:rFonts w:ascii="宋体" w:hAnsi="宋体"/>
                <w:bCs/>
                <w:szCs w:val="21"/>
              </w:rPr>
              <w:br w:type="textWrapping"/>
            </w:r>
          </w:p>
        </w:tc>
      </w:tr>
    </w:tbl>
    <w:p>
      <w:pPr>
        <w:pStyle w:val="20"/>
        <w:jc w:val="center"/>
        <w:outlineLvl w:val="0"/>
        <w:rPr>
          <w:rFonts w:ascii="黑体" w:hAnsi="黑体" w:eastAsia="黑体"/>
          <w:snapToGrid w:val="0"/>
          <w:sz w:val="30"/>
          <w:szCs w:val="30"/>
        </w:rPr>
        <w:sectPr>
          <w:footerReference r:id="rId6" w:type="default"/>
          <w:pgSz w:w="11907" w:h="16840"/>
          <w:pgMar w:top="1701" w:right="1531" w:bottom="2127" w:left="1531" w:header="851" w:footer="851" w:gutter="0"/>
          <w:cols w:space="720" w:num="1"/>
          <w:docGrid w:linePitch="312" w:charSpace="0"/>
        </w:sectPr>
      </w:pPr>
    </w:p>
    <w:p>
      <w:pPr>
        <w:pStyle w:val="20"/>
        <w:jc w:val="center"/>
        <w:outlineLvl w:val="0"/>
        <w:rPr>
          <w:rFonts w:ascii="黑体" w:hAnsi="黑体" w:eastAsia="黑体"/>
          <w:snapToGrid w:val="0"/>
          <w:sz w:val="30"/>
          <w:szCs w:val="30"/>
        </w:rPr>
      </w:pPr>
      <w:bookmarkStart w:id="5" w:name="_Toc22916"/>
      <w:r>
        <w:rPr>
          <w:rFonts w:hint="eastAsia" w:ascii="黑体" w:hAnsi="黑体" w:eastAsia="黑体"/>
          <w:snapToGrid w:val="0"/>
          <w:sz w:val="30"/>
          <w:szCs w:val="30"/>
        </w:rPr>
        <w:t>三、区域环境质量现状、环境保护目标及评价标准</w:t>
      </w:r>
      <w:bookmarkEnd w:id="5"/>
    </w:p>
    <w:tbl>
      <w:tblPr>
        <w:tblStyle w:val="24"/>
        <w:tblW w:w="0" w:type="auto"/>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00"/>
        <w:gridCol w:w="819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220" w:hRule="atLeast"/>
          <w:jc w:val="center"/>
        </w:trPr>
        <w:tc>
          <w:tcPr>
            <w:tcW w:w="800" w:type="dxa"/>
            <w:tcBorders>
              <w:tl2br w:val="nil"/>
              <w:tr2bl w:val="nil"/>
            </w:tcBorders>
            <w:noWrap/>
            <w:vAlign w:val="center"/>
          </w:tcPr>
          <w:p>
            <w:pPr>
              <w:adjustRightInd w:val="0"/>
              <w:snapToGrid w:val="0"/>
              <w:jc w:val="center"/>
              <w:rPr>
                <w:rFonts w:ascii="宋体" w:hAnsi="宋体" w:cs="宋体"/>
                <w:kern w:val="0"/>
                <w:szCs w:val="21"/>
              </w:rPr>
            </w:pPr>
            <w:r>
              <w:rPr>
                <w:rFonts w:hint="eastAsia" w:ascii="宋体" w:hAnsi="宋体" w:cs="宋体"/>
                <w:kern w:val="0"/>
                <w:szCs w:val="21"/>
              </w:rPr>
              <w:t>生态环境现状</w:t>
            </w:r>
          </w:p>
        </w:tc>
        <w:tc>
          <w:tcPr>
            <w:tcW w:w="8190" w:type="dxa"/>
            <w:tcBorders>
              <w:tl2br w:val="nil"/>
              <w:tr2bl w:val="nil"/>
            </w:tcBorders>
            <w:noWrap/>
            <w:vAlign w:val="center"/>
          </w:tcPr>
          <w:p>
            <w:pPr>
              <w:adjustRightInd w:val="0"/>
              <w:snapToGrid w:val="0"/>
              <w:spacing w:line="360" w:lineRule="auto"/>
              <w:jc w:val="left"/>
              <w:rPr>
                <w:sz w:val="24"/>
                <w:szCs w:val="24"/>
                <w:u w:val="single"/>
              </w:rPr>
            </w:pPr>
            <w:r>
              <w:rPr>
                <w:rFonts w:hint="eastAsia"/>
                <w:sz w:val="24"/>
                <w:szCs w:val="24"/>
                <w:u w:val="single"/>
              </w:rPr>
              <w:t>二、生态环境现状情况</w:t>
            </w:r>
          </w:p>
          <w:p>
            <w:pPr>
              <w:adjustRightInd w:val="0"/>
              <w:snapToGrid w:val="0"/>
              <w:spacing w:line="360" w:lineRule="auto"/>
              <w:ind w:firstLine="480" w:firstLineChars="200"/>
              <w:jc w:val="left"/>
              <w:rPr>
                <w:sz w:val="24"/>
                <w:szCs w:val="24"/>
                <w:u w:val="single"/>
              </w:rPr>
            </w:pPr>
            <w:r>
              <w:rPr>
                <w:sz w:val="24"/>
                <w:szCs w:val="24"/>
                <w:u w:val="single"/>
              </w:rPr>
              <w:t>本项目</w:t>
            </w:r>
            <w:r>
              <w:rPr>
                <w:rFonts w:hint="eastAsia"/>
                <w:sz w:val="24"/>
                <w:szCs w:val="24"/>
                <w:u w:val="single"/>
              </w:rPr>
              <w:t>部分收集范围位于</w:t>
            </w:r>
            <w:r>
              <w:rPr>
                <w:sz w:val="24"/>
                <w:szCs w:val="24"/>
                <w:u w:val="single"/>
              </w:rPr>
              <w:t>位于东洞庭湖国家级</w:t>
            </w:r>
            <w:r>
              <w:rPr>
                <w:rFonts w:hint="eastAsia"/>
                <w:sz w:val="24"/>
                <w:szCs w:val="24"/>
                <w:u w:val="single"/>
              </w:rPr>
              <w:t>自然保护区</w:t>
            </w:r>
            <w:r>
              <w:rPr>
                <w:sz w:val="24"/>
                <w:szCs w:val="24"/>
                <w:u w:val="single"/>
              </w:rPr>
              <w:t>（</w:t>
            </w:r>
            <w:r>
              <w:rPr>
                <w:rFonts w:hint="eastAsia"/>
                <w:sz w:val="24"/>
                <w:szCs w:val="24"/>
                <w:u w:val="single"/>
              </w:rPr>
              <w:t>实验</w:t>
            </w:r>
            <w:r>
              <w:rPr>
                <w:sz w:val="24"/>
                <w:szCs w:val="24"/>
                <w:u w:val="single"/>
              </w:rPr>
              <w:t>区）</w:t>
            </w:r>
            <w:r>
              <w:rPr>
                <w:rFonts w:hint="eastAsia"/>
                <w:sz w:val="24"/>
                <w:szCs w:val="24"/>
                <w:u w:val="single"/>
              </w:rPr>
              <w:t>内。</w:t>
            </w:r>
            <w:r>
              <w:rPr>
                <w:sz w:val="24"/>
                <w:szCs w:val="24"/>
                <w:u w:val="single"/>
              </w:rPr>
              <w:t>关于东洞庭湖国家级自然保护区的自然概况如下：</w:t>
            </w:r>
          </w:p>
          <w:p>
            <w:pPr>
              <w:tabs>
                <w:tab w:val="left" w:pos="180"/>
                <w:tab w:val="left" w:pos="735"/>
              </w:tabs>
              <w:spacing w:line="360" w:lineRule="auto"/>
              <w:ind w:firstLine="480" w:firstLineChars="200"/>
              <w:rPr>
                <w:sz w:val="24"/>
                <w:szCs w:val="24"/>
                <w:u w:val="single"/>
              </w:rPr>
            </w:pPr>
            <w:bookmarkStart w:id="6" w:name="_Toc28846"/>
            <w:bookmarkStart w:id="7" w:name="_Toc15478"/>
            <w:bookmarkStart w:id="8" w:name="_Toc2887"/>
            <w:bookmarkStart w:id="9" w:name="_Toc29034"/>
            <w:bookmarkStart w:id="10" w:name="_Toc472885409"/>
            <w:bookmarkStart w:id="11" w:name="_Toc19152"/>
            <w:bookmarkStart w:id="12" w:name="_Toc1685"/>
            <w:bookmarkStart w:id="13" w:name="_Toc20310"/>
            <w:bookmarkStart w:id="14" w:name="_Toc491761608"/>
            <w:bookmarkStart w:id="15" w:name="_Toc31205"/>
            <w:bookmarkStart w:id="16" w:name="_Toc13522"/>
            <w:r>
              <w:rPr>
                <w:sz w:val="24"/>
                <w:szCs w:val="24"/>
                <w:u w:val="single"/>
              </w:rPr>
              <w:t>1、</w:t>
            </w:r>
            <w:bookmarkEnd w:id="6"/>
            <w:bookmarkEnd w:id="7"/>
            <w:bookmarkEnd w:id="8"/>
            <w:bookmarkEnd w:id="9"/>
            <w:bookmarkEnd w:id="10"/>
            <w:bookmarkEnd w:id="11"/>
            <w:bookmarkEnd w:id="12"/>
            <w:bookmarkEnd w:id="13"/>
            <w:r>
              <w:rPr>
                <w:sz w:val="24"/>
                <w:szCs w:val="24"/>
                <w:u w:val="single"/>
              </w:rPr>
              <w:t>基本概况</w:t>
            </w:r>
            <w:bookmarkEnd w:id="14"/>
            <w:bookmarkEnd w:id="15"/>
            <w:bookmarkEnd w:id="16"/>
          </w:p>
          <w:p>
            <w:pPr>
              <w:tabs>
                <w:tab w:val="left" w:pos="180"/>
                <w:tab w:val="left" w:pos="735"/>
              </w:tabs>
              <w:spacing w:line="360" w:lineRule="auto"/>
              <w:ind w:firstLine="480" w:firstLineChars="200"/>
              <w:rPr>
                <w:sz w:val="24"/>
                <w:szCs w:val="24"/>
                <w:u w:val="single"/>
              </w:rPr>
            </w:pPr>
            <w:r>
              <w:rPr>
                <w:sz w:val="24"/>
                <w:szCs w:val="24"/>
                <w:u w:val="single"/>
              </w:rPr>
              <w:t>湖南东洞庭湖国家级自然保护区位于长江中下游荆江江段南侧，地处湖南省东北部岳阳市境内，地理坐标介于东经112°43′</w:t>
            </w:r>
            <w:r>
              <w:rPr>
                <w:rFonts w:hint="eastAsia"/>
                <w:sz w:val="24"/>
                <w:szCs w:val="24"/>
                <w:u w:val="single"/>
                <w:lang w:val="en-US" w:eastAsia="zh-CN"/>
              </w:rPr>
              <w:t>59.5</w:t>
            </w:r>
            <w:r>
              <w:rPr>
                <w:sz w:val="24"/>
                <w:szCs w:val="24"/>
                <w:u w:val="single"/>
              </w:rPr>
              <w:t>-113°1</w:t>
            </w:r>
            <w:r>
              <w:rPr>
                <w:rFonts w:hint="eastAsia"/>
                <w:sz w:val="24"/>
                <w:szCs w:val="24"/>
                <w:u w:val="single"/>
                <w:lang w:val="en-US" w:eastAsia="zh-CN"/>
              </w:rPr>
              <w:t>3</w:t>
            </w:r>
            <w:r>
              <w:rPr>
                <w:sz w:val="24"/>
                <w:szCs w:val="24"/>
                <w:u w:val="single"/>
              </w:rPr>
              <w:t>′</w:t>
            </w:r>
            <w:r>
              <w:rPr>
                <w:rFonts w:hint="eastAsia"/>
                <w:sz w:val="24"/>
                <w:szCs w:val="24"/>
                <w:u w:val="single"/>
                <w:lang w:val="en-US" w:eastAsia="zh-CN"/>
              </w:rPr>
              <w:t>13.4</w:t>
            </w:r>
            <w:r>
              <w:rPr>
                <w:sz w:val="24"/>
                <w:szCs w:val="24"/>
                <w:u w:val="single"/>
              </w:rPr>
              <w:t>，北纬 29°00'00"-29°37'45.7"之间。总面积</w:t>
            </w:r>
            <w:r>
              <w:rPr>
                <w:rFonts w:hint="eastAsia"/>
                <w:sz w:val="24"/>
                <w:szCs w:val="24"/>
                <w:u w:val="single"/>
                <w:lang w:val="en-US" w:eastAsia="zh-CN"/>
              </w:rPr>
              <w:t>157627</w:t>
            </w:r>
            <w:r>
              <w:rPr>
                <w:sz w:val="24"/>
                <w:szCs w:val="24"/>
                <w:u w:val="single"/>
              </w:rPr>
              <w:t>公顷，主要保护东洞庭湖特有湿地生态系统和生物多样性。保护区成立于1982年，1992年加入“国际重要湿地公约”，被列为我国首批加入“国际重要湿地公约”的六个国际重要湿地之一，1994年经国务院批准升格为国家级自然保护区。湖南东洞庭湖国家级自然保护区管理局是保护区的行政主管部门。</w:t>
            </w:r>
          </w:p>
          <w:p>
            <w:pPr>
              <w:autoSpaceDE w:val="0"/>
              <w:autoSpaceDN w:val="0"/>
              <w:adjustRightInd w:val="0"/>
              <w:snapToGrid w:val="0"/>
              <w:spacing w:line="360" w:lineRule="auto"/>
              <w:ind w:firstLine="480" w:firstLineChars="200"/>
              <w:jc w:val="left"/>
              <w:rPr>
                <w:sz w:val="24"/>
                <w:szCs w:val="24"/>
                <w:u w:val="single"/>
              </w:rPr>
            </w:pPr>
            <w:r>
              <w:rPr>
                <w:sz w:val="24"/>
                <w:szCs w:val="24"/>
                <w:u w:val="single"/>
              </w:rPr>
              <w:t>保护区建区30多年来，得到了中央、省、市各级政府和主管部门的高度重视和大力支持，通过洞庭湖国际观鸟节、岳阳论坛、洞庭湖湿地生态旅游、洞庭湖生态保护基金等一系列的工作，取得了卓有成效的结果。2007年被中国野生动物保护协会授予“中国观鸟之都”，2013年被国家林业局、国家教育部、共青团中央授予“国家生态文明教育基地”。</w:t>
            </w:r>
          </w:p>
          <w:p>
            <w:pPr>
              <w:tabs>
                <w:tab w:val="left" w:pos="180"/>
                <w:tab w:val="left" w:pos="735"/>
              </w:tabs>
              <w:spacing w:line="360" w:lineRule="auto"/>
              <w:ind w:firstLine="480" w:firstLineChars="200"/>
              <w:rPr>
                <w:sz w:val="24"/>
                <w:szCs w:val="24"/>
                <w:u w:val="single"/>
              </w:rPr>
            </w:pPr>
            <w:bookmarkStart w:id="17" w:name="_Toc3364"/>
            <w:bookmarkStart w:id="18" w:name="_Toc491761609"/>
            <w:bookmarkStart w:id="19" w:name="_Toc25650"/>
            <w:r>
              <w:rPr>
                <w:sz w:val="24"/>
                <w:szCs w:val="24"/>
                <w:u w:val="single"/>
              </w:rPr>
              <w:t>2、自然特征</w:t>
            </w:r>
            <w:bookmarkEnd w:id="17"/>
            <w:bookmarkEnd w:id="18"/>
            <w:bookmarkEnd w:id="19"/>
          </w:p>
          <w:p>
            <w:pPr>
              <w:autoSpaceDE w:val="0"/>
              <w:autoSpaceDN w:val="0"/>
              <w:adjustRightInd w:val="0"/>
              <w:snapToGrid w:val="0"/>
              <w:spacing w:line="360" w:lineRule="auto"/>
              <w:ind w:firstLine="480" w:firstLineChars="200"/>
              <w:jc w:val="left"/>
              <w:rPr>
                <w:sz w:val="24"/>
                <w:szCs w:val="24"/>
                <w:u w:val="single"/>
              </w:rPr>
            </w:pPr>
            <w:r>
              <w:rPr>
                <w:sz w:val="24"/>
                <w:szCs w:val="24"/>
                <w:u w:val="single"/>
              </w:rPr>
              <w:t>东洞庭湖是保护区的主体范围，也是洞庭湖的主体湖盆，最大湖水面积为1328km²，约占洞庭湖的一半，是一个调蓄过水型湖泊，汇集湖南湘、资、沅、澧四水，吞纳长江部分水量，对长江水量有巨大调剂作用。</w:t>
            </w:r>
          </w:p>
          <w:p>
            <w:pPr>
              <w:autoSpaceDE w:val="0"/>
              <w:autoSpaceDN w:val="0"/>
              <w:adjustRightInd w:val="0"/>
              <w:snapToGrid w:val="0"/>
              <w:spacing w:line="360" w:lineRule="auto"/>
              <w:ind w:firstLine="480" w:firstLineChars="200"/>
              <w:jc w:val="left"/>
              <w:rPr>
                <w:sz w:val="24"/>
                <w:szCs w:val="24"/>
                <w:u w:val="single"/>
              </w:rPr>
            </w:pPr>
            <w:r>
              <w:rPr>
                <w:sz w:val="24"/>
                <w:szCs w:val="24"/>
                <w:u w:val="single"/>
              </w:rPr>
              <w:t>东洞庭湖汇集湖南湘、资、沅、澧四江江水，对长江水量有巨大</w:t>
            </w:r>
            <w:r>
              <w:rPr>
                <w:rFonts w:hint="eastAsia"/>
                <w:sz w:val="24"/>
                <w:szCs w:val="24"/>
                <w:u w:val="single"/>
              </w:rPr>
              <w:t>调节作用</w:t>
            </w:r>
            <w:r>
              <w:rPr>
                <w:sz w:val="24"/>
                <w:szCs w:val="24"/>
                <w:u w:val="single"/>
              </w:rPr>
              <w:t>。集水区面积130万km²，集水区包括“四水”集水面积26万km²，长江干流支江以上集水面积104万km²。多年年均湖水量3126亿m³，其中“四水”过湖水量1684亿m³，长江过湖水量1180亿m³，区间过水量262亿m³。由于巨大的过境水的侧面补给，本区地下水资源极其丰富，在广大的冲击平原地下5m地层普遍富含地下水，平均单井涌水量可达300t/日</w:t>
            </w:r>
            <w:r>
              <w:rPr>
                <w:rFonts w:hint="eastAsia"/>
                <w:sz w:val="24"/>
                <w:szCs w:val="24"/>
                <w:u w:val="single"/>
              </w:rPr>
              <w:t>～</w:t>
            </w:r>
            <w:r>
              <w:rPr>
                <w:sz w:val="24"/>
                <w:szCs w:val="24"/>
                <w:u w:val="single"/>
              </w:rPr>
              <w:t>3000t/日。</w:t>
            </w:r>
          </w:p>
          <w:p>
            <w:pPr>
              <w:autoSpaceDE w:val="0"/>
              <w:autoSpaceDN w:val="0"/>
              <w:adjustRightInd w:val="0"/>
              <w:snapToGrid w:val="0"/>
              <w:spacing w:line="360" w:lineRule="auto"/>
              <w:ind w:firstLine="480" w:firstLineChars="200"/>
              <w:jc w:val="left"/>
              <w:rPr>
                <w:sz w:val="24"/>
                <w:szCs w:val="24"/>
                <w:u w:val="single"/>
              </w:rPr>
            </w:pPr>
            <w:r>
              <w:rPr>
                <w:sz w:val="24"/>
                <w:szCs w:val="24"/>
                <w:u w:val="single"/>
              </w:rPr>
              <w:t>洞庭湖处于亚热带季风气候区，日照充足，太阳辐射强烈，湖水热量资源丰富。由于属于大型浅水湖泊，湖水交换频繁，对流紊动作用大，因此湖水热量分布相对均匀。多年来东洞庭湖平均水温17.76˚C，除7月气温高于水温外，其余各月的水温均高于气温。湖区和四水水温高于长江水温。</w:t>
            </w:r>
          </w:p>
          <w:p>
            <w:pPr>
              <w:autoSpaceDE w:val="0"/>
              <w:autoSpaceDN w:val="0"/>
              <w:adjustRightInd w:val="0"/>
              <w:snapToGrid w:val="0"/>
              <w:spacing w:line="360" w:lineRule="auto"/>
              <w:ind w:firstLine="480" w:firstLineChars="200"/>
              <w:jc w:val="left"/>
              <w:rPr>
                <w:sz w:val="24"/>
                <w:szCs w:val="24"/>
                <w:u w:val="single"/>
              </w:rPr>
            </w:pPr>
            <w:r>
              <w:rPr>
                <w:sz w:val="24"/>
                <w:szCs w:val="24"/>
                <w:u w:val="single"/>
              </w:rPr>
              <w:t>洞庭湖的潮流流态基本上是从西洞庭湖经南洞庭湖再向东洞庭湖，直至从城陵矶出口入长江的单一流动，局部湖汊流向偏转，出现回流现象。西部流速较小，东部流速较大，流速在0.2~0.6m/s.</w:t>
            </w:r>
          </w:p>
          <w:p>
            <w:pPr>
              <w:autoSpaceDE w:val="0"/>
              <w:autoSpaceDN w:val="0"/>
              <w:adjustRightInd w:val="0"/>
              <w:snapToGrid w:val="0"/>
              <w:spacing w:line="360" w:lineRule="auto"/>
              <w:ind w:firstLine="480" w:firstLineChars="200"/>
              <w:jc w:val="left"/>
              <w:rPr>
                <w:sz w:val="24"/>
                <w:szCs w:val="24"/>
                <w:u w:val="single"/>
              </w:rPr>
            </w:pPr>
            <w:r>
              <w:rPr>
                <w:sz w:val="24"/>
                <w:szCs w:val="24"/>
                <w:u w:val="single"/>
              </w:rPr>
              <w:t>东洞庭湖湖盆泥沙淤积量大。过境水</w:t>
            </w:r>
            <w:r>
              <w:rPr>
                <w:rFonts w:hint="eastAsia"/>
                <w:sz w:val="24"/>
                <w:szCs w:val="24"/>
                <w:u w:val="single"/>
              </w:rPr>
              <w:t>平均每年</w:t>
            </w:r>
            <w:r>
              <w:rPr>
                <w:sz w:val="24"/>
                <w:szCs w:val="24"/>
                <w:u w:val="single"/>
              </w:rPr>
              <w:t>输入泥沙1.42亿m³，其中4月输入0.24亿m³，占16.9%；长江输入1.18亿m³，占83.1%，而输出泥沙仅有城陵矶一口，年输出泥沙0.36亿m³，占输入量的25.4%，年均淤湖泥沙1.06亿m³，淤积率达74.6%。</w:t>
            </w:r>
          </w:p>
          <w:p>
            <w:pPr>
              <w:tabs>
                <w:tab w:val="left" w:pos="180"/>
                <w:tab w:val="left" w:pos="735"/>
              </w:tabs>
              <w:spacing w:line="360" w:lineRule="auto"/>
              <w:ind w:firstLine="480" w:firstLineChars="200"/>
              <w:rPr>
                <w:sz w:val="24"/>
                <w:szCs w:val="24"/>
                <w:u w:val="single"/>
              </w:rPr>
            </w:pPr>
            <w:bookmarkStart w:id="20" w:name="_Toc372279819"/>
            <w:bookmarkStart w:id="21" w:name="_Toc28304"/>
            <w:bookmarkStart w:id="22" w:name="_Toc472885410"/>
            <w:bookmarkStart w:id="23" w:name="_Toc1867"/>
            <w:bookmarkStart w:id="24" w:name="_Toc17456"/>
            <w:bookmarkStart w:id="25" w:name="_Toc27013"/>
            <w:bookmarkStart w:id="26" w:name="_Toc491761610"/>
            <w:bookmarkStart w:id="27" w:name="_Toc11085"/>
            <w:bookmarkStart w:id="28" w:name="_Toc15947"/>
            <w:bookmarkStart w:id="29" w:name="_Toc23015"/>
            <w:bookmarkStart w:id="30" w:name="_Toc4201"/>
            <w:bookmarkStart w:id="31" w:name="_Toc20343"/>
            <w:bookmarkStart w:id="32" w:name="_Toc13476"/>
            <w:r>
              <w:rPr>
                <w:sz w:val="24"/>
                <w:szCs w:val="24"/>
                <w:u w:val="single"/>
              </w:rPr>
              <w:t>3、</w:t>
            </w:r>
            <w:bookmarkEnd w:id="20"/>
            <w:bookmarkEnd w:id="21"/>
            <w:bookmarkEnd w:id="22"/>
            <w:bookmarkEnd w:id="23"/>
            <w:bookmarkEnd w:id="24"/>
            <w:bookmarkEnd w:id="25"/>
            <w:bookmarkEnd w:id="26"/>
            <w:bookmarkEnd w:id="27"/>
            <w:bookmarkEnd w:id="28"/>
            <w:bookmarkEnd w:id="29"/>
            <w:bookmarkEnd w:id="30"/>
            <w:bookmarkEnd w:id="31"/>
            <w:bookmarkEnd w:id="32"/>
            <w:bookmarkStart w:id="33" w:name="_Toc472885411"/>
            <w:bookmarkStart w:id="34" w:name="_Toc10955"/>
            <w:bookmarkStart w:id="35" w:name="_Toc16456"/>
            <w:bookmarkStart w:id="36" w:name="_Toc18077"/>
            <w:bookmarkStart w:id="37" w:name="_Toc20119"/>
            <w:bookmarkStart w:id="38" w:name="_Toc14129"/>
            <w:bookmarkStart w:id="39" w:name="_Toc12042"/>
            <w:bookmarkStart w:id="40" w:name="_Toc491761611"/>
            <w:bookmarkStart w:id="41" w:name="_Toc21059"/>
            <w:bookmarkStart w:id="42" w:name="_Toc7559"/>
            <w:bookmarkStart w:id="43" w:name="_Toc24785"/>
            <w:r>
              <w:rPr>
                <w:sz w:val="24"/>
                <w:szCs w:val="24"/>
                <w:u w:val="single"/>
              </w:rPr>
              <w:t>功能区划</w:t>
            </w:r>
            <w:bookmarkEnd w:id="33"/>
            <w:bookmarkEnd w:id="34"/>
            <w:bookmarkEnd w:id="35"/>
            <w:bookmarkEnd w:id="36"/>
            <w:bookmarkEnd w:id="37"/>
            <w:bookmarkEnd w:id="38"/>
            <w:bookmarkEnd w:id="39"/>
            <w:bookmarkEnd w:id="40"/>
            <w:bookmarkEnd w:id="41"/>
            <w:bookmarkEnd w:id="42"/>
            <w:bookmarkEnd w:id="43"/>
          </w:p>
          <w:p>
            <w:pPr>
              <w:autoSpaceDE w:val="0"/>
              <w:autoSpaceDN w:val="0"/>
              <w:adjustRightInd w:val="0"/>
              <w:snapToGrid w:val="0"/>
              <w:spacing w:line="360" w:lineRule="auto"/>
              <w:ind w:firstLine="480" w:firstLineChars="200"/>
              <w:jc w:val="left"/>
              <w:rPr>
                <w:sz w:val="24"/>
                <w:szCs w:val="24"/>
                <w:u w:val="single"/>
              </w:rPr>
            </w:pPr>
            <w:r>
              <w:rPr>
                <w:sz w:val="24"/>
                <w:szCs w:val="24"/>
                <w:u w:val="single"/>
              </w:rPr>
              <w:t>保护区划分为核心区、缓冲区、实验区三大功能区。</w:t>
            </w:r>
          </w:p>
          <w:p>
            <w:pPr>
              <w:autoSpaceDE w:val="0"/>
              <w:autoSpaceDN w:val="0"/>
              <w:adjustRightInd w:val="0"/>
              <w:snapToGrid w:val="0"/>
              <w:spacing w:line="360" w:lineRule="auto"/>
              <w:ind w:firstLine="480" w:firstLineChars="200"/>
              <w:jc w:val="left"/>
              <w:rPr>
                <w:sz w:val="24"/>
                <w:szCs w:val="24"/>
                <w:u w:val="single"/>
              </w:rPr>
            </w:pPr>
            <w:r>
              <w:rPr>
                <w:sz w:val="24"/>
                <w:szCs w:val="24"/>
                <w:u w:val="single"/>
              </w:rPr>
              <w:t>（1）核心区</w:t>
            </w:r>
          </w:p>
          <w:p>
            <w:pPr>
              <w:autoSpaceDE w:val="0"/>
              <w:autoSpaceDN w:val="0"/>
              <w:adjustRightInd w:val="0"/>
              <w:snapToGrid w:val="0"/>
              <w:spacing w:line="360" w:lineRule="auto"/>
              <w:ind w:firstLine="480" w:firstLineChars="200"/>
              <w:jc w:val="left"/>
              <w:rPr>
                <w:sz w:val="24"/>
                <w:szCs w:val="24"/>
                <w:u w:val="single"/>
              </w:rPr>
            </w:pPr>
            <w:r>
              <w:rPr>
                <w:sz w:val="24"/>
                <w:szCs w:val="24"/>
                <w:u w:val="single"/>
              </w:rPr>
              <w:t>将湿地生态系统完整、生物资源丰富、白鹤、黑鹳、东方白鹳、小天鹅、鸿雁等珍稀濒危鸟类集中栖息的地段作为核心区，总面积2.90万hm²。依据功能区划原则，又将保护区核心区分为3大块。即大小西湖</w:t>
            </w:r>
            <w:r>
              <w:rPr>
                <w:rFonts w:hint="eastAsia"/>
                <w:sz w:val="24"/>
                <w:szCs w:val="24"/>
                <w:u w:val="single"/>
              </w:rPr>
              <w:t>－</w:t>
            </w:r>
            <w:r>
              <w:rPr>
                <w:sz w:val="24"/>
                <w:szCs w:val="24"/>
                <w:u w:val="single"/>
              </w:rPr>
              <w:t>君山后湖核心区：从大小西湖、三坝、四坝至君山后湖包括黑嘴在内的定权发证区域，面积1.60万hm²；红旗湖核心区：上、下红旗湖、天鹅段定权发证区域，面积0.80万hm²；春风湖核心区：包括春风湖及其大片洲滩在内的0.50万hm²定权发证区域。核心区内，实行封闭式管理，严格控制外界人员随意进入或从事捕鱼、放牧等生产经营活动，并对湖水水位进行严格的管理和调控。</w:t>
            </w:r>
          </w:p>
          <w:p>
            <w:pPr>
              <w:autoSpaceDE w:val="0"/>
              <w:autoSpaceDN w:val="0"/>
              <w:adjustRightInd w:val="0"/>
              <w:snapToGrid w:val="0"/>
              <w:spacing w:line="360" w:lineRule="auto"/>
              <w:ind w:firstLine="480" w:firstLineChars="200"/>
              <w:jc w:val="left"/>
              <w:rPr>
                <w:sz w:val="24"/>
                <w:szCs w:val="24"/>
                <w:u w:val="single"/>
              </w:rPr>
            </w:pPr>
            <w:r>
              <w:rPr>
                <w:rFonts w:hint="eastAsia"/>
                <w:sz w:val="24"/>
                <w:szCs w:val="24"/>
                <w:u w:val="single"/>
              </w:rPr>
              <w:t>（2）缓冲区</w:t>
            </w:r>
          </w:p>
          <w:p>
            <w:pPr>
              <w:autoSpaceDE w:val="0"/>
              <w:autoSpaceDN w:val="0"/>
              <w:adjustRightInd w:val="0"/>
              <w:snapToGrid w:val="0"/>
              <w:spacing w:line="360" w:lineRule="auto"/>
              <w:ind w:firstLine="480" w:firstLineChars="200"/>
              <w:jc w:val="left"/>
              <w:rPr>
                <w:sz w:val="24"/>
                <w:szCs w:val="24"/>
                <w:u w:val="single"/>
              </w:rPr>
            </w:pPr>
            <w:r>
              <w:rPr>
                <w:sz w:val="24"/>
                <w:szCs w:val="24"/>
                <w:u w:val="single"/>
              </w:rPr>
              <w:t>核心区外围所有东洞庭湖区域，面积3.64万hm²。</w:t>
            </w:r>
          </w:p>
          <w:p>
            <w:pPr>
              <w:autoSpaceDE w:val="0"/>
              <w:autoSpaceDN w:val="0"/>
              <w:adjustRightInd w:val="0"/>
              <w:snapToGrid w:val="0"/>
              <w:spacing w:line="360" w:lineRule="auto"/>
              <w:ind w:firstLine="480" w:firstLineChars="200"/>
              <w:jc w:val="left"/>
              <w:rPr>
                <w:sz w:val="24"/>
                <w:szCs w:val="24"/>
                <w:u w:val="single"/>
              </w:rPr>
            </w:pPr>
            <w:r>
              <w:rPr>
                <w:sz w:val="24"/>
                <w:szCs w:val="24"/>
                <w:u w:val="single"/>
              </w:rPr>
              <w:t>（3）实验区</w:t>
            </w:r>
          </w:p>
          <w:p>
            <w:pPr>
              <w:autoSpaceDE w:val="0"/>
              <w:autoSpaceDN w:val="0"/>
              <w:adjustRightInd w:val="0"/>
              <w:snapToGrid w:val="0"/>
              <w:spacing w:line="360" w:lineRule="auto"/>
              <w:ind w:firstLine="480" w:firstLineChars="200"/>
              <w:jc w:val="left"/>
              <w:rPr>
                <w:sz w:val="24"/>
                <w:szCs w:val="24"/>
                <w:u w:val="single"/>
              </w:rPr>
            </w:pPr>
            <w:r>
              <w:rPr>
                <w:sz w:val="24"/>
                <w:szCs w:val="24"/>
                <w:u w:val="single"/>
              </w:rPr>
              <w:t>保护区区界以内缓冲区以外的广大区域，包括采桑湖、团湖、方台湖、南湖、芭蕉湖等在内的湖泊和农业用地，面积12.46万hm²（本项目</w:t>
            </w:r>
            <w:r>
              <w:rPr>
                <w:rFonts w:hint="eastAsia"/>
                <w:sz w:val="24"/>
                <w:szCs w:val="24"/>
                <w:u w:val="single"/>
              </w:rPr>
              <w:t>东经：113度 10分21.2秒，纬度：29 度 8 分  21 秒</w:t>
            </w:r>
            <w:r>
              <w:rPr>
                <w:sz w:val="24"/>
                <w:szCs w:val="24"/>
                <w:u w:val="single"/>
              </w:rPr>
              <w:t>位于实验区内）。</w:t>
            </w:r>
          </w:p>
          <w:p>
            <w:pPr>
              <w:numPr>
                <w:ilvl w:val="0"/>
                <w:numId w:val="11"/>
              </w:numPr>
              <w:tabs>
                <w:tab w:val="left" w:pos="180"/>
                <w:tab w:val="left" w:pos="735"/>
              </w:tabs>
              <w:spacing w:line="360" w:lineRule="auto"/>
              <w:ind w:left="210" w:leftChars="0" w:firstLine="0" w:firstLineChars="0"/>
              <w:rPr>
                <w:rFonts w:hint="eastAsia"/>
                <w:lang w:eastAsia="zh-CN"/>
              </w:rPr>
            </w:pPr>
            <w:r>
              <w:rPr>
                <w:rFonts w:hint="eastAsia"/>
                <w:sz w:val="24"/>
                <w:szCs w:val="24"/>
                <w:u w:val="single"/>
                <w:lang w:eastAsia="zh-CN"/>
              </w:rPr>
              <w:t>洞庭湖保护对象及分布</w:t>
            </w:r>
          </w:p>
          <w:p>
            <w:pPr>
              <w:autoSpaceDE w:val="0"/>
              <w:autoSpaceDN w:val="0"/>
              <w:adjustRightInd w:val="0"/>
              <w:snapToGrid w:val="0"/>
              <w:spacing w:line="360" w:lineRule="auto"/>
              <w:ind w:firstLine="480" w:firstLineChars="200"/>
              <w:jc w:val="left"/>
              <w:rPr>
                <w:sz w:val="24"/>
                <w:szCs w:val="24"/>
                <w:u w:val="single"/>
              </w:rPr>
            </w:pPr>
            <w:r>
              <w:rPr>
                <w:sz w:val="24"/>
                <w:szCs w:val="24"/>
                <w:u w:val="single"/>
              </w:rPr>
              <w:t>（1）保护区性质</w:t>
            </w:r>
          </w:p>
          <w:p>
            <w:pPr>
              <w:autoSpaceDE w:val="0"/>
              <w:autoSpaceDN w:val="0"/>
              <w:adjustRightInd w:val="0"/>
              <w:snapToGrid w:val="0"/>
              <w:spacing w:line="360" w:lineRule="auto"/>
              <w:ind w:firstLine="480" w:firstLineChars="200"/>
              <w:jc w:val="left"/>
              <w:rPr>
                <w:sz w:val="24"/>
                <w:szCs w:val="24"/>
                <w:u w:val="single"/>
              </w:rPr>
            </w:pPr>
            <w:r>
              <w:rPr>
                <w:sz w:val="24"/>
                <w:szCs w:val="24"/>
                <w:u w:val="single"/>
              </w:rPr>
              <w:t>湖南东洞庭湖国家级自然保护区，是以保护湿地生态系统和越冬水禽为主，兼具科学研究、自然保护教育、生态旅游和开展经营利用于一体的大型、综合性的国家级自然保护区和国际重要湿地。</w:t>
            </w:r>
          </w:p>
          <w:p>
            <w:pPr>
              <w:autoSpaceDE w:val="0"/>
              <w:autoSpaceDN w:val="0"/>
              <w:adjustRightInd w:val="0"/>
              <w:snapToGrid w:val="0"/>
              <w:spacing w:line="360" w:lineRule="auto"/>
              <w:ind w:firstLine="480" w:firstLineChars="200"/>
              <w:jc w:val="left"/>
              <w:rPr>
                <w:sz w:val="24"/>
                <w:szCs w:val="24"/>
                <w:u w:val="single"/>
              </w:rPr>
            </w:pPr>
            <w:r>
              <w:rPr>
                <w:rFonts w:hint="eastAsia"/>
                <w:sz w:val="24"/>
                <w:szCs w:val="24"/>
                <w:u w:val="single"/>
              </w:rPr>
              <w:t>（2）保护区类型</w:t>
            </w:r>
          </w:p>
          <w:p>
            <w:pPr>
              <w:autoSpaceDE w:val="0"/>
              <w:autoSpaceDN w:val="0"/>
              <w:adjustRightInd w:val="0"/>
              <w:snapToGrid w:val="0"/>
              <w:spacing w:line="360" w:lineRule="auto"/>
              <w:ind w:firstLine="480" w:firstLineChars="200"/>
              <w:jc w:val="left"/>
              <w:rPr>
                <w:sz w:val="24"/>
                <w:szCs w:val="24"/>
                <w:u w:val="single"/>
              </w:rPr>
            </w:pPr>
            <w:r>
              <w:rPr>
                <w:sz w:val="24"/>
                <w:szCs w:val="24"/>
                <w:u w:val="single"/>
              </w:rPr>
              <w:t>湖南东洞庭湖国家级自然保护区境内湿地生态环境保存完好，珍稀濒危水禽种类、数量丰富，为迁徙水禽特别重要的越冬地和歇息地，并具有良好的自然属性。根据《自然保护区类型与级别区分原则》(GB/T14529-93)</w:t>
            </w:r>
            <w:r>
              <w:rPr>
                <w:rFonts w:hint="eastAsia"/>
                <w:sz w:val="24"/>
                <w:szCs w:val="24"/>
                <w:u w:val="single"/>
              </w:rPr>
              <w:t>，</w:t>
            </w:r>
            <w:r>
              <w:rPr>
                <w:sz w:val="24"/>
                <w:szCs w:val="24"/>
                <w:u w:val="single"/>
              </w:rPr>
              <w:t>该保护区类别为自然生态系统类、内陆湿地和水域生态系统类型的国家级自然保护区。</w:t>
            </w:r>
          </w:p>
          <w:p>
            <w:pPr>
              <w:autoSpaceDE w:val="0"/>
              <w:autoSpaceDN w:val="0"/>
              <w:adjustRightInd w:val="0"/>
              <w:snapToGrid w:val="0"/>
              <w:spacing w:line="360" w:lineRule="auto"/>
              <w:ind w:firstLine="480" w:firstLineChars="200"/>
              <w:jc w:val="left"/>
              <w:rPr>
                <w:sz w:val="24"/>
                <w:szCs w:val="24"/>
                <w:u w:val="single"/>
              </w:rPr>
            </w:pPr>
            <w:r>
              <w:rPr>
                <w:rFonts w:hint="eastAsia"/>
                <w:sz w:val="24"/>
                <w:szCs w:val="24"/>
                <w:u w:val="single"/>
              </w:rPr>
              <w:t>（3）主要保护对</w:t>
            </w:r>
            <w:r>
              <w:rPr>
                <w:sz w:val="24"/>
                <w:szCs w:val="24"/>
                <w:u w:val="single"/>
              </w:rPr>
              <w:t>象及分布</w:t>
            </w:r>
          </w:p>
          <w:p>
            <w:pPr>
              <w:autoSpaceDE w:val="0"/>
              <w:autoSpaceDN w:val="0"/>
              <w:adjustRightInd w:val="0"/>
              <w:snapToGrid w:val="0"/>
              <w:spacing w:line="360" w:lineRule="auto"/>
              <w:ind w:firstLine="480" w:firstLineChars="200"/>
              <w:jc w:val="left"/>
              <w:rPr>
                <w:sz w:val="24"/>
                <w:szCs w:val="24"/>
                <w:u w:val="single"/>
              </w:rPr>
            </w:pPr>
            <w:r>
              <w:rPr>
                <w:sz w:val="24"/>
                <w:szCs w:val="24"/>
                <w:u w:val="single"/>
              </w:rPr>
              <w:t>湖南东洞庭湖国家级自然保护区，保护区保护对象为湿地生态系统和生物多样性，珍稀濒危水禽，自然生态环境和自然资源和湿地自然、人文景观。</w:t>
            </w:r>
          </w:p>
          <w:p>
            <w:pPr>
              <w:autoSpaceDE w:val="0"/>
              <w:autoSpaceDN w:val="0"/>
              <w:adjustRightInd w:val="0"/>
              <w:snapToGrid w:val="0"/>
              <w:spacing w:line="360" w:lineRule="auto"/>
              <w:ind w:firstLine="480" w:firstLineChars="200"/>
              <w:jc w:val="left"/>
              <w:rPr>
                <w:sz w:val="24"/>
                <w:szCs w:val="24"/>
                <w:u w:val="single"/>
              </w:rPr>
            </w:pPr>
            <w:r>
              <w:rPr>
                <w:sz w:val="24"/>
                <w:szCs w:val="24"/>
                <w:u w:val="single"/>
              </w:rPr>
              <w:t>该保护区属泛北极植物区，东亚</w:t>
            </w:r>
            <w:r>
              <w:rPr>
                <w:rFonts w:hint="eastAsia"/>
                <w:sz w:val="24"/>
                <w:szCs w:val="24"/>
                <w:u w:val="single"/>
              </w:rPr>
              <w:t>－</w:t>
            </w:r>
            <w:r>
              <w:rPr>
                <w:sz w:val="24"/>
                <w:szCs w:val="24"/>
                <w:u w:val="single"/>
              </w:rPr>
              <w:t>日本森林植物亚区，保护区有维管束植物133科1101种，其中蕨类植物15科21属26种，裸子植物4科4属4种，种子植物114科491属1071种，特别是在不到1km²的君山发现刚竹属植物达16种，被认为是湖南省刚竹属植物最丰富的地区。</w:t>
            </w:r>
          </w:p>
          <w:p>
            <w:pPr>
              <w:autoSpaceDE w:val="0"/>
              <w:autoSpaceDN w:val="0"/>
              <w:adjustRightInd w:val="0"/>
              <w:snapToGrid w:val="0"/>
              <w:spacing w:line="360" w:lineRule="auto"/>
              <w:ind w:firstLine="480" w:firstLineChars="200"/>
              <w:jc w:val="left"/>
              <w:rPr>
                <w:sz w:val="24"/>
                <w:szCs w:val="24"/>
                <w:u w:val="single"/>
              </w:rPr>
            </w:pPr>
            <w:r>
              <w:rPr>
                <w:sz w:val="24"/>
                <w:szCs w:val="24"/>
                <w:u w:val="single"/>
              </w:rPr>
              <w:t>东洞庭湖有丰富的沉水、浮水和挺水植物，记录到131种水生植物，隶属40科，75属，常见的沉水植物包括苦草、水筛等，浮水植物有莲、芡实、浮萍等，挺水植物包括水烛、芦苇等。</w:t>
            </w:r>
          </w:p>
          <w:p>
            <w:pPr>
              <w:autoSpaceDE w:val="0"/>
              <w:autoSpaceDN w:val="0"/>
              <w:adjustRightInd w:val="0"/>
              <w:snapToGrid w:val="0"/>
              <w:spacing w:line="360" w:lineRule="auto"/>
              <w:ind w:firstLine="480" w:firstLineChars="200"/>
              <w:jc w:val="left"/>
              <w:rPr>
                <w:sz w:val="24"/>
                <w:szCs w:val="24"/>
                <w:u w:val="single"/>
              </w:rPr>
            </w:pPr>
            <w:r>
              <w:rPr>
                <w:sz w:val="24"/>
                <w:szCs w:val="24"/>
                <w:u w:val="single"/>
              </w:rPr>
              <w:t>该保护区是我国湿地水禽的重要越冬地，也是重要繁殖地、停歇地。该区域在东北亚鹤类迁徙网络、东亚雁鸭类迁徙网络和东亚——澳大利亚涉禽迁徙网络等区域物种保护网络中具有十分重要的地位，东洞庭湖是中国7处列入湿地公约的国际重要湿地之一，每年有10多万只候鸟在这里越冬，其中很多鸟类属国家级重点保护动物和国际珍稀濒危鸟类。</w:t>
            </w:r>
          </w:p>
          <w:p>
            <w:pPr>
              <w:autoSpaceDE w:val="0"/>
              <w:autoSpaceDN w:val="0"/>
              <w:adjustRightInd w:val="0"/>
              <w:snapToGrid w:val="0"/>
              <w:spacing w:line="360" w:lineRule="auto"/>
              <w:ind w:firstLine="480" w:firstLineChars="200"/>
              <w:jc w:val="left"/>
              <w:rPr>
                <w:sz w:val="24"/>
                <w:szCs w:val="24"/>
                <w:u w:val="single"/>
              </w:rPr>
            </w:pPr>
            <w:r>
              <w:rPr>
                <w:sz w:val="24"/>
                <w:szCs w:val="24"/>
                <w:u w:val="single"/>
              </w:rPr>
              <w:t>目前，根据近10年的鸟类监测，东洞庭湖国家级自然保护区共记录到鸟类14目50科335种。其中，有41种国家级重点保护鸟类，其中，东方白鹳（Ciconia boyciana）、黑鹳（Ciconia nigra）、中华秋沙鸭（Mergus squamatus）、白鹤（Grus leucogeranus）、白头鹤（Grus monacha）等5种鸟类属国家Ⅰ级重点保护野生动物，赤颈䴙䴘（Podiceps grisegena）、卷羽鹈鹕（Pelecanus crispus）、白琵鹭（Platalea leucorodia）、小天鹅（Cygnus columbianus）、黑鸢（Milvus migrans）等36种鸟类属国家Ⅱ级重点保护野生动物。区域内的珍稀水禽主要分布在大小西湖、丁字堤、君山后湖、春风湖、上下红旗湖、白湖、七星湖、注滋河口等区域。此外，保护区还保护了麋鹿（Elaphurus davidianus）、江豚（Neophocaena a. asiaeorientalis）等其他湿地珍稀物种。江豚主要分布在湘江穿越洞庭湖的航道内；麋鹿主要分布在上下红旗湖至鹿湖、注滋河口至黑嘴及两岸区域。</w:t>
            </w:r>
          </w:p>
          <w:p>
            <w:pPr>
              <w:pStyle w:val="80"/>
              <w:keepNext w:val="0"/>
              <w:keepLines w:val="0"/>
              <w:widowControl w:val="0"/>
              <w:shd w:val="clear" w:color="auto" w:fill="auto"/>
              <w:bidi w:val="0"/>
              <w:spacing w:before="0" w:after="0" w:line="360" w:lineRule="auto"/>
              <w:ind w:left="0" w:right="0" w:firstLine="560"/>
              <w:jc w:val="both"/>
              <w:rPr>
                <w:color w:val="auto"/>
              </w:rPr>
            </w:pPr>
            <w:r>
              <w:rPr>
                <w:sz w:val="24"/>
                <w:szCs w:val="24"/>
                <w:u w:val="single"/>
              </w:rPr>
              <w:t>目前，洞庭湖区域现已记录哺乳动物7目11科28种；爬行动物3目10科31种；两栖动物已记录2目6科14种。</w:t>
            </w:r>
            <w:r>
              <w:rPr>
                <w:sz w:val="24"/>
                <w:szCs w:val="24"/>
                <w:u w:val="single"/>
              </w:rPr>
              <w:br w:type="textWrapping"/>
            </w:r>
            <w:r>
              <w:rPr>
                <w:rFonts w:hint="eastAsia"/>
                <w:sz w:val="24"/>
                <w:szCs w:val="24"/>
                <w:u w:val="single"/>
                <w:lang w:val="en-US" w:eastAsia="zh-CN"/>
              </w:rPr>
              <w:t xml:space="preserve">  </w:t>
            </w:r>
            <w:r>
              <w:rPr>
                <w:rFonts w:hint="eastAsia"/>
                <w:color w:val="auto"/>
                <w:sz w:val="24"/>
                <w:szCs w:val="24"/>
                <w:u w:val="single"/>
                <w:lang w:val="en-US" w:eastAsia="zh-CN"/>
              </w:rPr>
              <w:t xml:space="preserve">  5、生态现状调查</w:t>
            </w:r>
            <w:r>
              <w:rPr>
                <w:rFonts w:hint="eastAsia"/>
                <w:color w:val="auto"/>
                <w:sz w:val="24"/>
                <w:szCs w:val="24"/>
                <w:u w:val="single"/>
                <w:lang w:val="en-US" w:eastAsia="zh-CN"/>
              </w:rPr>
              <w:br w:type="textWrapping"/>
            </w:r>
            <w:r>
              <w:rPr>
                <w:rFonts w:hint="eastAsia"/>
                <w:color w:val="auto"/>
                <w:sz w:val="24"/>
                <w:szCs w:val="24"/>
                <w:u w:val="single"/>
                <w:lang w:val="en-US" w:eastAsia="zh-CN"/>
              </w:rPr>
              <w:t xml:space="preserve">    1）调查区植物种类</w:t>
            </w:r>
            <w:r>
              <w:rPr>
                <w:rFonts w:hint="eastAsia"/>
                <w:color w:val="auto"/>
                <w:sz w:val="24"/>
                <w:szCs w:val="24"/>
                <w:u w:val="single"/>
                <w:lang w:val="en-US" w:eastAsia="zh-CN"/>
              </w:rPr>
              <w:br w:type="textWrapping"/>
            </w:r>
            <w:r>
              <w:rPr>
                <w:rFonts w:hint="eastAsia"/>
                <w:color w:val="auto"/>
                <w:sz w:val="24"/>
                <w:szCs w:val="24"/>
                <w:u w:val="single"/>
                <w:lang w:val="en-US" w:eastAsia="zh-CN"/>
              </w:rPr>
              <w:t xml:space="preserve">    根据《环境影响评价技术导则生态影响》，企业编制的生态专题现状调查的范围应不小于评价工作的范围。湖南东洞庭湖国家级自然保护区内有维管束植物169科、541属、865种，其中国家重点保护野生植物，仅有樟树、金荞麦、野大豆、中华结缕草4种，都为I级。</w:t>
            </w:r>
            <w:r>
              <w:rPr>
                <w:rFonts w:hint="eastAsia"/>
                <w:color w:val="auto"/>
                <w:sz w:val="24"/>
                <w:szCs w:val="24"/>
                <w:u w:val="single"/>
                <w:lang w:val="en-US" w:eastAsia="zh-CN"/>
              </w:rPr>
              <w:br w:type="textWrapping"/>
            </w:r>
            <w:r>
              <w:rPr>
                <w:rFonts w:hint="eastAsia"/>
                <w:color w:val="auto"/>
                <w:sz w:val="24"/>
                <w:szCs w:val="24"/>
                <w:u w:val="single"/>
                <w:lang w:val="en-US" w:eastAsia="zh-CN"/>
              </w:rPr>
              <w:t xml:space="preserve">   区域约有蕨类植物9科11属13种、裸子植物2科3属4种、被子植物86科302属372种。禾本科、蔷薇科、菊科、唇形科、莎草科的植物种类在湖南东洞庭湖国家级自然保护区的数量占优，其余各科均仅含少数物种。表明专题报告保护区植物类群分布具有一定的典型性。从主要物种分布类型来看，建群植物和优势植物中，旱中生和中生占较大比重。中生类型主要作为群落的伴生种，或者构成杂草群落，而自然植被建群种和优势种多由典型的旱中生和中生植物组成。从专题报告保护区主要植被的生活型看，多年生草本(地面芽植物)和一、二年生草本植物占据绝对优势，分别约占植物总数的12和1/3，而灌木、乔木、半灌木和藤本植物等占植物总数均不超过25%。根据已有资料，经本次实地调查，行驶在大片芦苇荡中，芋芊芦苇，随风招摇；密布的芦苇，已经高过人头。比芦苇略矮的是藜蒿，散发着独特的浓烈气味，藜蒿中混有辣蓼、水芹。东洞庭湖湿地发育充分，湖泊、河道、滩涂、草甸里，备类植物在此定居、生长、繁殖。植物是构成湿地生态最基本的组成部分之一，是候鸟、鱼类等动物的食物来源，与整个湿地环境密切相关。湖区是草本植物的天下。据调查,洞庭湖湿地共有植物265种，其中草本植物比例高达97%。洞庭湖湿地植被主要包括水生植被、草甸和沼泽植被。你将视线从高往低探寻东洞庭的植物，首先看到的是杨树、鸡婆柳、旱柳等构成的木本植物群落；然后是广布于洲滩的草甸植被，苔草、辣蓼、蒌蒿、水芹、紫云英等，以及芦苇、香蒲这类挺水植物:再往下，浮生水生植物进入视线，荇菜、浮萍组成了浮生水生植物群落：而在水里，苦草、金鱼藻、马来眼子菜构成了沉水植物群落。洞庭湖特殊的水位消涨环境，使得湖区湿地植物一年有两次枯荣。秋季水退之后，植物开始生长；冬天枯死，初春又发青。造就了洞庭湖特殊的湿地环境与生态。调查区内，沿线滩涂主要优势乔木为杨树，收集范围内人类活动很较少，未发现列入中国珍稀濒危植物。</w:t>
            </w:r>
            <w:r>
              <w:rPr>
                <w:rFonts w:hint="eastAsia"/>
                <w:color w:val="auto"/>
                <w:sz w:val="24"/>
                <w:szCs w:val="24"/>
                <w:u w:val="single"/>
                <w:lang w:val="en-US" w:eastAsia="zh-CN"/>
              </w:rPr>
              <w:br w:type="textWrapping"/>
            </w:r>
            <w:r>
              <w:rPr>
                <w:rFonts w:hint="eastAsia"/>
                <w:color w:val="auto"/>
                <w:sz w:val="24"/>
                <w:szCs w:val="24"/>
                <w:u w:val="single"/>
                <w:lang w:val="en-US" w:eastAsia="zh-CN"/>
              </w:rPr>
              <w:t xml:space="preserve">    （2）动物</w:t>
            </w:r>
            <w:r>
              <w:rPr>
                <w:rFonts w:hint="eastAsia"/>
                <w:color w:val="auto"/>
                <w:sz w:val="24"/>
                <w:szCs w:val="24"/>
                <w:u w:val="single"/>
                <w:lang w:val="en-US" w:eastAsia="zh-CN"/>
              </w:rPr>
              <w:br w:type="textWrapping"/>
            </w:r>
            <w:r>
              <w:rPr>
                <w:rFonts w:hint="eastAsia"/>
                <w:color w:val="auto"/>
                <w:sz w:val="24"/>
                <w:szCs w:val="24"/>
                <w:u w:val="single"/>
                <w:lang w:val="en-US" w:eastAsia="zh-CN"/>
              </w:rPr>
              <w:t xml:space="preserve">    </w:t>
            </w:r>
            <w:r>
              <w:rPr>
                <w:color w:val="auto"/>
                <w:spacing w:val="0"/>
                <w:w w:val="100"/>
                <w:position w:val="0"/>
                <w:sz w:val="24"/>
                <w:szCs w:val="24"/>
                <w:u w:val="single"/>
              </w:rPr>
              <w:t>按照《环境影响评价技术导则生态影响》</w:t>
            </w:r>
            <w:r>
              <w:rPr>
                <w:color w:val="auto"/>
                <w:spacing w:val="0"/>
                <w:w w:val="100"/>
                <w:position w:val="0"/>
                <w:sz w:val="22"/>
                <w:szCs w:val="22"/>
                <w:u w:val="single"/>
                <w:lang w:val="en-US" w:eastAsia="en-US" w:bidi="en-US"/>
              </w:rPr>
              <w:t>（</w:t>
            </w:r>
            <w:r>
              <w:rPr>
                <w:rFonts w:ascii="Times New Roman" w:hAnsi="Times New Roman" w:eastAsia="Times New Roman" w:cs="Times New Roman"/>
                <w:color w:val="auto"/>
                <w:spacing w:val="0"/>
                <w:w w:val="100"/>
                <w:position w:val="0"/>
                <w:sz w:val="22"/>
                <w:szCs w:val="22"/>
                <w:u w:val="single"/>
                <w:lang w:val="en-US" w:eastAsia="en-US" w:bidi="en-US"/>
              </w:rPr>
              <w:t>HJ19-2011）</w:t>
            </w:r>
            <w:r>
              <w:rPr>
                <w:color w:val="auto"/>
                <w:spacing w:val="0"/>
                <w:w w:val="100"/>
                <w:position w:val="0"/>
                <w:sz w:val="24"/>
                <w:szCs w:val="24"/>
                <w:u w:val="single"/>
              </w:rPr>
              <w:t>要求</w:t>
            </w:r>
            <w:r>
              <w:rPr>
                <w:rFonts w:hint="eastAsia"/>
                <w:color w:val="auto"/>
                <w:spacing w:val="0"/>
                <w:w w:val="100"/>
                <w:position w:val="0"/>
                <w:sz w:val="24"/>
                <w:szCs w:val="24"/>
                <w:u w:val="single"/>
                <w:lang w:eastAsia="zh-CN"/>
              </w:rPr>
              <w:t>，企业编制的生态</w:t>
            </w:r>
            <w:r>
              <w:rPr>
                <w:color w:val="auto"/>
                <w:spacing w:val="0"/>
                <w:w w:val="100"/>
                <w:position w:val="0"/>
                <w:sz w:val="24"/>
                <w:szCs w:val="24"/>
                <w:u w:val="single"/>
              </w:rPr>
              <w:t>专题评价涵盖项清源环保年接收船舶污染物</w:t>
            </w:r>
            <w:r>
              <w:rPr>
                <w:rFonts w:ascii="Times New Roman" w:hAnsi="Times New Roman" w:eastAsia="Times New Roman" w:cs="Times New Roman"/>
                <w:color w:val="auto"/>
                <w:spacing w:val="0"/>
                <w:w w:val="100"/>
                <w:position w:val="0"/>
                <w:sz w:val="22"/>
                <w:szCs w:val="22"/>
                <w:u w:val="single"/>
              </w:rPr>
              <w:t>20900</w:t>
            </w:r>
            <w:r>
              <w:rPr>
                <w:color w:val="auto"/>
                <w:spacing w:val="0"/>
                <w:w w:val="100"/>
                <w:position w:val="0"/>
                <w:sz w:val="24"/>
                <w:szCs w:val="24"/>
                <w:u w:val="single"/>
              </w:rPr>
              <w:t>吨建设项目水域及上游</w:t>
            </w:r>
            <w:r>
              <w:rPr>
                <w:rFonts w:ascii="Times New Roman" w:hAnsi="Times New Roman" w:eastAsia="Times New Roman" w:cs="Times New Roman"/>
                <w:color w:val="auto"/>
                <w:spacing w:val="0"/>
                <w:w w:val="100"/>
                <w:position w:val="0"/>
                <w:sz w:val="22"/>
                <w:szCs w:val="22"/>
                <w:u w:val="single"/>
                <w:lang w:val="en-US" w:eastAsia="en-US" w:bidi="en-US"/>
              </w:rPr>
              <w:t>1km</w:t>
            </w:r>
            <w:r>
              <w:rPr>
                <w:color w:val="auto"/>
                <w:spacing w:val="0"/>
                <w:w w:val="100"/>
                <w:position w:val="0"/>
                <w:sz w:val="24"/>
                <w:szCs w:val="24"/>
                <w:u w:val="single"/>
                <w:lang w:val="en-US" w:eastAsia="en-US" w:bidi="en-US"/>
              </w:rPr>
              <w:t>、</w:t>
            </w:r>
            <w:r>
              <w:rPr>
                <w:color w:val="auto"/>
                <w:spacing w:val="0"/>
                <w:w w:val="100"/>
                <w:position w:val="0"/>
                <w:sz w:val="24"/>
                <w:szCs w:val="24"/>
                <w:u w:val="single"/>
              </w:rPr>
              <w:t>下遊</w:t>
            </w:r>
            <w:r>
              <w:rPr>
                <w:rFonts w:ascii="Times New Roman" w:hAnsi="Times New Roman" w:eastAsia="Times New Roman" w:cs="Times New Roman"/>
                <w:color w:val="auto"/>
                <w:spacing w:val="0"/>
                <w:w w:val="100"/>
                <w:position w:val="0"/>
                <w:sz w:val="22"/>
                <w:szCs w:val="22"/>
                <w:u w:val="single"/>
                <w:lang w:val="en-US" w:eastAsia="en-US" w:bidi="en-US"/>
              </w:rPr>
              <w:t xml:space="preserve">2km </w:t>
            </w:r>
            <w:r>
              <w:rPr>
                <w:color w:val="auto"/>
                <w:spacing w:val="0"/>
                <w:w w:val="100"/>
                <w:position w:val="0"/>
                <w:sz w:val="24"/>
                <w:szCs w:val="24"/>
                <w:u w:val="single"/>
              </w:rPr>
              <w:t>范围内水域的全部时空范围内湖南东洞庭湖国家级自然保护区水生态系统完整 性、多样性，突岀对敏感目标及保护区功能的保护，不涉及核心区。作为直接影 响区进行评价，调查数据来源于资料收集和外业踏勘。</w:t>
            </w:r>
          </w:p>
          <w:p>
            <w:pPr>
              <w:pStyle w:val="80"/>
              <w:keepNext w:val="0"/>
              <w:keepLines w:val="0"/>
              <w:widowControl w:val="0"/>
              <w:shd w:val="clear" w:color="auto" w:fill="auto"/>
              <w:bidi w:val="0"/>
              <w:spacing w:before="0" w:after="0" w:line="360" w:lineRule="auto"/>
              <w:ind w:left="0" w:right="0" w:firstLine="560"/>
              <w:jc w:val="both"/>
              <w:rPr>
                <w:color w:val="auto"/>
              </w:rPr>
            </w:pPr>
            <w:r>
              <w:rPr>
                <w:rFonts w:ascii="Times New Roman" w:hAnsi="Times New Roman" w:eastAsia="Times New Roman" w:cs="Times New Roman"/>
                <w:color w:val="auto"/>
                <w:spacing w:val="0"/>
                <w:w w:val="100"/>
                <w:position w:val="0"/>
                <w:sz w:val="22"/>
                <w:szCs w:val="22"/>
                <w:u w:val="single"/>
              </w:rPr>
              <w:t>2021</w:t>
            </w:r>
            <w:r>
              <w:rPr>
                <w:color w:val="auto"/>
                <w:spacing w:val="0"/>
                <w:w w:val="100"/>
                <w:position w:val="0"/>
                <w:sz w:val="24"/>
                <w:szCs w:val="24"/>
                <w:u w:val="single"/>
              </w:rPr>
              <w:t>年</w:t>
            </w:r>
            <w:r>
              <w:rPr>
                <w:rFonts w:ascii="Times New Roman" w:hAnsi="Times New Roman" w:eastAsia="Times New Roman" w:cs="Times New Roman"/>
                <w:color w:val="auto"/>
                <w:spacing w:val="0"/>
                <w:w w:val="100"/>
                <w:position w:val="0"/>
                <w:sz w:val="22"/>
                <w:szCs w:val="22"/>
                <w:u w:val="single"/>
              </w:rPr>
              <w:t>10</w:t>
            </w:r>
            <w:r>
              <w:rPr>
                <w:color w:val="auto"/>
                <w:spacing w:val="0"/>
                <w:w w:val="100"/>
                <w:position w:val="0"/>
                <w:sz w:val="24"/>
                <w:szCs w:val="24"/>
                <w:u w:val="single"/>
              </w:rPr>
              <w:t>月</w:t>
            </w:r>
            <w:r>
              <w:rPr>
                <w:rFonts w:ascii="Times New Roman" w:hAnsi="Times New Roman" w:eastAsia="Times New Roman" w:cs="Times New Roman"/>
                <w:color w:val="auto"/>
                <w:spacing w:val="0"/>
                <w:w w:val="100"/>
                <w:position w:val="0"/>
                <w:sz w:val="22"/>
                <w:szCs w:val="22"/>
                <w:u w:val="single"/>
                <w:lang w:val="en-US" w:eastAsia="en-US" w:bidi="en-US"/>
              </w:rPr>
              <w:t>7-8</w:t>
            </w:r>
            <w:r>
              <w:rPr>
                <w:color w:val="auto"/>
                <w:spacing w:val="0"/>
                <w:w w:val="100"/>
                <w:position w:val="0"/>
                <w:sz w:val="24"/>
                <w:szCs w:val="24"/>
                <w:u w:val="single"/>
              </w:rPr>
              <w:t>日，从南岳坡乘保护区的快艇岀发，沿湘江航道逆流而上， 约</w:t>
            </w:r>
            <w:r>
              <w:rPr>
                <w:rFonts w:ascii="Times New Roman" w:hAnsi="Times New Roman" w:eastAsia="Times New Roman" w:cs="Times New Roman"/>
                <w:color w:val="auto"/>
                <w:spacing w:val="0"/>
                <w:w w:val="100"/>
                <w:position w:val="0"/>
                <w:sz w:val="22"/>
                <w:szCs w:val="22"/>
                <w:u w:val="single"/>
              </w:rPr>
              <w:t>40</w:t>
            </w:r>
            <w:r>
              <w:rPr>
                <w:color w:val="auto"/>
                <w:spacing w:val="0"/>
                <w:w w:val="100"/>
                <w:position w:val="0"/>
                <w:sz w:val="24"/>
                <w:szCs w:val="24"/>
                <w:u w:val="single"/>
              </w:rPr>
              <w:t>分钟到达煤炭湾途远远看到江豚）。对清源环保年接收船舶污染物</w:t>
            </w:r>
            <w:r>
              <w:rPr>
                <w:rFonts w:ascii="Times New Roman" w:hAnsi="Times New Roman" w:eastAsia="Times New Roman" w:cs="Times New Roman"/>
                <w:color w:val="auto"/>
                <w:spacing w:val="0"/>
                <w:w w:val="100"/>
                <w:position w:val="0"/>
                <w:sz w:val="22"/>
                <w:szCs w:val="22"/>
                <w:u w:val="single"/>
              </w:rPr>
              <w:t xml:space="preserve">20900 </w:t>
            </w:r>
            <w:r>
              <w:rPr>
                <w:color w:val="auto"/>
                <w:spacing w:val="0"/>
                <w:w w:val="100"/>
                <w:position w:val="0"/>
                <w:sz w:val="24"/>
                <w:szCs w:val="24"/>
                <w:u w:val="single"/>
              </w:rPr>
              <w:t>吨建设项目的动物资源现状进行了实地调查。调查过程中，根据线路特点，选择 典型生境进行考察分析，结合已有资料本次调查以样带监测方式开展，根据工程 影响区范围内现状特点，选取典型生境设置样方样带，在工程影响区上游</w:t>
            </w:r>
            <w:r>
              <w:rPr>
                <w:rFonts w:ascii="Times New Roman" w:hAnsi="Times New Roman" w:eastAsia="Times New Roman" w:cs="Times New Roman"/>
                <w:color w:val="auto"/>
                <w:spacing w:val="0"/>
                <w:w w:val="100"/>
                <w:position w:val="0"/>
                <w:sz w:val="22"/>
                <w:szCs w:val="22"/>
                <w:u w:val="single"/>
                <w:lang w:val="en-US" w:eastAsia="en-US" w:bidi="en-US"/>
              </w:rPr>
              <w:t>lkm</w:t>
            </w:r>
            <w:r>
              <w:rPr>
                <w:color w:val="auto"/>
                <w:spacing w:val="0"/>
                <w:w w:val="100"/>
                <w:position w:val="0"/>
                <w:sz w:val="24"/>
                <w:szCs w:val="24"/>
                <w:u w:val="single"/>
                <w:lang w:val="en-US" w:eastAsia="en-US" w:bidi="en-US"/>
              </w:rPr>
              <w:t xml:space="preserve">、 </w:t>
            </w:r>
            <w:r>
              <w:rPr>
                <w:color w:val="auto"/>
                <w:spacing w:val="0"/>
                <w:w w:val="100"/>
                <w:position w:val="0"/>
                <w:sz w:val="24"/>
                <w:szCs w:val="24"/>
                <w:u w:val="single"/>
              </w:rPr>
              <w:t>下游</w:t>
            </w:r>
            <w:r>
              <w:rPr>
                <w:rFonts w:ascii="Times New Roman" w:hAnsi="Times New Roman" w:eastAsia="Times New Roman" w:cs="Times New Roman"/>
                <w:color w:val="auto"/>
                <w:spacing w:val="0"/>
                <w:w w:val="100"/>
                <w:position w:val="0"/>
                <w:sz w:val="22"/>
                <w:szCs w:val="22"/>
                <w:u w:val="single"/>
                <w:lang w:val="en-US" w:eastAsia="en-US" w:bidi="en-US"/>
              </w:rPr>
              <w:t>2km</w:t>
            </w:r>
            <w:r>
              <w:rPr>
                <w:color w:val="auto"/>
                <w:spacing w:val="0"/>
                <w:w w:val="100"/>
                <w:position w:val="0"/>
                <w:sz w:val="24"/>
                <w:szCs w:val="24"/>
                <w:u w:val="single"/>
              </w:rPr>
              <w:t>范围内范围内进行实地调查，在评价区内设置</w:t>
            </w:r>
            <w:r>
              <w:rPr>
                <w:rFonts w:ascii="Times New Roman" w:hAnsi="Times New Roman" w:eastAsia="Times New Roman" w:cs="Times New Roman"/>
                <w:color w:val="auto"/>
                <w:spacing w:val="0"/>
                <w:w w:val="100"/>
                <w:position w:val="0"/>
                <w:sz w:val="22"/>
                <w:szCs w:val="22"/>
                <w:u w:val="single"/>
              </w:rPr>
              <w:t>4</w:t>
            </w:r>
            <w:r>
              <w:rPr>
                <w:color w:val="auto"/>
                <w:spacing w:val="0"/>
                <w:w w:val="100"/>
                <w:position w:val="0"/>
                <w:sz w:val="24"/>
                <w:szCs w:val="24"/>
                <w:u w:val="single"/>
              </w:rPr>
              <w:t>条样带，在工程区内 设置样点</w:t>
            </w:r>
            <w:r>
              <w:rPr>
                <w:rFonts w:ascii="Times New Roman" w:hAnsi="Times New Roman" w:eastAsia="Times New Roman" w:cs="Times New Roman"/>
                <w:color w:val="auto"/>
                <w:spacing w:val="0"/>
                <w:w w:val="100"/>
                <w:position w:val="0"/>
                <w:sz w:val="22"/>
                <w:szCs w:val="22"/>
                <w:u w:val="single"/>
              </w:rPr>
              <w:t>1</w:t>
            </w:r>
            <w:r>
              <w:rPr>
                <w:color w:val="auto"/>
                <w:spacing w:val="0"/>
                <w:w w:val="100"/>
                <w:position w:val="0"/>
                <w:sz w:val="24"/>
                <w:szCs w:val="24"/>
                <w:u w:val="single"/>
              </w:rPr>
              <w:t>个，利用双筒望远镜进行观察，经实地调查共发现动物</w:t>
            </w:r>
            <w:r>
              <w:rPr>
                <w:rFonts w:ascii="Times New Roman" w:hAnsi="Times New Roman" w:eastAsia="Times New Roman" w:cs="Times New Roman"/>
                <w:color w:val="auto"/>
                <w:spacing w:val="0"/>
                <w:w w:val="100"/>
                <w:position w:val="0"/>
                <w:sz w:val="22"/>
                <w:szCs w:val="22"/>
                <w:u w:val="single"/>
              </w:rPr>
              <w:t>388</w:t>
            </w:r>
            <w:r>
              <w:rPr>
                <w:color w:val="auto"/>
                <w:spacing w:val="0"/>
                <w:w w:val="100"/>
                <w:position w:val="0"/>
                <w:sz w:val="24"/>
                <w:szCs w:val="24"/>
                <w:u w:val="single"/>
              </w:rPr>
              <w:t>次，共鉴 定</w:t>
            </w:r>
            <w:r>
              <w:rPr>
                <w:rFonts w:ascii="Times New Roman" w:hAnsi="Times New Roman" w:eastAsia="Times New Roman" w:cs="Times New Roman"/>
                <w:color w:val="auto"/>
                <w:spacing w:val="0"/>
                <w:w w:val="100"/>
                <w:position w:val="0"/>
                <w:sz w:val="22"/>
                <w:szCs w:val="22"/>
                <w:u w:val="single"/>
              </w:rPr>
              <w:t>15</w:t>
            </w:r>
            <w:r>
              <w:rPr>
                <w:color w:val="auto"/>
                <w:spacing w:val="0"/>
                <w:w w:val="100"/>
                <w:position w:val="0"/>
                <w:sz w:val="24"/>
                <w:szCs w:val="24"/>
                <w:u w:val="single"/>
              </w:rPr>
              <w:t>种，发现国家重点保护动植物江豚（一次远远的看见）、白鹭</w:t>
            </w:r>
            <w:r>
              <w:rPr>
                <w:color w:val="auto"/>
                <w:spacing w:val="0"/>
                <w:w w:val="100"/>
                <w:position w:val="0"/>
                <w:sz w:val="22"/>
                <w:szCs w:val="22"/>
                <w:u w:val="single"/>
              </w:rPr>
              <w:t>（</w:t>
            </w:r>
            <w:r>
              <w:rPr>
                <w:rFonts w:ascii="Times New Roman" w:hAnsi="Times New Roman" w:eastAsia="Times New Roman" w:cs="Times New Roman"/>
                <w:color w:val="auto"/>
                <w:spacing w:val="0"/>
                <w:w w:val="100"/>
                <w:position w:val="0"/>
                <w:sz w:val="22"/>
                <w:szCs w:val="22"/>
                <w:u w:val="single"/>
              </w:rPr>
              <w:t>5</w:t>
            </w:r>
            <w:r>
              <w:rPr>
                <w:color w:val="auto"/>
                <w:spacing w:val="0"/>
                <w:w w:val="100"/>
                <w:position w:val="0"/>
                <w:sz w:val="24"/>
                <w:szCs w:val="24"/>
                <w:u w:val="single"/>
              </w:rPr>
              <w:t>只）。</w:t>
            </w:r>
          </w:p>
          <w:p>
            <w:pPr>
              <w:autoSpaceDE w:val="0"/>
              <w:autoSpaceDN w:val="0"/>
              <w:adjustRightInd w:val="0"/>
              <w:snapToGrid w:val="0"/>
              <w:spacing w:line="360" w:lineRule="auto"/>
              <w:ind w:firstLine="480" w:firstLineChars="200"/>
              <w:jc w:val="both"/>
              <w:rPr>
                <w:rFonts w:hint="default" w:ascii="宋体" w:hAnsi="宋体" w:eastAsia="宋体" w:cs="宋体"/>
                <w:kern w:val="0"/>
                <w:szCs w:val="21"/>
                <w:lang w:val="en-US" w:eastAsia="zh-CN"/>
              </w:rPr>
            </w:pPr>
            <w:r>
              <w:rPr>
                <w:color w:val="auto"/>
                <w:spacing w:val="0"/>
                <w:w w:val="100"/>
                <w:position w:val="0"/>
                <w:sz w:val="24"/>
                <w:szCs w:val="24"/>
                <w:u w:val="single"/>
              </w:rPr>
              <w:t>根据实地考察及对相关资料进行综合分析，评价区分布的陆生脊椎动物有</w:t>
            </w:r>
            <w:r>
              <w:rPr>
                <w:rFonts w:ascii="Times New Roman" w:hAnsi="Times New Roman" w:eastAsia="Times New Roman" w:cs="Times New Roman"/>
                <w:color w:val="auto"/>
                <w:spacing w:val="0"/>
                <w:w w:val="100"/>
                <w:position w:val="0"/>
                <w:sz w:val="22"/>
                <w:szCs w:val="22"/>
                <w:u w:val="single"/>
              </w:rPr>
              <w:t xml:space="preserve">4 </w:t>
            </w:r>
            <w:r>
              <w:rPr>
                <w:color w:val="auto"/>
                <w:spacing w:val="0"/>
                <w:w w:val="100"/>
                <w:position w:val="0"/>
                <w:sz w:val="24"/>
                <w:szCs w:val="24"/>
                <w:u w:val="single"/>
              </w:rPr>
              <w:t>纲</w:t>
            </w:r>
            <w:r>
              <w:rPr>
                <w:rFonts w:ascii="Times New Roman" w:hAnsi="Times New Roman" w:eastAsia="Times New Roman" w:cs="Times New Roman"/>
                <w:color w:val="auto"/>
                <w:spacing w:val="0"/>
                <w:w w:val="100"/>
                <w:position w:val="0"/>
                <w:sz w:val="22"/>
                <w:szCs w:val="22"/>
                <w:u w:val="single"/>
              </w:rPr>
              <w:t>20</w:t>
            </w:r>
            <w:r>
              <w:rPr>
                <w:color w:val="auto"/>
                <w:spacing w:val="0"/>
                <w:w w:val="100"/>
                <w:position w:val="0"/>
                <w:sz w:val="24"/>
                <w:szCs w:val="24"/>
                <w:u w:val="single"/>
              </w:rPr>
              <w:t>目</w:t>
            </w:r>
            <w:r>
              <w:rPr>
                <w:rFonts w:ascii="Times New Roman" w:hAnsi="Times New Roman" w:eastAsia="Times New Roman" w:cs="Times New Roman"/>
                <w:color w:val="auto"/>
                <w:spacing w:val="0"/>
                <w:w w:val="100"/>
                <w:position w:val="0"/>
                <w:sz w:val="22"/>
                <w:szCs w:val="22"/>
                <w:u w:val="single"/>
              </w:rPr>
              <w:t>46</w:t>
            </w:r>
            <w:r>
              <w:rPr>
                <w:color w:val="auto"/>
                <w:spacing w:val="0"/>
                <w:w w:val="100"/>
                <w:position w:val="0"/>
                <w:sz w:val="24"/>
                <w:szCs w:val="24"/>
                <w:u w:val="single"/>
              </w:rPr>
              <w:t>科</w:t>
            </w:r>
            <w:r>
              <w:rPr>
                <w:rFonts w:ascii="Times New Roman" w:hAnsi="Times New Roman" w:eastAsia="Times New Roman" w:cs="Times New Roman"/>
                <w:color w:val="auto"/>
                <w:spacing w:val="0"/>
                <w:w w:val="100"/>
                <w:position w:val="0"/>
                <w:sz w:val="22"/>
                <w:szCs w:val="22"/>
                <w:u w:val="single"/>
              </w:rPr>
              <w:t>81</w:t>
            </w:r>
            <w:r>
              <w:rPr>
                <w:color w:val="auto"/>
                <w:spacing w:val="0"/>
                <w:w w:val="100"/>
                <w:position w:val="0"/>
                <w:sz w:val="24"/>
                <w:szCs w:val="24"/>
                <w:u w:val="single"/>
              </w:rPr>
              <w:t>种；评价区有国家</w:t>
            </w:r>
            <w:r>
              <w:rPr>
                <w:rFonts w:ascii="Times New Roman" w:hAnsi="Times New Roman" w:eastAsia="Times New Roman" w:cs="Times New Roman"/>
                <w:color w:val="auto"/>
                <w:spacing w:val="0"/>
                <w:w w:val="100"/>
                <w:position w:val="0"/>
                <w:sz w:val="22"/>
                <w:szCs w:val="22"/>
                <w:u w:val="single"/>
              </w:rPr>
              <w:t>II</w:t>
            </w:r>
            <w:r>
              <w:rPr>
                <w:color w:val="auto"/>
                <w:spacing w:val="0"/>
                <w:w w:val="100"/>
                <w:position w:val="0"/>
                <w:sz w:val="24"/>
                <w:szCs w:val="24"/>
                <w:u w:val="single"/>
              </w:rPr>
              <w:t>级重点保护野生动物</w:t>
            </w:r>
            <w:r>
              <w:rPr>
                <w:rFonts w:ascii="Times New Roman" w:hAnsi="Times New Roman" w:eastAsia="Times New Roman" w:cs="Times New Roman"/>
                <w:color w:val="auto"/>
                <w:spacing w:val="0"/>
                <w:w w:val="100"/>
                <w:position w:val="0"/>
                <w:sz w:val="22"/>
                <w:szCs w:val="22"/>
                <w:u w:val="single"/>
              </w:rPr>
              <w:t>2</w:t>
            </w:r>
            <w:r>
              <w:rPr>
                <w:color w:val="auto"/>
                <w:spacing w:val="0"/>
                <w:w w:val="100"/>
                <w:position w:val="0"/>
                <w:sz w:val="24"/>
                <w:szCs w:val="24"/>
                <w:u w:val="single"/>
              </w:rPr>
              <w:t>种，湖南省重点保 护野生动物</w:t>
            </w:r>
            <w:r>
              <w:rPr>
                <w:rFonts w:ascii="Times New Roman" w:hAnsi="Times New Roman" w:eastAsia="Times New Roman" w:cs="Times New Roman"/>
                <w:color w:val="auto"/>
                <w:spacing w:val="0"/>
                <w:w w:val="100"/>
                <w:position w:val="0"/>
                <w:sz w:val="22"/>
                <w:szCs w:val="22"/>
                <w:u w:val="single"/>
              </w:rPr>
              <w:t>58</w:t>
            </w:r>
            <w:r>
              <w:rPr>
                <w:color w:val="auto"/>
                <w:spacing w:val="0"/>
                <w:w w:val="100"/>
                <w:position w:val="0"/>
                <w:sz w:val="24"/>
                <w:szCs w:val="24"/>
                <w:u w:val="single"/>
              </w:rPr>
              <w:t>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220" w:hRule="atLeast"/>
          <w:jc w:val="center"/>
        </w:trPr>
        <w:tc>
          <w:tcPr>
            <w:tcW w:w="800" w:type="dxa"/>
            <w:tcBorders>
              <w:tl2br w:val="nil"/>
              <w:tr2bl w:val="nil"/>
            </w:tcBorders>
            <w:noWrap/>
            <w:vAlign w:val="center"/>
          </w:tcPr>
          <w:p>
            <w:pPr>
              <w:adjustRightInd w:val="0"/>
              <w:snapToGrid w:val="0"/>
              <w:jc w:val="center"/>
              <w:rPr>
                <w:rFonts w:ascii="宋体" w:hAnsi="宋体" w:cs="宋体"/>
                <w:kern w:val="0"/>
                <w:szCs w:val="21"/>
              </w:rPr>
            </w:pPr>
            <w:r>
              <w:rPr>
                <w:rFonts w:hint="eastAsia" w:ascii="宋体" w:hAnsi="宋体" w:cs="宋体"/>
                <w:kern w:val="0"/>
                <w:szCs w:val="21"/>
              </w:rPr>
              <w:t>区域</w:t>
            </w:r>
          </w:p>
          <w:p>
            <w:pPr>
              <w:adjustRightInd w:val="0"/>
              <w:snapToGrid w:val="0"/>
              <w:jc w:val="center"/>
              <w:rPr>
                <w:rFonts w:ascii="宋体" w:hAnsi="宋体" w:cs="宋体"/>
                <w:kern w:val="0"/>
                <w:szCs w:val="21"/>
              </w:rPr>
            </w:pPr>
            <w:r>
              <w:rPr>
                <w:rFonts w:hint="eastAsia" w:ascii="宋体" w:hAnsi="宋体" w:cs="宋体"/>
                <w:kern w:val="0"/>
                <w:szCs w:val="21"/>
              </w:rPr>
              <w:t>环境</w:t>
            </w:r>
          </w:p>
          <w:p>
            <w:pPr>
              <w:adjustRightInd w:val="0"/>
              <w:snapToGrid w:val="0"/>
              <w:jc w:val="center"/>
              <w:rPr>
                <w:rFonts w:ascii="宋体" w:hAnsi="宋体" w:cs="宋体"/>
                <w:kern w:val="0"/>
                <w:szCs w:val="21"/>
              </w:rPr>
            </w:pPr>
            <w:r>
              <w:rPr>
                <w:rFonts w:hint="eastAsia" w:ascii="宋体" w:hAnsi="宋体" w:cs="宋体"/>
                <w:kern w:val="0"/>
                <w:szCs w:val="21"/>
              </w:rPr>
              <w:t>质量</w:t>
            </w:r>
          </w:p>
          <w:p>
            <w:pPr>
              <w:adjustRightInd w:val="0"/>
              <w:snapToGrid w:val="0"/>
              <w:jc w:val="center"/>
              <w:rPr>
                <w:rFonts w:ascii="宋体" w:hAnsi="宋体" w:cs="宋体"/>
                <w:kern w:val="0"/>
                <w:szCs w:val="21"/>
              </w:rPr>
            </w:pPr>
            <w:r>
              <w:rPr>
                <w:rFonts w:hint="eastAsia" w:ascii="宋体" w:hAnsi="宋体" w:cs="宋体"/>
                <w:kern w:val="0"/>
                <w:szCs w:val="21"/>
              </w:rPr>
              <w:t>现状</w:t>
            </w:r>
          </w:p>
        </w:tc>
        <w:tc>
          <w:tcPr>
            <w:tcW w:w="8190" w:type="dxa"/>
            <w:tcBorders>
              <w:tl2br w:val="nil"/>
              <w:tr2bl w:val="nil"/>
            </w:tcBorders>
            <w:noWrap/>
            <w:vAlign w:val="center"/>
          </w:tcPr>
          <w:p>
            <w:pPr>
              <w:numPr>
                <w:ilvl w:val="0"/>
                <w:numId w:val="13"/>
              </w:numPr>
              <w:adjustRightInd w:val="0"/>
              <w:snapToGrid w:val="0"/>
              <w:spacing w:line="360" w:lineRule="auto"/>
            </w:pPr>
            <w:r>
              <w:rPr>
                <w:b/>
                <w:bCs/>
                <w:kern w:val="0"/>
                <w:szCs w:val="21"/>
              </w:rPr>
              <w:t>环境空气质量现状</w:t>
            </w:r>
          </w:p>
          <w:p>
            <w:pPr>
              <w:adjustRightInd w:val="0"/>
              <w:snapToGrid w:val="0"/>
              <w:spacing w:line="360" w:lineRule="auto"/>
              <w:ind w:firstLine="480" w:firstLineChars="200"/>
              <w:rPr>
                <w:kern w:val="0"/>
                <w:sz w:val="24"/>
                <w:szCs w:val="24"/>
              </w:rPr>
            </w:pPr>
            <w:r>
              <w:rPr>
                <w:kern w:val="0"/>
                <w:sz w:val="24"/>
                <w:szCs w:val="24"/>
              </w:rPr>
              <w:t>建设项目所在区域为二类环境空气质量功能区，执行《环境空气质量标准》（GB3095-2012）二级标准</w:t>
            </w:r>
            <w:r>
              <w:rPr>
                <w:sz w:val="24"/>
                <w:szCs w:val="24"/>
              </w:rPr>
              <w:t>及其修改单（生态环境部公告2018年第29号）要求</w:t>
            </w:r>
            <w:r>
              <w:rPr>
                <w:kern w:val="0"/>
                <w:sz w:val="24"/>
                <w:szCs w:val="24"/>
              </w:rPr>
              <w:t>。</w:t>
            </w:r>
          </w:p>
          <w:p>
            <w:pPr>
              <w:pStyle w:val="34"/>
              <w:rPr>
                <w:szCs w:val="24"/>
              </w:rPr>
            </w:pPr>
            <w:r>
              <w:rPr>
                <w:szCs w:val="24"/>
              </w:rPr>
              <w:t>（1）空气质量达标区判定</w:t>
            </w:r>
          </w:p>
          <w:p>
            <w:pPr>
              <w:pStyle w:val="34"/>
              <w:rPr>
                <w:szCs w:val="24"/>
              </w:rPr>
            </w:pPr>
            <w:r>
              <w:rPr>
                <w:szCs w:val="24"/>
              </w:rPr>
              <w:t>根据2020年岳阳市岳阳</w:t>
            </w:r>
            <w:r>
              <w:rPr>
                <w:rFonts w:hint="eastAsia"/>
                <w:szCs w:val="24"/>
                <w:lang w:eastAsia="zh-CN"/>
              </w:rPr>
              <w:t>市</w:t>
            </w:r>
            <w:r>
              <w:rPr>
                <w:szCs w:val="24"/>
              </w:rPr>
              <w:t>环境监测站点的基本污染物环境质量现状数据进行判定，其判定结果如下。</w:t>
            </w:r>
          </w:p>
          <w:p>
            <w:pPr>
              <w:pStyle w:val="38"/>
              <w:snapToGrid w:val="0"/>
              <w:spacing w:line="360" w:lineRule="auto"/>
              <w:rPr>
                <w:szCs w:val="21"/>
              </w:rPr>
            </w:pPr>
            <w:r>
              <w:rPr>
                <w:szCs w:val="21"/>
              </w:rPr>
              <w:t>表3-1  2020年岳阳</w:t>
            </w:r>
            <w:r>
              <w:rPr>
                <w:rFonts w:hint="eastAsia"/>
                <w:szCs w:val="21"/>
                <w:lang w:eastAsia="zh-CN"/>
              </w:rPr>
              <w:t>市</w:t>
            </w:r>
            <w:r>
              <w:rPr>
                <w:szCs w:val="21"/>
              </w:rPr>
              <w:t>区域空气质量现状评价表</w:t>
            </w:r>
          </w:p>
          <w:tbl>
            <w:tblPr>
              <w:tblStyle w:val="24"/>
              <w:tblW w:w="0" w:type="auto"/>
              <w:jc w:val="center"/>
              <w:tblBorders>
                <w:top w:val="single" w:color="000000" w:sz="12" w:space="0"/>
                <w:left w:val="single" w:color="000000" w:sz="12" w:space="0"/>
                <w:bottom w:val="single" w:color="000000" w:sz="12" w:space="0"/>
                <w:right w:val="single" w:color="000000" w:sz="12" w:space="0"/>
                <w:insideH w:val="single" w:color="auto" w:sz="6" w:space="0"/>
                <w:insideV w:val="single" w:color="auto" w:sz="6" w:space="0"/>
              </w:tblBorders>
              <w:tblLayout w:type="fixed"/>
              <w:tblCellMar>
                <w:top w:w="0" w:type="dxa"/>
                <w:left w:w="108" w:type="dxa"/>
                <w:bottom w:w="0" w:type="dxa"/>
                <w:right w:w="108" w:type="dxa"/>
              </w:tblCellMar>
            </w:tblPr>
            <w:tblGrid>
              <w:gridCol w:w="697"/>
              <w:gridCol w:w="1757"/>
              <w:gridCol w:w="1255"/>
              <w:gridCol w:w="1254"/>
              <w:gridCol w:w="1054"/>
              <w:gridCol w:w="1174"/>
            </w:tblGrid>
            <w:tr>
              <w:tblPrEx>
                <w:tblBorders>
                  <w:top w:val="single" w:color="000000" w:sz="12" w:space="0"/>
                  <w:left w:val="single" w:color="000000" w:sz="12" w:space="0"/>
                  <w:bottom w:val="single" w:color="000000" w:sz="12" w:space="0"/>
                  <w:right w:val="single" w:color="000000"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697" w:type="dxa"/>
                  <w:noWrap/>
                  <w:vAlign w:val="center"/>
                </w:tcPr>
                <w:p>
                  <w:pPr>
                    <w:adjustRightInd w:val="0"/>
                    <w:snapToGrid w:val="0"/>
                    <w:jc w:val="center"/>
                    <w:rPr>
                      <w:b/>
                      <w:bCs/>
                      <w:szCs w:val="21"/>
                    </w:rPr>
                  </w:pPr>
                  <w:r>
                    <w:rPr>
                      <w:b/>
                      <w:bCs/>
                      <w:szCs w:val="21"/>
                    </w:rPr>
                    <w:t>评价因子</w:t>
                  </w:r>
                </w:p>
              </w:tc>
              <w:tc>
                <w:tcPr>
                  <w:tcW w:w="1757" w:type="dxa"/>
                  <w:noWrap/>
                  <w:vAlign w:val="center"/>
                </w:tcPr>
                <w:p>
                  <w:pPr>
                    <w:adjustRightInd w:val="0"/>
                    <w:snapToGrid w:val="0"/>
                    <w:jc w:val="center"/>
                    <w:rPr>
                      <w:b/>
                      <w:bCs/>
                      <w:szCs w:val="21"/>
                    </w:rPr>
                  </w:pPr>
                  <w:r>
                    <w:rPr>
                      <w:rFonts w:hint="eastAsia"/>
                      <w:b/>
                      <w:bCs/>
                      <w:szCs w:val="21"/>
                    </w:rPr>
                    <w:t>平均</w:t>
                  </w:r>
                  <w:r>
                    <w:rPr>
                      <w:b/>
                      <w:bCs/>
                      <w:szCs w:val="21"/>
                    </w:rPr>
                    <w:t>时段</w:t>
                  </w:r>
                </w:p>
              </w:tc>
              <w:tc>
                <w:tcPr>
                  <w:tcW w:w="1255" w:type="dxa"/>
                  <w:noWrap/>
                  <w:vAlign w:val="center"/>
                </w:tcPr>
                <w:p>
                  <w:pPr>
                    <w:adjustRightInd w:val="0"/>
                    <w:snapToGrid w:val="0"/>
                    <w:jc w:val="center"/>
                    <w:rPr>
                      <w:b/>
                      <w:bCs/>
                      <w:szCs w:val="21"/>
                    </w:rPr>
                  </w:pPr>
                  <w:r>
                    <w:rPr>
                      <w:b/>
                      <w:bCs/>
                      <w:szCs w:val="21"/>
                    </w:rPr>
                    <w:t>现状浓度/</w:t>
                  </w:r>
                </w:p>
              </w:tc>
              <w:tc>
                <w:tcPr>
                  <w:tcW w:w="1254" w:type="dxa"/>
                  <w:noWrap/>
                  <w:vAlign w:val="center"/>
                </w:tcPr>
                <w:p>
                  <w:pPr>
                    <w:adjustRightInd w:val="0"/>
                    <w:snapToGrid w:val="0"/>
                    <w:jc w:val="center"/>
                    <w:rPr>
                      <w:b/>
                      <w:bCs/>
                      <w:szCs w:val="21"/>
                    </w:rPr>
                  </w:pPr>
                  <w:r>
                    <w:rPr>
                      <w:b/>
                      <w:bCs/>
                      <w:szCs w:val="21"/>
                    </w:rPr>
                    <w:t>标准浓度/</w:t>
                  </w:r>
                </w:p>
              </w:tc>
              <w:tc>
                <w:tcPr>
                  <w:tcW w:w="1054" w:type="dxa"/>
                  <w:noWrap/>
                  <w:vAlign w:val="center"/>
                </w:tcPr>
                <w:p>
                  <w:pPr>
                    <w:adjustRightInd w:val="0"/>
                    <w:snapToGrid w:val="0"/>
                    <w:jc w:val="center"/>
                    <w:rPr>
                      <w:b/>
                      <w:bCs/>
                      <w:szCs w:val="21"/>
                    </w:rPr>
                  </w:pPr>
                  <w:r>
                    <w:rPr>
                      <w:b/>
                      <w:bCs/>
                      <w:szCs w:val="21"/>
                    </w:rPr>
                    <w:t>占标率/％</w:t>
                  </w:r>
                </w:p>
              </w:tc>
              <w:tc>
                <w:tcPr>
                  <w:tcW w:w="1174" w:type="dxa"/>
                  <w:noWrap/>
                  <w:vAlign w:val="center"/>
                </w:tcPr>
                <w:p>
                  <w:pPr>
                    <w:adjustRightInd w:val="0"/>
                    <w:snapToGrid w:val="0"/>
                    <w:jc w:val="center"/>
                    <w:rPr>
                      <w:b/>
                      <w:bCs/>
                      <w:szCs w:val="21"/>
                    </w:rPr>
                  </w:pPr>
                  <w:r>
                    <w:rPr>
                      <w:b/>
                      <w:bCs/>
                      <w:szCs w:val="21"/>
                    </w:rPr>
                    <w:t>达标情况</w:t>
                  </w:r>
                </w:p>
              </w:tc>
            </w:tr>
            <w:tr>
              <w:tblPrEx>
                <w:tblBorders>
                  <w:top w:val="single" w:color="000000" w:sz="12" w:space="0"/>
                  <w:left w:val="single" w:color="000000" w:sz="12" w:space="0"/>
                  <w:bottom w:val="single" w:color="000000" w:sz="12" w:space="0"/>
                  <w:right w:val="single" w:color="000000" w:sz="12" w:space="0"/>
                  <w:insideH w:val="single" w:color="auto" w:sz="6" w:space="0"/>
                  <w:insideV w:val="single" w:color="auto" w:sz="6" w:space="0"/>
                </w:tblBorders>
                <w:tblCellMar>
                  <w:top w:w="0" w:type="dxa"/>
                  <w:left w:w="108" w:type="dxa"/>
                  <w:bottom w:w="0" w:type="dxa"/>
                  <w:right w:w="108" w:type="dxa"/>
                </w:tblCellMar>
              </w:tblPrEx>
              <w:trPr>
                <w:trHeight w:val="352" w:hRule="atLeast"/>
                <w:jc w:val="center"/>
              </w:trPr>
              <w:tc>
                <w:tcPr>
                  <w:tcW w:w="697" w:type="dxa"/>
                  <w:noWrap/>
                  <w:vAlign w:val="center"/>
                </w:tcPr>
                <w:p>
                  <w:pPr>
                    <w:adjustRightInd w:val="0"/>
                    <w:snapToGrid w:val="0"/>
                    <w:jc w:val="center"/>
                    <w:rPr>
                      <w:szCs w:val="21"/>
                    </w:rPr>
                  </w:pPr>
                  <w:r>
                    <w:rPr>
                      <w:szCs w:val="21"/>
                    </w:rPr>
                    <w:t>SO</w:t>
                  </w:r>
                  <w:r>
                    <w:rPr>
                      <w:szCs w:val="21"/>
                      <w:vertAlign w:val="subscript"/>
                    </w:rPr>
                    <w:t>2</w:t>
                  </w:r>
                </w:p>
              </w:tc>
              <w:tc>
                <w:tcPr>
                  <w:tcW w:w="1757" w:type="dxa"/>
                  <w:noWrap/>
                  <w:vAlign w:val="center"/>
                </w:tcPr>
                <w:p>
                  <w:pPr>
                    <w:adjustRightInd w:val="0"/>
                    <w:snapToGrid w:val="0"/>
                    <w:jc w:val="center"/>
                    <w:rPr>
                      <w:szCs w:val="21"/>
                    </w:rPr>
                  </w:pPr>
                  <w:r>
                    <w:rPr>
                      <w:szCs w:val="21"/>
                    </w:rPr>
                    <w:t>年平均浓度</w:t>
                  </w:r>
                </w:p>
              </w:tc>
              <w:tc>
                <w:tcPr>
                  <w:tcW w:w="1255" w:type="dxa"/>
                  <w:noWrap/>
                  <w:vAlign w:val="center"/>
                </w:tcPr>
                <w:p>
                  <w:pPr>
                    <w:adjustRightInd w:val="0"/>
                    <w:snapToGrid w:val="0"/>
                    <w:jc w:val="center"/>
                    <w:rPr>
                      <w:szCs w:val="21"/>
                    </w:rPr>
                  </w:pPr>
                  <w:r>
                    <w:rPr>
                      <w:szCs w:val="21"/>
                    </w:rPr>
                    <w:t>7μg/m</w:t>
                  </w:r>
                  <w:r>
                    <w:rPr>
                      <w:szCs w:val="21"/>
                      <w:vertAlign w:val="superscript"/>
                    </w:rPr>
                    <w:t>3</w:t>
                  </w:r>
                </w:p>
              </w:tc>
              <w:tc>
                <w:tcPr>
                  <w:tcW w:w="1254" w:type="dxa"/>
                  <w:noWrap/>
                  <w:vAlign w:val="center"/>
                </w:tcPr>
                <w:p>
                  <w:pPr>
                    <w:adjustRightInd w:val="0"/>
                    <w:snapToGrid w:val="0"/>
                    <w:jc w:val="center"/>
                    <w:rPr>
                      <w:szCs w:val="21"/>
                    </w:rPr>
                  </w:pPr>
                  <w:r>
                    <w:rPr>
                      <w:szCs w:val="21"/>
                    </w:rPr>
                    <w:t>60μg/m</w:t>
                  </w:r>
                  <w:r>
                    <w:rPr>
                      <w:szCs w:val="21"/>
                      <w:vertAlign w:val="superscript"/>
                    </w:rPr>
                    <w:t>3</w:t>
                  </w:r>
                </w:p>
              </w:tc>
              <w:tc>
                <w:tcPr>
                  <w:tcW w:w="1054" w:type="dxa"/>
                  <w:noWrap/>
                  <w:vAlign w:val="center"/>
                </w:tcPr>
                <w:p>
                  <w:pPr>
                    <w:adjustRightInd w:val="0"/>
                    <w:snapToGrid w:val="0"/>
                    <w:jc w:val="center"/>
                    <w:rPr>
                      <w:szCs w:val="21"/>
                    </w:rPr>
                  </w:pPr>
                  <w:r>
                    <w:rPr>
                      <w:szCs w:val="21"/>
                    </w:rPr>
                    <w:t>0.117</w:t>
                  </w:r>
                </w:p>
              </w:tc>
              <w:tc>
                <w:tcPr>
                  <w:tcW w:w="1174" w:type="dxa"/>
                  <w:noWrap/>
                  <w:vAlign w:val="center"/>
                </w:tcPr>
                <w:p>
                  <w:pPr>
                    <w:adjustRightInd w:val="0"/>
                    <w:snapToGrid w:val="0"/>
                    <w:jc w:val="center"/>
                    <w:rPr>
                      <w:szCs w:val="21"/>
                    </w:rPr>
                  </w:pPr>
                  <w:r>
                    <w:rPr>
                      <w:szCs w:val="21"/>
                    </w:rPr>
                    <w:t>达标</w:t>
                  </w:r>
                </w:p>
              </w:tc>
            </w:tr>
            <w:tr>
              <w:tblPrEx>
                <w:tblBorders>
                  <w:top w:val="single" w:color="000000" w:sz="12" w:space="0"/>
                  <w:left w:val="single" w:color="000000" w:sz="12" w:space="0"/>
                  <w:bottom w:val="single" w:color="000000" w:sz="12" w:space="0"/>
                  <w:right w:val="single" w:color="000000" w:sz="12" w:space="0"/>
                  <w:insideH w:val="single" w:color="auto" w:sz="6" w:space="0"/>
                  <w:insideV w:val="single" w:color="auto" w:sz="6" w:space="0"/>
                </w:tblBorders>
                <w:tblCellMar>
                  <w:top w:w="0" w:type="dxa"/>
                  <w:left w:w="108" w:type="dxa"/>
                  <w:bottom w:w="0" w:type="dxa"/>
                  <w:right w:w="108" w:type="dxa"/>
                </w:tblCellMar>
              </w:tblPrEx>
              <w:trPr>
                <w:trHeight w:val="352" w:hRule="atLeast"/>
                <w:jc w:val="center"/>
              </w:trPr>
              <w:tc>
                <w:tcPr>
                  <w:tcW w:w="697" w:type="dxa"/>
                  <w:noWrap/>
                  <w:vAlign w:val="center"/>
                </w:tcPr>
                <w:p>
                  <w:pPr>
                    <w:adjustRightInd w:val="0"/>
                    <w:snapToGrid w:val="0"/>
                    <w:jc w:val="center"/>
                    <w:rPr>
                      <w:szCs w:val="21"/>
                    </w:rPr>
                  </w:pPr>
                  <w:r>
                    <w:rPr>
                      <w:szCs w:val="21"/>
                    </w:rPr>
                    <w:t>NO</w:t>
                  </w:r>
                  <w:r>
                    <w:rPr>
                      <w:szCs w:val="21"/>
                      <w:vertAlign w:val="subscript"/>
                    </w:rPr>
                    <w:t>2</w:t>
                  </w:r>
                </w:p>
              </w:tc>
              <w:tc>
                <w:tcPr>
                  <w:tcW w:w="1757" w:type="dxa"/>
                  <w:noWrap/>
                  <w:vAlign w:val="center"/>
                </w:tcPr>
                <w:p>
                  <w:pPr>
                    <w:adjustRightInd w:val="0"/>
                    <w:snapToGrid w:val="0"/>
                    <w:jc w:val="center"/>
                    <w:rPr>
                      <w:szCs w:val="21"/>
                    </w:rPr>
                  </w:pPr>
                  <w:r>
                    <w:rPr>
                      <w:szCs w:val="21"/>
                    </w:rPr>
                    <w:t>年平均浓度</w:t>
                  </w:r>
                </w:p>
              </w:tc>
              <w:tc>
                <w:tcPr>
                  <w:tcW w:w="1255" w:type="dxa"/>
                  <w:noWrap/>
                  <w:vAlign w:val="center"/>
                </w:tcPr>
                <w:p>
                  <w:pPr>
                    <w:adjustRightInd w:val="0"/>
                    <w:snapToGrid w:val="0"/>
                    <w:jc w:val="center"/>
                    <w:rPr>
                      <w:szCs w:val="21"/>
                    </w:rPr>
                  </w:pPr>
                  <w:r>
                    <w:rPr>
                      <w:szCs w:val="21"/>
                    </w:rPr>
                    <w:t>19μg/m</w:t>
                  </w:r>
                  <w:r>
                    <w:rPr>
                      <w:szCs w:val="21"/>
                      <w:vertAlign w:val="superscript"/>
                    </w:rPr>
                    <w:t>3</w:t>
                  </w:r>
                </w:p>
              </w:tc>
              <w:tc>
                <w:tcPr>
                  <w:tcW w:w="1254" w:type="dxa"/>
                  <w:noWrap/>
                  <w:vAlign w:val="center"/>
                </w:tcPr>
                <w:p>
                  <w:pPr>
                    <w:adjustRightInd w:val="0"/>
                    <w:snapToGrid w:val="0"/>
                    <w:jc w:val="center"/>
                    <w:rPr>
                      <w:szCs w:val="21"/>
                    </w:rPr>
                  </w:pPr>
                  <w:r>
                    <w:rPr>
                      <w:szCs w:val="21"/>
                    </w:rPr>
                    <w:t>40μg/m</w:t>
                  </w:r>
                  <w:r>
                    <w:rPr>
                      <w:szCs w:val="21"/>
                      <w:vertAlign w:val="superscript"/>
                    </w:rPr>
                    <w:t>3</w:t>
                  </w:r>
                </w:p>
              </w:tc>
              <w:tc>
                <w:tcPr>
                  <w:tcW w:w="1054" w:type="dxa"/>
                  <w:noWrap/>
                  <w:vAlign w:val="center"/>
                </w:tcPr>
                <w:p>
                  <w:pPr>
                    <w:adjustRightInd w:val="0"/>
                    <w:snapToGrid w:val="0"/>
                    <w:jc w:val="center"/>
                    <w:rPr>
                      <w:szCs w:val="21"/>
                    </w:rPr>
                  </w:pPr>
                  <w:r>
                    <w:rPr>
                      <w:szCs w:val="21"/>
                    </w:rPr>
                    <w:t>0.475</w:t>
                  </w:r>
                </w:p>
              </w:tc>
              <w:tc>
                <w:tcPr>
                  <w:tcW w:w="1174" w:type="dxa"/>
                  <w:noWrap/>
                  <w:vAlign w:val="center"/>
                </w:tcPr>
                <w:p>
                  <w:pPr>
                    <w:adjustRightInd w:val="0"/>
                    <w:snapToGrid w:val="0"/>
                    <w:jc w:val="center"/>
                    <w:rPr>
                      <w:szCs w:val="21"/>
                    </w:rPr>
                  </w:pPr>
                  <w:r>
                    <w:rPr>
                      <w:szCs w:val="21"/>
                    </w:rPr>
                    <w:t>达标</w:t>
                  </w:r>
                </w:p>
              </w:tc>
            </w:tr>
            <w:tr>
              <w:tblPrEx>
                <w:tblBorders>
                  <w:top w:val="single" w:color="000000" w:sz="12" w:space="0"/>
                  <w:left w:val="single" w:color="000000" w:sz="12" w:space="0"/>
                  <w:bottom w:val="single" w:color="000000" w:sz="12" w:space="0"/>
                  <w:right w:val="single" w:color="000000" w:sz="12" w:space="0"/>
                  <w:insideH w:val="single" w:color="auto" w:sz="6" w:space="0"/>
                  <w:insideV w:val="single" w:color="auto" w:sz="6" w:space="0"/>
                </w:tblBorders>
                <w:tblCellMar>
                  <w:top w:w="0" w:type="dxa"/>
                  <w:left w:w="108" w:type="dxa"/>
                  <w:bottom w:w="0" w:type="dxa"/>
                  <w:right w:w="108" w:type="dxa"/>
                </w:tblCellMar>
              </w:tblPrEx>
              <w:trPr>
                <w:trHeight w:val="352" w:hRule="atLeast"/>
                <w:jc w:val="center"/>
              </w:trPr>
              <w:tc>
                <w:tcPr>
                  <w:tcW w:w="697" w:type="dxa"/>
                  <w:noWrap/>
                  <w:vAlign w:val="center"/>
                </w:tcPr>
                <w:p>
                  <w:pPr>
                    <w:adjustRightInd w:val="0"/>
                    <w:snapToGrid w:val="0"/>
                    <w:jc w:val="center"/>
                    <w:rPr>
                      <w:szCs w:val="21"/>
                    </w:rPr>
                  </w:pPr>
                  <w:r>
                    <w:rPr>
                      <w:szCs w:val="21"/>
                    </w:rPr>
                    <w:t>CO</w:t>
                  </w:r>
                </w:p>
              </w:tc>
              <w:tc>
                <w:tcPr>
                  <w:tcW w:w="1757" w:type="dxa"/>
                  <w:noWrap/>
                  <w:vAlign w:val="center"/>
                </w:tcPr>
                <w:p>
                  <w:pPr>
                    <w:adjustRightInd w:val="0"/>
                    <w:snapToGrid w:val="0"/>
                    <w:jc w:val="center"/>
                    <w:rPr>
                      <w:szCs w:val="21"/>
                    </w:rPr>
                  </w:pPr>
                  <w:r>
                    <w:rPr>
                      <w:szCs w:val="21"/>
                    </w:rPr>
                    <w:t>百分位上日平均</w:t>
                  </w:r>
                </w:p>
              </w:tc>
              <w:tc>
                <w:tcPr>
                  <w:tcW w:w="1255" w:type="dxa"/>
                  <w:noWrap/>
                  <w:vAlign w:val="center"/>
                </w:tcPr>
                <w:p>
                  <w:pPr>
                    <w:adjustRightInd w:val="0"/>
                    <w:snapToGrid w:val="0"/>
                    <w:jc w:val="center"/>
                    <w:rPr>
                      <w:szCs w:val="21"/>
                    </w:rPr>
                  </w:pPr>
                  <w:r>
                    <w:rPr>
                      <w:szCs w:val="21"/>
                    </w:rPr>
                    <w:t>1.1mg/m</w:t>
                  </w:r>
                  <w:r>
                    <w:rPr>
                      <w:szCs w:val="21"/>
                      <w:vertAlign w:val="superscript"/>
                    </w:rPr>
                    <w:t>3</w:t>
                  </w:r>
                </w:p>
              </w:tc>
              <w:tc>
                <w:tcPr>
                  <w:tcW w:w="1254" w:type="dxa"/>
                  <w:noWrap/>
                  <w:vAlign w:val="center"/>
                </w:tcPr>
                <w:p>
                  <w:pPr>
                    <w:adjustRightInd w:val="0"/>
                    <w:snapToGrid w:val="0"/>
                    <w:jc w:val="center"/>
                    <w:rPr>
                      <w:szCs w:val="21"/>
                    </w:rPr>
                  </w:pPr>
                  <w:r>
                    <w:rPr>
                      <w:szCs w:val="21"/>
                    </w:rPr>
                    <w:t>4mg/m</w:t>
                  </w:r>
                  <w:r>
                    <w:rPr>
                      <w:szCs w:val="21"/>
                      <w:vertAlign w:val="superscript"/>
                    </w:rPr>
                    <w:t>3</w:t>
                  </w:r>
                </w:p>
              </w:tc>
              <w:tc>
                <w:tcPr>
                  <w:tcW w:w="1054" w:type="dxa"/>
                  <w:noWrap/>
                  <w:vAlign w:val="center"/>
                </w:tcPr>
                <w:p>
                  <w:pPr>
                    <w:adjustRightInd w:val="0"/>
                    <w:snapToGrid w:val="0"/>
                    <w:jc w:val="center"/>
                    <w:rPr>
                      <w:szCs w:val="21"/>
                    </w:rPr>
                  </w:pPr>
                  <w:r>
                    <w:rPr>
                      <w:szCs w:val="21"/>
                    </w:rPr>
                    <w:t>0.275</w:t>
                  </w:r>
                </w:p>
              </w:tc>
              <w:tc>
                <w:tcPr>
                  <w:tcW w:w="1174" w:type="dxa"/>
                  <w:noWrap/>
                  <w:vAlign w:val="center"/>
                </w:tcPr>
                <w:p>
                  <w:pPr>
                    <w:adjustRightInd w:val="0"/>
                    <w:snapToGrid w:val="0"/>
                    <w:jc w:val="center"/>
                    <w:rPr>
                      <w:szCs w:val="21"/>
                    </w:rPr>
                  </w:pPr>
                  <w:r>
                    <w:rPr>
                      <w:szCs w:val="21"/>
                    </w:rPr>
                    <w:t>达标</w:t>
                  </w:r>
                </w:p>
              </w:tc>
            </w:tr>
            <w:tr>
              <w:tblPrEx>
                <w:tblBorders>
                  <w:top w:val="single" w:color="000000" w:sz="12" w:space="0"/>
                  <w:left w:val="single" w:color="000000" w:sz="12" w:space="0"/>
                  <w:bottom w:val="single" w:color="000000" w:sz="12" w:space="0"/>
                  <w:right w:val="single" w:color="000000" w:sz="12" w:space="0"/>
                  <w:insideH w:val="single" w:color="auto" w:sz="6" w:space="0"/>
                  <w:insideV w:val="single" w:color="auto" w:sz="6" w:space="0"/>
                </w:tblBorders>
                <w:tblCellMar>
                  <w:top w:w="0" w:type="dxa"/>
                  <w:left w:w="108" w:type="dxa"/>
                  <w:bottom w:w="0" w:type="dxa"/>
                  <w:right w:w="108" w:type="dxa"/>
                </w:tblCellMar>
              </w:tblPrEx>
              <w:trPr>
                <w:trHeight w:val="352" w:hRule="atLeast"/>
                <w:jc w:val="center"/>
              </w:trPr>
              <w:tc>
                <w:tcPr>
                  <w:tcW w:w="697" w:type="dxa"/>
                  <w:noWrap/>
                  <w:vAlign w:val="center"/>
                </w:tcPr>
                <w:p>
                  <w:pPr>
                    <w:adjustRightInd w:val="0"/>
                    <w:snapToGrid w:val="0"/>
                    <w:jc w:val="center"/>
                    <w:rPr>
                      <w:szCs w:val="21"/>
                    </w:rPr>
                  </w:pPr>
                  <w:r>
                    <w:rPr>
                      <w:szCs w:val="21"/>
                    </w:rPr>
                    <w:t>臭氧</w:t>
                  </w:r>
                </w:p>
              </w:tc>
              <w:tc>
                <w:tcPr>
                  <w:tcW w:w="1757" w:type="dxa"/>
                  <w:noWrap/>
                  <w:vAlign w:val="center"/>
                </w:tcPr>
                <w:p>
                  <w:pPr>
                    <w:adjustRightInd w:val="0"/>
                    <w:snapToGrid w:val="0"/>
                    <w:jc w:val="center"/>
                    <w:rPr>
                      <w:szCs w:val="21"/>
                    </w:rPr>
                  </w:pPr>
                  <w:r>
                    <w:rPr>
                      <w:szCs w:val="21"/>
                    </w:rPr>
                    <w:t>8h平均质量浓度</w:t>
                  </w:r>
                </w:p>
              </w:tc>
              <w:tc>
                <w:tcPr>
                  <w:tcW w:w="1255" w:type="dxa"/>
                  <w:noWrap/>
                  <w:vAlign w:val="center"/>
                </w:tcPr>
                <w:p>
                  <w:pPr>
                    <w:adjustRightInd w:val="0"/>
                    <w:snapToGrid w:val="0"/>
                    <w:jc w:val="center"/>
                    <w:rPr>
                      <w:szCs w:val="21"/>
                    </w:rPr>
                  </w:pPr>
                  <w:r>
                    <w:rPr>
                      <w:szCs w:val="21"/>
                    </w:rPr>
                    <w:t>123μg/m</w:t>
                  </w:r>
                  <w:r>
                    <w:rPr>
                      <w:szCs w:val="21"/>
                      <w:vertAlign w:val="superscript"/>
                    </w:rPr>
                    <w:t>3</w:t>
                  </w:r>
                </w:p>
              </w:tc>
              <w:tc>
                <w:tcPr>
                  <w:tcW w:w="1254" w:type="dxa"/>
                  <w:noWrap/>
                  <w:vAlign w:val="center"/>
                </w:tcPr>
                <w:p>
                  <w:pPr>
                    <w:adjustRightInd w:val="0"/>
                    <w:snapToGrid w:val="0"/>
                    <w:jc w:val="center"/>
                    <w:rPr>
                      <w:szCs w:val="21"/>
                    </w:rPr>
                  </w:pPr>
                  <w:r>
                    <w:rPr>
                      <w:szCs w:val="21"/>
                    </w:rPr>
                    <w:t>160μg/m</w:t>
                  </w:r>
                  <w:r>
                    <w:rPr>
                      <w:szCs w:val="21"/>
                      <w:vertAlign w:val="superscript"/>
                    </w:rPr>
                    <w:t>3</w:t>
                  </w:r>
                </w:p>
              </w:tc>
              <w:tc>
                <w:tcPr>
                  <w:tcW w:w="1054" w:type="dxa"/>
                  <w:noWrap/>
                  <w:vAlign w:val="center"/>
                </w:tcPr>
                <w:p>
                  <w:pPr>
                    <w:adjustRightInd w:val="0"/>
                    <w:snapToGrid w:val="0"/>
                    <w:jc w:val="center"/>
                    <w:rPr>
                      <w:szCs w:val="21"/>
                    </w:rPr>
                  </w:pPr>
                  <w:r>
                    <w:rPr>
                      <w:szCs w:val="21"/>
                    </w:rPr>
                    <w:t>0.769</w:t>
                  </w:r>
                </w:p>
              </w:tc>
              <w:tc>
                <w:tcPr>
                  <w:tcW w:w="1174" w:type="dxa"/>
                  <w:noWrap/>
                  <w:vAlign w:val="center"/>
                </w:tcPr>
                <w:p>
                  <w:pPr>
                    <w:adjustRightInd w:val="0"/>
                    <w:snapToGrid w:val="0"/>
                    <w:jc w:val="center"/>
                    <w:rPr>
                      <w:szCs w:val="21"/>
                    </w:rPr>
                  </w:pPr>
                  <w:r>
                    <w:rPr>
                      <w:szCs w:val="21"/>
                    </w:rPr>
                    <w:t>达标</w:t>
                  </w:r>
                </w:p>
              </w:tc>
            </w:tr>
            <w:tr>
              <w:tblPrEx>
                <w:tblBorders>
                  <w:top w:val="single" w:color="000000" w:sz="12" w:space="0"/>
                  <w:left w:val="single" w:color="000000" w:sz="12" w:space="0"/>
                  <w:bottom w:val="single" w:color="000000" w:sz="12" w:space="0"/>
                  <w:right w:val="single" w:color="000000" w:sz="12" w:space="0"/>
                  <w:insideH w:val="single" w:color="auto" w:sz="6" w:space="0"/>
                  <w:insideV w:val="single" w:color="auto" w:sz="6" w:space="0"/>
                </w:tblBorders>
                <w:tblCellMar>
                  <w:top w:w="0" w:type="dxa"/>
                  <w:left w:w="108" w:type="dxa"/>
                  <w:bottom w:w="0" w:type="dxa"/>
                  <w:right w:w="108" w:type="dxa"/>
                </w:tblCellMar>
              </w:tblPrEx>
              <w:trPr>
                <w:trHeight w:val="298" w:hRule="atLeast"/>
                <w:jc w:val="center"/>
              </w:trPr>
              <w:tc>
                <w:tcPr>
                  <w:tcW w:w="697" w:type="dxa"/>
                  <w:noWrap/>
                  <w:vAlign w:val="center"/>
                </w:tcPr>
                <w:p>
                  <w:pPr>
                    <w:adjustRightInd w:val="0"/>
                    <w:snapToGrid w:val="0"/>
                    <w:jc w:val="center"/>
                    <w:rPr>
                      <w:szCs w:val="21"/>
                    </w:rPr>
                  </w:pPr>
                  <w:r>
                    <w:rPr>
                      <w:szCs w:val="21"/>
                    </w:rPr>
                    <w:t>PM</w:t>
                  </w:r>
                  <w:r>
                    <w:rPr>
                      <w:szCs w:val="21"/>
                      <w:vertAlign w:val="subscript"/>
                    </w:rPr>
                    <w:t>2.5</w:t>
                  </w:r>
                </w:p>
              </w:tc>
              <w:tc>
                <w:tcPr>
                  <w:tcW w:w="1757" w:type="dxa"/>
                  <w:noWrap/>
                  <w:vAlign w:val="center"/>
                </w:tcPr>
                <w:p>
                  <w:pPr>
                    <w:adjustRightInd w:val="0"/>
                    <w:snapToGrid w:val="0"/>
                    <w:jc w:val="center"/>
                    <w:rPr>
                      <w:szCs w:val="21"/>
                    </w:rPr>
                  </w:pPr>
                  <w:r>
                    <w:rPr>
                      <w:szCs w:val="21"/>
                    </w:rPr>
                    <w:t>年平均浓度</w:t>
                  </w:r>
                </w:p>
              </w:tc>
              <w:tc>
                <w:tcPr>
                  <w:tcW w:w="1255" w:type="dxa"/>
                  <w:noWrap/>
                  <w:vAlign w:val="center"/>
                </w:tcPr>
                <w:p>
                  <w:pPr>
                    <w:adjustRightInd w:val="0"/>
                    <w:snapToGrid w:val="0"/>
                    <w:jc w:val="center"/>
                    <w:rPr>
                      <w:szCs w:val="21"/>
                    </w:rPr>
                  </w:pPr>
                  <w:r>
                    <w:rPr>
                      <w:szCs w:val="21"/>
                    </w:rPr>
                    <w:t>34μg/m</w:t>
                  </w:r>
                  <w:r>
                    <w:rPr>
                      <w:szCs w:val="21"/>
                      <w:vertAlign w:val="superscript"/>
                    </w:rPr>
                    <w:t>3</w:t>
                  </w:r>
                </w:p>
              </w:tc>
              <w:tc>
                <w:tcPr>
                  <w:tcW w:w="1254" w:type="dxa"/>
                  <w:noWrap/>
                  <w:vAlign w:val="center"/>
                </w:tcPr>
                <w:p>
                  <w:pPr>
                    <w:adjustRightInd w:val="0"/>
                    <w:snapToGrid w:val="0"/>
                    <w:jc w:val="center"/>
                    <w:rPr>
                      <w:szCs w:val="21"/>
                    </w:rPr>
                  </w:pPr>
                  <w:r>
                    <w:rPr>
                      <w:szCs w:val="21"/>
                    </w:rPr>
                    <w:t>35μg/m</w:t>
                  </w:r>
                  <w:r>
                    <w:rPr>
                      <w:szCs w:val="21"/>
                      <w:vertAlign w:val="superscript"/>
                    </w:rPr>
                    <w:t>3</w:t>
                  </w:r>
                </w:p>
              </w:tc>
              <w:tc>
                <w:tcPr>
                  <w:tcW w:w="1054" w:type="dxa"/>
                  <w:noWrap/>
                  <w:vAlign w:val="center"/>
                </w:tcPr>
                <w:p>
                  <w:pPr>
                    <w:adjustRightInd w:val="0"/>
                    <w:snapToGrid w:val="0"/>
                    <w:jc w:val="center"/>
                    <w:rPr>
                      <w:szCs w:val="21"/>
                    </w:rPr>
                  </w:pPr>
                  <w:r>
                    <w:rPr>
                      <w:szCs w:val="21"/>
                    </w:rPr>
                    <w:t>0.971</w:t>
                  </w:r>
                </w:p>
              </w:tc>
              <w:tc>
                <w:tcPr>
                  <w:tcW w:w="1174" w:type="dxa"/>
                  <w:noWrap/>
                  <w:vAlign w:val="center"/>
                </w:tcPr>
                <w:p>
                  <w:pPr>
                    <w:adjustRightInd w:val="0"/>
                    <w:snapToGrid w:val="0"/>
                    <w:jc w:val="center"/>
                    <w:rPr>
                      <w:szCs w:val="21"/>
                    </w:rPr>
                  </w:pPr>
                  <w:r>
                    <w:rPr>
                      <w:szCs w:val="21"/>
                    </w:rPr>
                    <w:t>达标</w:t>
                  </w:r>
                </w:p>
              </w:tc>
            </w:tr>
            <w:tr>
              <w:tblPrEx>
                <w:tblBorders>
                  <w:top w:val="single" w:color="000000" w:sz="12" w:space="0"/>
                  <w:left w:val="single" w:color="000000" w:sz="12" w:space="0"/>
                  <w:bottom w:val="single" w:color="000000" w:sz="12" w:space="0"/>
                  <w:right w:val="single" w:color="000000" w:sz="12" w:space="0"/>
                  <w:insideH w:val="single" w:color="auto" w:sz="6" w:space="0"/>
                  <w:insideV w:val="single" w:color="auto" w:sz="6" w:space="0"/>
                </w:tblBorders>
                <w:tblCellMar>
                  <w:top w:w="0" w:type="dxa"/>
                  <w:left w:w="108" w:type="dxa"/>
                  <w:bottom w:w="0" w:type="dxa"/>
                  <w:right w:w="108" w:type="dxa"/>
                </w:tblCellMar>
              </w:tblPrEx>
              <w:trPr>
                <w:trHeight w:val="411" w:hRule="atLeast"/>
                <w:jc w:val="center"/>
              </w:trPr>
              <w:tc>
                <w:tcPr>
                  <w:tcW w:w="697" w:type="dxa"/>
                  <w:noWrap/>
                  <w:vAlign w:val="center"/>
                </w:tcPr>
                <w:p>
                  <w:pPr>
                    <w:adjustRightInd w:val="0"/>
                    <w:snapToGrid w:val="0"/>
                    <w:jc w:val="center"/>
                    <w:rPr>
                      <w:szCs w:val="21"/>
                    </w:rPr>
                  </w:pPr>
                  <w:r>
                    <w:rPr>
                      <w:szCs w:val="21"/>
                    </w:rPr>
                    <w:t>PM</w:t>
                  </w:r>
                  <w:r>
                    <w:rPr>
                      <w:szCs w:val="21"/>
                      <w:vertAlign w:val="subscript"/>
                    </w:rPr>
                    <w:t>10</w:t>
                  </w:r>
                </w:p>
              </w:tc>
              <w:tc>
                <w:tcPr>
                  <w:tcW w:w="1757" w:type="dxa"/>
                  <w:noWrap/>
                  <w:vAlign w:val="center"/>
                </w:tcPr>
                <w:p>
                  <w:pPr>
                    <w:adjustRightInd w:val="0"/>
                    <w:snapToGrid w:val="0"/>
                    <w:jc w:val="center"/>
                    <w:rPr>
                      <w:szCs w:val="21"/>
                    </w:rPr>
                  </w:pPr>
                  <w:r>
                    <w:rPr>
                      <w:szCs w:val="21"/>
                    </w:rPr>
                    <w:t>年平均浓度</w:t>
                  </w:r>
                </w:p>
              </w:tc>
              <w:tc>
                <w:tcPr>
                  <w:tcW w:w="1255" w:type="dxa"/>
                  <w:noWrap/>
                  <w:vAlign w:val="center"/>
                </w:tcPr>
                <w:p>
                  <w:pPr>
                    <w:adjustRightInd w:val="0"/>
                    <w:snapToGrid w:val="0"/>
                    <w:jc w:val="center"/>
                    <w:rPr>
                      <w:szCs w:val="21"/>
                    </w:rPr>
                  </w:pPr>
                  <w:r>
                    <w:rPr>
                      <w:szCs w:val="21"/>
                    </w:rPr>
                    <w:t>51μg/m</w:t>
                  </w:r>
                  <w:r>
                    <w:rPr>
                      <w:szCs w:val="21"/>
                      <w:vertAlign w:val="superscript"/>
                    </w:rPr>
                    <w:t>3</w:t>
                  </w:r>
                </w:p>
              </w:tc>
              <w:tc>
                <w:tcPr>
                  <w:tcW w:w="1254" w:type="dxa"/>
                  <w:noWrap/>
                  <w:vAlign w:val="center"/>
                </w:tcPr>
                <w:p>
                  <w:pPr>
                    <w:adjustRightInd w:val="0"/>
                    <w:snapToGrid w:val="0"/>
                    <w:jc w:val="center"/>
                    <w:rPr>
                      <w:szCs w:val="21"/>
                    </w:rPr>
                  </w:pPr>
                  <w:r>
                    <w:rPr>
                      <w:szCs w:val="21"/>
                    </w:rPr>
                    <w:t>70μg/m</w:t>
                  </w:r>
                  <w:r>
                    <w:rPr>
                      <w:szCs w:val="21"/>
                      <w:vertAlign w:val="superscript"/>
                    </w:rPr>
                    <w:t>3</w:t>
                  </w:r>
                </w:p>
              </w:tc>
              <w:tc>
                <w:tcPr>
                  <w:tcW w:w="1054" w:type="dxa"/>
                  <w:noWrap/>
                  <w:vAlign w:val="center"/>
                </w:tcPr>
                <w:p>
                  <w:pPr>
                    <w:adjustRightInd w:val="0"/>
                    <w:snapToGrid w:val="0"/>
                    <w:jc w:val="center"/>
                    <w:rPr>
                      <w:szCs w:val="21"/>
                    </w:rPr>
                  </w:pPr>
                  <w:r>
                    <w:rPr>
                      <w:szCs w:val="21"/>
                    </w:rPr>
                    <w:t>0.729</w:t>
                  </w:r>
                </w:p>
              </w:tc>
              <w:tc>
                <w:tcPr>
                  <w:tcW w:w="1174" w:type="dxa"/>
                  <w:noWrap/>
                  <w:vAlign w:val="center"/>
                </w:tcPr>
                <w:p>
                  <w:pPr>
                    <w:adjustRightInd w:val="0"/>
                    <w:snapToGrid w:val="0"/>
                    <w:jc w:val="center"/>
                    <w:rPr>
                      <w:szCs w:val="21"/>
                    </w:rPr>
                  </w:pPr>
                  <w:r>
                    <w:rPr>
                      <w:szCs w:val="21"/>
                    </w:rPr>
                    <w:t>达标</w:t>
                  </w:r>
                </w:p>
              </w:tc>
            </w:tr>
          </w:tbl>
          <w:p>
            <w:pPr>
              <w:adjustRightInd w:val="0"/>
              <w:snapToGrid w:val="0"/>
              <w:spacing w:line="360" w:lineRule="auto"/>
              <w:ind w:firstLine="480" w:firstLineChars="200"/>
              <w:rPr>
                <w:rFonts w:hint="eastAsia" w:ascii="宋体" w:hAnsi="宋体" w:eastAsia="宋体"/>
                <w:color w:val="000000"/>
                <w:sz w:val="24"/>
                <w:szCs w:val="24"/>
                <w:lang w:val="en-US" w:eastAsia="zh-CN"/>
              </w:rPr>
            </w:pPr>
            <w:r>
              <w:rPr>
                <w:sz w:val="24"/>
              </w:rPr>
              <w:t>根据岳阳市生态环境局公开发布的20</w:t>
            </w:r>
            <w:r>
              <w:rPr>
                <w:rFonts w:hint="eastAsia"/>
                <w:sz w:val="24"/>
                <w:lang w:val="en-US" w:eastAsia="zh-CN"/>
              </w:rPr>
              <w:t>20</w:t>
            </w:r>
            <w:r>
              <w:rPr>
                <w:sz w:val="24"/>
              </w:rPr>
              <w:t>年环境质量公报中的结论，</w:t>
            </w:r>
            <w:r>
              <w:rPr>
                <w:rFonts w:hint="eastAsia"/>
                <w:sz w:val="24"/>
                <w:lang w:eastAsia="zh-CN"/>
              </w:rPr>
              <w:t>本项目所在地空气质量能够满足</w:t>
            </w:r>
            <w:r>
              <w:rPr>
                <w:kern w:val="0"/>
                <w:sz w:val="24"/>
                <w:szCs w:val="24"/>
              </w:rPr>
              <w:t>《环境空气质量标准》（GB3095-2012）二级标准</w:t>
            </w:r>
            <w:r>
              <w:rPr>
                <w:sz w:val="24"/>
                <w:szCs w:val="24"/>
              </w:rPr>
              <w:t>及其修改单（生态环境部公告2018年第29号）要求</w:t>
            </w:r>
            <w:r>
              <w:rPr>
                <w:rFonts w:hint="eastAsia"/>
                <w:sz w:val="24"/>
                <w:szCs w:val="24"/>
                <w:lang w:eastAsia="zh-CN"/>
              </w:rPr>
              <w:t>。</w:t>
            </w:r>
          </w:p>
          <w:p>
            <w:pPr>
              <w:adjustRightInd w:val="0"/>
              <w:snapToGrid w:val="0"/>
              <w:spacing w:line="360" w:lineRule="auto"/>
              <w:rPr>
                <w:b/>
                <w:bCs/>
                <w:sz w:val="24"/>
                <w:szCs w:val="24"/>
              </w:rPr>
            </w:pPr>
            <w:r>
              <w:rPr>
                <w:b/>
                <w:bCs/>
                <w:sz w:val="24"/>
                <w:szCs w:val="24"/>
              </w:rPr>
              <w:t>2、地表水环境质量现状</w:t>
            </w:r>
          </w:p>
          <w:p>
            <w:pPr>
              <w:adjustRightInd w:val="0"/>
              <w:snapToGrid w:val="0"/>
              <w:spacing w:line="360" w:lineRule="auto"/>
              <w:ind w:firstLine="480" w:firstLineChars="200"/>
              <w:rPr>
                <w:kern w:val="0"/>
                <w:sz w:val="24"/>
                <w:szCs w:val="24"/>
              </w:rPr>
            </w:pPr>
            <w:r>
              <w:rPr>
                <w:sz w:val="24"/>
                <w:szCs w:val="24"/>
              </w:rPr>
              <w:t>经现场调查，本项目周边主要地表水系为</w:t>
            </w:r>
            <w:r>
              <w:rPr>
                <w:rFonts w:hint="eastAsia"/>
                <w:sz w:val="24"/>
                <w:szCs w:val="24"/>
              </w:rPr>
              <w:t>东洞庭湖</w:t>
            </w:r>
            <w:r>
              <w:rPr>
                <w:sz w:val="24"/>
                <w:szCs w:val="24"/>
              </w:rPr>
              <w:t>，根据《湖南省主要水系地表水环境功能区划》（DB43/023-2005），项目所在区域</w:t>
            </w:r>
            <w:r>
              <w:rPr>
                <w:rFonts w:hint="eastAsia"/>
                <w:sz w:val="24"/>
                <w:szCs w:val="24"/>
              </w:rPr>
              <w:t>鹿角、扁山</w:t>
            </w:r>
            <w:r>
              <w:rPr>
                <w:sz w:val="24"/>
                <w:szCs w:val="24"/>
              </w:rPr>
              <w:t>断面常规监测断面执行《地表水环境质量标准》（GB3838-2002）中的Ⅲ类水质标准。</w:t>
            </w:r>
            <w:r>
              <w:rPr>
                <w:kern w:val="0"/>
                <w:sz w:val="24"/>
                <w:szCs w:val="24"/>
              </w:rPr>
              <w:t>本次评价收集了岳阳县环境监测站中心20</w:t>
            </w:r>
            <w:r>
              <w:rPr>
                <w:rFonts w:hint="eastAsia"/>
                <w:kern w:val="0"/>
                <w:sz w:val="24"/>
                <w:szCs w:val="24"/>
              </w:rPr>
              <w:t>20</w:t>
            </w:r>
            <w:r>
              <w:rPr>
                <w:kern w:val="0"/>
                <w:sz w:val="24"/>
                <w:szCs w:val="24"/>
              </w:rPr>
              <w:t>在</w:t>
            </w:r>
            <w:r>
              <w:rPr>
                <w:rFonts w:hint="eastAsia"/>
                <w:kern w:val="0"/>
                <w:sz w:val="24"/>
                <w:szCs w:val="24"/>
              </w:rPr>
              <w:t>洞庭湖</w:t>
            </w:r>
            <w:r>
              <w:rPr>
                <w:kern w:val="0"/>
                <w:sz w:val="24"/>
                <w:szCs w:val="24"/>
              </w:rPr>
              <w:t>设的水质常规监测断面监测数据，水质监测和评价结果具体见表3-</w:t>
            </w:r>
            <w:r>
              <w:rPr>
                <w:rFonts w:hint="eastAsia"/>
                <w:kern w:val="0"/>
                <w:sz w:val="24"/>
                <w:szCs w:val="24"/>
                <w:lang w:val="en-US" w:eastAsia="zh-CN"/>
              </w:rPr>
              <w:t>4</w:t>
            </w:r>
            <w:r>
              <w:rPr>
                <w:kern w:val="0"/>
                <w:sz w:val="24"/>
                <w:szCs w:val="24"/>
              </w:rPr>
              <w:t>。</w:t>
            </w:r>
          </w:p>
          <w:p>
            <w:pPr>
              <w:pStyle w:val="39"/>
              <w:snapToGrid w:val="0"/>
              <w:spacing w:line="360" w:lineRule="auto"/>
            </w:pPr>
            <w:r>
              <w:t>表3-</w:t>
            </w:r>
            <w:r>
              <w:rPr>
                <w:rFonts w:hint="eastAsia"/>
                <w:lang w:val="en-US" w:eastAsia="zh-CN"/>
              </w:rPr>
              <w:t>4</w:t>
            </w:r>
            <w:r>
              <w:t xml:space="preserve">  洞庭湖水系</w:t>
            </w:r>
            <w:r>
              <w:rPr>
                <w:rFonts w:hint="eastAsia"/>
              </w:rPr>
              <w:t>鹿角、扁山断面</w:t>
            </w:r>
            <w:r>
              <w:t>水质监测结果统计</w:t>
            </w:r>
          </w:p>
          <w:tbl>
            <w:tblPr>
              <w:tblStyle w:val="24"/>
              <w:tblW w:w="7974" w:type="dxa"/>
              <w:tblInd w:w="0" w:type="dxa"/>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Layout w:type="fixed"/>
              <w:tblCellMar>
                <w:top w:w="0" w:type="dxa"/>
                <w:left w:w="108" w:type="dxa"/>
                <w:bottom w:w="0" w:type="dxa"/>
                <w:right w:w="108" w:type="dxa"/>
              </w:tblCellMar>
            </w:tblPr>
            <w:tblGrid>
              <w:gridCol w:w="1993"/>
              <w:gridCol w:w="1993"/>
              <w:gridCol w:w="1994"/>
              <w:gridCol w:w="1994"/>
            </w:tblGrid>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c>
                <w:tcPr>
                  <w:tcW w:w="3986" w:type="dxa"/>
                  <w:gridSpan w:val="2"/>
                  <w:noWrap/>
                  <w:vAlign w:val="center"/>
                </w:tcPr>
                <w:p>
                  <w:pPr>
                    <w:pStyle w:val="40"/>
                    <w:snapToGrid w:val="0"/>
                    <w:rPr>
                      <w:b/>
                      <w:bCs/>
                    </w:rPr>
                  </w:pPr>
                  <w:r>
                    <w:rPr>
                      <w:b/>
                      <w:bCs/>
                    </w:rPr>
                    <w:t>监测项目</w:t>
                  </w:r>
                </w:p>
              </w:tc>
              <w:tc>
                <w:tcPr>
                  <w:tcW w:w="1994" w:type="dxa"/>
                  <w:noWrap/>
                  <w:vAlign w:val="center"/>
                </w:tcPr>
                <w:p>
                  <w:pPr>
                    <w:pStyle w:val="40"/>
                    <w:snapToGrid w:val="0"/>
                    <w:rPr>
                      <w:b/>
                      <w:bCs/>
                    </w:rPr>
                  </w:pPr>
                  <w:r>
                    <w:rPr>
                      <w:rFonts w:hint="eastAsia"/>
                      <w:b/>
                      <w:bCs/>
                    </w:rPr>
                    <w:t>鹿角</w:t>
                  </w:r>
                  <w:r>
                    <w:rPr>
                      <w:b/>
                      <w:bCs/>
                    </w:rPr>
                    <w:t>断面</w:t>
                  </w:r>
                </w:p>
              </w:tc>
              <w:tc>
                <w:tcPr>
                  <w:tcW w:w="1994" w:type="dxa"/>
                  <w:noWrap/>
                  <w:vAlign w:val="center"/>
                </w:tcPr>
                <w:p>
                  <w:pPr>
                    <w:pStyle w:val="40"/>
                    <w:snapToGrid w:val="0"/>
                    <w:rPr>
                      <w:b/>
                      <w:bCs/>
                    </w:rPr>
                  </w:pPr>
                  <w:r>
                    <w:rPr>
                      <w:rFonts w:hint="eastAsia"/>
                      <w:b/>
                      <w:bCs/>
                    </w:rPr>
                    <w:t>扁山</w:t>
                  </w:r>
                  <w:r>
                    <w:rPr>
                      <w:b/>
                      <w:bCs/>
                    </w:rPr>
                    <w:t>断面</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c>
                <w:tcPr>
                  <w:tcW w:w="1993" w:type="dxa"/>
                  <w:vMerge w:val="restart"/>
                  <w:noWrap/>
                  <w:vAlign w:val="center"/>
                </w:tcPr>
                <w:p>
                  <w:pPr>
                    <w:adjustRightInd w:val="0"/>
                    <w:snapToGrid w:val="0"/>
                    <w:jc w:val="center"/>
                    <w:rPr>
                      <w:kern w:val="0"/>
                      <w:szCs w:val="21"/>
                    </w:rPr>
                  </w:pPr>
                  <w:r>
                    <w:rPr>
                      <w:szCs w:val="21"/>
                    </w:rPr>
                    <w:t>pH值</w:t>
                  </w:r>
                  <w:r>
                    <w:rPr>
                      <w:rFonts w:hint="eastAsia"/>
                      <w:szCs w:val="21"/>
                    </w:rPr>
                    <w:t>（</w:t>
                  </w:r>
                  <w:r>
                    <w:rPr>
                      <w:szCs w:val="21"/>
                    </w:rPr>
                    <w:t>无量纲</w:t>
                  </w:r>
                  <w:r>
                    <w:rPr>
                      <w:rFonts w:hint="eastAsia"/>
                      <w:szCs w:val="21"/>
                    </w:rPr>
                    <w:t>）</w:t>
                  </w:r>
                </w:p>
              </w:tc>
              <w:tc>
                <w:tcPr>
                  <w:tcW w:w="1993" w:type="dxa"/>
                  <w:noWrap/>
                  <w:vAlign w:val="center"/>
                </w:tcPr>
                <w:p>
                  <w:pPr>
                    <w:pStyle w:val="40"/>
                    <w:snapToGrid w:val="0"/>
                    <w:rPr>
                      <w:kern w:val="0"/>
                    </w:rPr>
                  </w:pPr>
                  <w:r>
                    <w:t>浓度范围</w:t>
                  </w:r>
                </w:p>
              </w:tc>
              <w:tc>
                <w:tcPr>
                  <w:tcW w:w="1994" w:type="dxa"/>
                  <w:noWrap/>
                  <w:vAlign w:val="center"/>
                </w:tcPr>
                <w:p>
                  <w:pPr>
                    <w:pStyle w:val="40"/>
                    <w:snapToGrid w:val="0"/>
                    <w:rPr>
                      <w:rFonts w:hint="default" w:eastAsia="宋体"/>
                      <w:kern w:val="0"/>
                      <w:lang w:val="en-US" w:eastAsia="zh-CN"/>
                    </w:rPr>
                  </w:pPr>
                  <w:r>
                    <w:rPr>
                      <w:rFonts w:hint="eastAsia"/>
                      <w:lang w:val="en-US" w:eastAsia="zh-CN"/>
                    </w:rPr>
                    <w:t>7-8</w:t>
                  </w:r>
                </w:p>
              </w:tc>
              <w:tc>
                <w:tcPr>
                  <w:tcW w:w="1994" w:type="dxa"/>
                  <w:noWrap/>
                  <w:vAlign w:val="center"/>
                </w:tcPr>
                <w:p>
                  <w:pPr>
                    <w:pStyle w:val="40"/>
                    <w:snapToGrid w:val="0"/>
                    <w:rPr>
                      <w:rFonts w:hint="default" w:eastAsia="宋体"/>
                      <w:kern w:val="0"/>
                      <w:lang w:val="en-US" w:eastAsia="zh-CN"/>
                    </w:rPr>
                  </w:pPr>
                  <w:r>
                    <w:rPr>
                      <w:rFonts w:hint="eastAsia"/>
                      <w:lang w:val="en-US" w:eastAsia="zh-CN"/>
                    </w:rPr>
                    <w:t>7-8</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c>
                <w:tcPr>
                  <w:tcW w:w="1993" w:type="dxa"/>
                  <w:vMerge w:val="continue"/>
                  <w:noWrap/>
                  <w:vAlign w:val="center"/>
                </w:tcPr>
                <w:p>
                  <w:pPr>
                    <w:adjustRightInd w:val="0"/>
                    <w:snapToGrid w:val="0"/>
                    <w:jc w:val="center"/>
                    <w:rPr>
                      <w:kern w:val="0"/>
                      <w:szCs w:val="21"/>
                    </w:rPr>
                  </w:pPr>
                </w:p>
              </w:tc>
              <w:tc>
                <w:tcPr>
                  <w:tcW w:w="1993" w:type="dxa"/>
                  <w:noWrap/>
                  <w:vAlign w:val="center"/>
                </w:tcPr>
                <w:p>
                  <w:pPr>
                    <w:pStyle w:val="40"/>
                    <w:snapToGrid w:val="0"/>
                    <w:rPr>
                      <w:kern w:val="0"/>
                    </w:rPr>
                  </w:pPr>
                  <w:r>
                    <w:t>标准值</w:t>
                  </w:r>
                </w:p>
              </w:tc>
              <w:tc>
                <w:tcPr>
                  <w:tcW w:w="1994" w:type="dxa"/>
                  <w:noWrap/>
                  <w:vAlign w:val="center"/>
                </w:tcPr>
                <w:p>
                  <w:pPr>
                    <w:pStyle w:val="40"/>
                    <w:snapToGrid w:val="0"/>
                    <w:rPr>
                      <w:kern w:val="0"/>
                    </w:rPr>
                  </w:pPr>
                  <w:r>
                    <w:t>6-9</w:t>
                  </w:r>
                </w:p>
              </w:tc>
              <w:tc>
                <w:tcPr>
                  <w:tcW w:w="1994" w:type="dxa"/>
                  <w:noWrap/>
                  <w:vAlign w:val="center"/>
                </w:tcPr>
                <w:p>
                  <w:pPr>
                    <w:pStyle w:val="40"/>
                    <w:snapToGrid w:val="0"/>
                    <w:rPr>
                      <w:kern w:val="0"/>
                    </w:rPr>
                  </w:pPr>
                  <w:r>
                    <w:t>6-9</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c>
                <w:tcPr>
                  <w:tcW w:w="1993" w:type="dxa"/>
                  <w:vMerge w:val="restart"/>
                  <w:noWrap/>
                  <w:vAlign w:val="center"/>
                </w:tcPr>
                <w:p>
                  <w:pPr>
                    <w:adjustRightInd w:val="0"/>
                    <w:snapToGrid w:val="0"/>
                    <w:jc w:val="center"/>
                    <w:rPr>
                      <w:kern w:val="0"/>
                      <w:szCs w:val="21"/>
                    </w:rPr>
                  </w:pPr>
                  <w:r>
                    <w:rPr>
                      <w:szCs w:val="21"/>
                    </w:rPr>
                    <w:t>溶解氧</w:t>
                  </w:r>
                </w:p>
              </w:tc>
              <w:tc>
                <w:tcPr>
                  <w:tcW w:w="1993" w:type="dxa"/>
                  <w:noWrap/>
                  <w:vAlign w:val="center"/>
                </w:tcPr>
                <w:p>
                  <w:pPr>
                    <w:pStyle w:val="40"/>
                    <w:snapToGrid w:val="0"/>
                  </w:pPr>
                  <w:r>
                    <w:t>浓度范围</w:t>
                  </w:r>
                </w:p>
              </w:tc>
              <w:tc>
                <w:tcPr>
                  <w:tcW w:w="1994" w:type="dxa"/>
                  <w:noWrap/>
                  <w:vAlign w:val="center"/>
                </w:tcPr>
                <w:p>
                  <w:pPr>
                    <w:pStyle w:val="40"/>
                    <w:snapToGrid w:val="0"/>
                    <w:rPr>
                      <w:rFonts w:hint="default" w:eastAsia="宋体"/>
                      <w:lang w:val="en-US" w:eastAsia="zh-CN"/>
                    </w:rPr>
                  </w:pPr>
                  <w:r>
                    <w:rPr>
                      <w:rFonts w:hint="eastAsia"/>
                      <w:lang w:val="en-US" w:eastAsia="zh-CN"/>
                    </w:rPr>
                    <w:t>6.1-10.5</w:t>
                  </w:r>
                </w:p>
              </w:tc>
              <w:tc>
                <w:tcPr>
                  <w:tcW w:w="1994" w:type="dxa"/>
                  <w:noWrap/>
                  <w:vAlign w:val="center"/>
                </w:tcPr>
                <w:p>
                  <w:pPr>
                    <w:pStyle w:val="40"/>
                    <w:snapToGrid w:val="0"/>
                    <w:rPr>
                      <w:rFonts w:hint="default" w:eastAsia="宋体"/>
                      <w:lang w:val="en-US" w:eastAsia="zh-CN"/>
                    </w:rPr>
                  </w:pPr>
                  <w:r>
                    <w:rPr>
                      <w:rFonts w:hint="eastAsia"/>
                      <w:lang w:val="en-US" w:eastAsia="zh-CN"/>
                    </w:rPr>
                    <w:t>6.0-10.9</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c>
                <w:tcPr>
                  <w:tcW w:w="1993" w:type="dxa"/>
                  <w:vMerge w:val="continue"/>
                  <w:noWrap/>
                  <w:vAlign w:val="center"/>
                </w:tcPr>
                <w:p>
                  <w:pPr>
                    <w:adjustRightInd w:val="0"/>
                    <w:snapToGrid w:val="0"/>
                    <w:jc w:val="center"/>
                    <w:rPr>
                      <w:kern w:val="0"/>
                      <w:szCs w:val="21"/>
                    </w:rPr>
                  </w:pPr>
                </w:p>
              </w:tc>
              <w:tc>
                <w:tcPr>
                  <w:tcW w:w="1993" w:type="dxa"/>
                  <w:noWrap/>
                  <w:vAlign w:val="center"/>
                </w:tcPr>
                <w:p>
                  <w:pPr>
                    <w:pStyle w:val="40"/>
                    <w:snapToGrid w:val="0"/>
                  </w:pPr>
                  <w:r>
                    <w:t>标准值</w:t>
                  </w:r>
                </w:p>
              </w:tc>
              <w:tc>
                <w:tcPr>
                  <w:tcW w:w="1994" w:type="dxa"/>
                  <w:noWrap/>
                  <w:vAlign w:val="center"/>
                </w:tcPr>
                <w:p>
                  <w:pPr>
                    <w:pStyle w:val="40"/>
                    <w:snapToGrid w:val="0"/>
                  </w:pPr>
                  <w:r>
                    <w:t>≥5</w:t>
                  </w:r>
                </w:p>
              </w:tc>
              <w:tc>
                <w:tcPr>
                  <w:tcW w:w="1994" w:type="dxa"/>
                  <w:noWrap/>
                  <w:vAlign w:val="center"/>
                </w:tcPr>
                <w:p>
                  <w:pPr>
                    <w:pStyle w:val="40"/>
                    <w:snapToGrid w:val="0"/>
                  </w:pPr>
                  <w:r>
                    <w:t>≥5</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c>
                <w:tcPr>
                  <w:tcW w:w="1993" w:type="dxa"/>
                  <w:vMerge w:val="restart"/>
                  <w:noWrap/>
                  <w:vAlign w:val="center"/>
                </w:tcPr>
                <w:p>
                  <w:pPr>
                    <w:adjustRightInd w:val="0"/>
                    <w:snapToGrid w:val="0"/>
                    <w:jc w:val="center"/>
                    <w:rPr>
                      <w:kern w:val="0"/>
                      <w:szCs w:val="21"/>
                    </w:rPr>
                  </w:pPr>
                  <w:r>
                    <w:rPr>
                      <w:szCs w:val="21"/>
                    </w:rPr>
                    <w:t>高锰酸盐指数</w:t>
                  </w:r>
                </w:p>
              </w:tc>
              <w:tc>
                <w:tcPr>
                  <w:tcW w:w="1993" w:type="dxa"/>
                  <w:noWrap/>
                  <w:vAlign w:val="center"/>
                </w:tcPr>
                <w:p>
                  <w:pPr>
                    <w:pStyle w:val="40"/>
                    <w:snapToGrid w:val="0"/>
                  </w:pPr>
                  <w:r>
                    <w:t>浓度范围</w:t>
                  </w:r>
                </w:p>
              </w:tc>
              <w:tc>
                <w:tcPr>
                  <w:tcW w:w="1994" w:type="dxa"/>
                  <w:noWrap/>
                  <w:vAlign w:val="center"/>
                </w:tcPr>
                <w:p>
                  <w:pPr>
                    <w:pStyle w:val="40"/>
                    <w:snapToGrid w:val="0"/>
                    <w:rPr>
                      <w:rFonts w:hint="default" w:eastAsia="宋体"/>
                      <w:lang w:val="en-US" w:eastAsia="zh-CN"/>
                    </w:rPr>
                  </w:pPr>
                  <w:r>
                    <w:rPr>
                      <w:rFonts w:hint="eastAsia"/>
                      <w:lang w:val="en-US" w:eastAsia="zh-CN"/>
                    </w:rPr>
                    <w:t>1.6-2.5</w:t>
                  </w:r>
                </w:p>
              </w:tc>
              <w:tc>
                <w:tcPr>
                  <w:tcW w:w="1994" w:type="dxa"/>
                  <w:noWrap/>
                  <w:vAlign w:val="center"/>
                </w:tcPr>
                <w:p>
                  <w:pPr>
                    <w:pStyle w:val="40"/>
                    <w:snapToGrid w:val="0"/>
                    <w:rPr>
                      <w:rFonts w:hint="default" w:eastAsia="宋体"/>
                      <w:lang w:val="en-US" w:eastAsia="zh-CN"/>
                    </w:rPr>
                  </w:pPr>
                  <w:r>
                    <w:rPr>
                      <w:rFonts w:hint="eastAsia"/>
                      <w:lang w:val="en-US" w:eastAsia="zh-CN"/>
                    </w:rPr>
                    <w:t>1.8-2.8</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c>
                <w:tcPr>
                  <w:tcW w:w="1993" w:type="dxa"/>
                  <w:vMerge w:val="continue"/>
                  <w:noWrap/>
                  <w:vAlign w:val="center"/>
                </w:tcPr>
                <w:p>
                  <w:pPr>
                    <w:adjustRightInd w:val="0"/>
                    <w:snapToGrid w:val="0"/>
                    <w:jc w:val="center"/>
                    <w:rPr>
                      <w:kern w:val="0"/>
                      <w:szCs w:val="21"/>
                    </w:rPr>
                  </w:pPr>
                </w:p>
              </w:tc>
              <w:tc>
                <w:tcPr>
                  <w:tcW w:w="1993" w:type="dxa"/>
                  <w:noWrap/>
                  <w:vAlign w:val="center"/>
                </w:tcPr>
                <w:p>
                  <w:pPr>
                    <w:pStyle w:val="40"/>
                    <w:snapToGrid w:val="0"/>
                  </w:pPr>
                  <w:r>
                    <w:t>标准值</w:t>
                  </w:r>
                </w:p>
              </w:tc>
              <w:tc>
                <w:tcPr>
                  <w:tcW w:w="1994" w:type="dxa"/>
                  <w:noWrap/>
                  <w:vAlign w:val="center"/>
                </w:tcPr>
                <w:p>
                  <w:pPr>
                    <w:pStyle w:val="40"/>
                    <w:snapToGrid w:val="0"/>
                  </w:pPr>
                  <w:r>
                    <w:t>≤6</w:t>
                  </w:r>
                </w:p>
              </w:tc>
              <w:tc>
                <w:tcPr>
                  <w:tcW w:w="1994" w:type="dxa"/>
                  <w:noWrap/>
                  <w:vAlign w:val="center"/>
                </w:tcPr>
                <w:p>
                  <w:pPr>
                    <w:pStyle w:val="40"/>
                    <w:snapToGrid w:val="0"/>
                  </w:pPr>
                  <w:r>
                    <w:t>≤6</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c>
                <w:tcPr>
                  <w:tcW w:w="1993" w:type="dxa"/>
                  <w:vMerge w:val="restart"/>
                  <w:noWrap/>
                  <w:vAlign w:val="center"/>
                </w:tcPr>
                <w:p>
                  <w:pPr>
                    <w:adjustRightInd w:val="0"/>
                    <w:snapToGrid w:val="0"/>
                    <w:jc w:val="center"/>
                    <w:rPr>
                      <w:kern w:val="0"/>
                      <w:szCs w:val="21"/>
                    </w:rPr>
                  </w:pPr>
                  <w:r>
                    <w:rPr>
                      <w:kern w:val="0"/>
                      <w:szCs w:val="21"/>
                    </w:rPr>
                    <w:t>化学需氧量</w:t>
                  </w:r>
                </w:p>
              </w:tc>
              <w:tc>
                <w:tcPr>
                  <w:tcW w:w="1993" w:type="dxa"/>
                  <w:noWrap/>
                  <w:vAlign w:val="center"/>
                </w:tcPr>
                <w:p>
                  <w:pPr>
                    <w:pStyle w:val="40"/>
                    <w:snapToGrid w:val="0"/>
                  </w:pPr>
                  <w:r>
                    <w:t>浓度范围</w:t>
                  </w:r>
                </w:p>
              </w:tc>
              <w:tc>
                <w:tcPr>
                  <w:tcW w:w="1994" w:type="dxa"/>
                  <w:noWrap/>
                  <w:vAlign w:val="center"/>
                </w:tcPr>
                <w:p>
                  <w:pPr>
                    <w:pStyle w:val="40"/>
                    <w:snapToGrid w:val="0"/>
                    <w:rPr>
                      <w:rFonts w:hint="default" w:eastAsia="宋体"/>
                      <w:lang w:val="en-US" w:eastAsia="zh-CN"/>
                    </w:rPr>
                  </w:pPr>
                  <w:r>
                    <w:rPr>
                      <w:rFonts w:hint="eastAsia"/>
                      <w:lang w:val="en-US" w:eastAsia="zh-CN"/>
                    </w:rPr>
                    <w:t>5.0-9.0</w:t>
                  </w:r>
                </w:p>
              </w:tc>
              <w:tc>
                <w:tcPr>
                  <w:tcW w:w="1994" w:type="dxa"/>
                  <w:noWrap/>
                  <w:vAlign w:val="center"/>
                </w:tcPr>
                <w:p>
                  <w:pPr>
                    <w:pStyle w:val="40"/>
                    <w:snapToGrid w:val="0"/>
                    <w:rPr>
                      <w:rFonts w:hint="default" w:eastAsia="宋体"/>
                      <w:lang w:val="en-US" w:eastAsia="zh-CN"/>
                    </w:rPr>
                  </w:pPr>
                  <w:r>
                    <w:rPr>
                      <w:rFonts w:hint="eastAsia"/>
                      <w:lang w:val="en-US" w:eastAsia="zh-CN"/>
                    </w:rPr>
                    <w:t>6.8-10</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c>
                <w:tcPr>
                  <w:tcW w:w="1993" w:type="dxa"/>
                  <w:vMerge w:val="continue"/>
                  <w:noWrap/>
                  <w:vAlign w:val="center"/>
                </w:tcPr>
                <w:p>
                  <w:pPr>
                    <w:adjustRightInd w:val="0"/>
                    <w:snapToGrid w:val="0"/>
                    <w:jc w:val="center"/>
                    <w:rPr>
                      <w:kern w:val="0"/>
                      <w:szCs w:val="21"/>
                    </w:rPr>
                  </w:pPr>
                </w:p>
              </w:tc>
              <w:tc>
                <w:tcPr>
                  <w:tcW w:w="1993" w:type="dxa"/>
                  <w:noWrap/>
                  <w:vAlign w:val="center"/>
                </w:tcPr>
                <w:p>
                  <w:pPr>
                    <w:pStyle w:val="40"/>
                    <w:snapToGrid w:val="0"/>
                  </w:pPr>
                  <w:r>
                    <w:t>标准值</w:t>
                  </w:r>
                </w:p>
              </w:tc>
              <w:tc>
                <w:tcPr>
                  <w:tcW w:w="1994" w:type="dxa"/>
                  <w:noWrap/>
                  <w:vAlign w:val="center"/>
                </w:tcPr>
                <w:p>
                  <w:pPr>
                    <w:pStyle w:val="40"/>
                    <w:snapToGrid w:val="0"/>
                  </w:pPr>
                  <w:r>
                    <w:t>≤20</w:t>
                  </w:r>
                </w:p>
              </w:tc>
              <w:tc>
                <w:tcPr>
                  <w:tcW w:w="1994" w:type="dxa"/>
                  <w:noWrap/>
                  <w:vAlign w:val="center"/>
                </w:tcPr>
                <w:p>
                  <w:pPr>
                    <w:pStyle w:val="40"/>
                    <w:snapToGrid w:val="0"/>
                    <w:rPr>
                      <w:rFonts w:hint="default" w:eastAsia="宋体"/>
                      <w:lang w:val="en-US" w:eastAsia="zh-CN"/>
                    </w:rPr>
                  </w:pPr>
                  <w:r>
                    <w:t>≤</w:t>
                  </w:r>
                  <w:r>
                    <w:rPr>
                      <w:rFonts w:hint="eastAsia"/>
                      <w:lang w:val="en-US" w:eastAsia="zh-CN"/>
                    </w:rPr>
                    <w:t>20</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c>
                <w:tcPr>
                  <w:tcW w:w="1993" w:type="dxa"/>
                  <w:vMerge w:val="restart"/>
                  <w:noWrap/>
                  <w:vAlign w:val="center"/>
                </w:tcPr>
                <w:p>
                  <w:pPr>
                    <w:adjustRightInd w:val="0"/>
                    <w:snapToGrid w:val="0"/>
                    <w:jc w:val="center"/>
                    <w:rPr>
                      <w:kern w:val="0"/>
                      <w:szCs w:val="21"/>
                    </w:rPr>
                  </w:pPr>
                  <w:r>
                    <w:rPr>
                      <w:szCs w:val="21"/>
                    </w:rPr>
                    <w:t>五日生化需氧量</w:t>
                  </w:r>
                </w:p>
              </w:tc>
              <w:tc>
                <w:tcPr>
                  <w:tcW w:w="1993" w:type="dxa"/>
                  <w:noWrap/>
                  <w:vAlign w:val="center"/>
                </w:tcPr>
                <w:p>
                  <w:pPr>
                    <w:pStyle w:val="40"/>
                    <w:snapToGrid w:val="0"/>
                  </w:pPr>
                  <w:r>
                    <w:t>浓度范围</w:t>
                  </w:r>
                </w:p>
              </w:tc>
              <w:tc>
                <w:tcPr>
                  <w:tcW w:w="1994" w:type="dxa"/>
                  <w:noWrap/>
                  <w:vAlign w:val="center"/>
                </w:tcPr>
                <w:p>
                  <w:pPr>
                    <w:pStyle w:val="40"/>
                    <w:snapToGrid w:val="0"/>
                    <w:rPr>
                      <w:rFonts w:hint="default" w:eastAsia="宋体"/>
                      <w:lang w:val="en-US" w:eastAsia="zh-CN"/>
                    </w:rPr>
                  </w:pPr>
                  <w:r>
                    <w:rPr>
                      <w:rFonts w:hint="eastAsia"/>
                      <w:lang w:val="en-US" w:eastAsia="zh-CN"/>
                    </w:rPr>
                    <w:t>0.2-2.4</w:t>
                  </w:r>
                </w:p>
              </w:tc>
              <w:tc>
                <w:tcPr>
                  <w:tcW w:w="1994" w:type="dxa"/>
                  <w:noWrap/>
                  <w:vAlign w:val="center"/>
                </w:tcPr>
                <w:p>
                  <w:pPr>
                    <w:pStyle w:val="40"/>
                    <w:snapToGrid w:val="0"/>
                    <w:rPr>
                      <w:rFonts w:hint="default" w:eastAsia="宋体"/>
                      <w:lang w:val="en-US" w:eastAsia="zh-CN"/>
                    </w:rPr>
                  </w:pPr>
                  <w:r>
                    <w:rPr>
                      <w:rFonts w:hint="eastAsia"/>
                      <w:lang w:val="en-US" w:eastAsia="zh-CN"/>
                    </w:rPr>
                    <w:t>0.2-1.0</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c>
                <w:tcPr>
                  <w:tcW w:w="1993" w:type="dxa"/>
                  <w:vMerge w:val="continue"/>
                  <w:noWrap/>
                  <w:vAlign w:val="center"/>
                </w:tcPr>
                <w:p>
                  <w:pPr>
                    <w:adjustRightInd w:val="0"/>
                    <w:snapToGrid w:val="0"/>
                    <w:jc w:val="center"/>
                    <w:rPr>
                      <w:kern w:val="0"/>
                      <w:szCs w:val="21"/>
                    </w:rPr>
                  </w:pPr>
                </w:p>
              </w:tc>
              <w:tc>
                <w:tcPr>
                  <w:tcW w:w="1993" w:type="dxa"/>
                  <w:noWrap/>
                  <w:vAlign w:val="center"/>
                </w:tcPr>
                <w:p>
                  <w:pPr>
                    <w:pStyle w:val="40"/>
                    <w:snapToGrid w:val="0"/>
                  </w:pPr>
                  <w:r>
                    <w:t>标准值</w:t>
                  </w:r>
                </w:p>
              </w:tc>
              <w:tc>
                <w:tcPr>
                  <w:tcW w:w="1994" w:type="dxa"/>
                  <w:noWrap/>
                  <w:vAlign w:val="center"/>
                </w:tcPr>
                <w:p>
                  <w:pPr>
                    <w:pStyle w:val="40"/>
                    <w:snapToGrid w:val="0"/>
                  </w:pPr>
                  <w:r>
                    <w:t>≤4</w:t>
                  </w:r>
                </w:p>
              </w:tc>
              <w:tc>
                <w:tcPr>
                  <w:tcW w:w="1994" w:type="dxa"/>
                  <w:noWrap/>
                  <w:vAlign w:val="center"/>
                </w:tcPr>
                <w:p>
                  <w:pPr>
                    <w:pStyle w:val="40"/>
                    <w:snapToGrid w:val="0"/>
                  </w:pPr>
                  <w:r>
                    <w:t>≤4</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c>
                <w:tcPr>
                  <w:tcW w:w="1993" w:type="dxa"/>
                  <w:vMerge w:val="restart"/>
                  <w:noWrap/>
                  <w:vAlign w:val="center"/>
                </w:tcPr>
                <w:p>
                  <w:pPr>
                    <w:adjustRightInd w:val="0"/>
                    <w:snapToGrid w:val="0"/>
                    <w:jc w:val="center"/>
                    <w:rPr>
                      <w:kern w:val="0"/>
                      <w:szCs w:val="21"/>
                    </w:rPr>
                  </w:pPr>
                  <w:r>
                    <w:rPr>
                      <w:kern w:val="0"/>
                      <w:szCs w:val="21"/>
                    </w:rPr>
                    <w:t>氨氮</w:t>
                  </w:r>
                </w:p>
              </w:tc>
              <w:tc>
                <w:tcPr>
                  <w:tcW w:w="1993" w:type="dxa"/>
                  <w:noWrap/>
                  <w:vAlign w:val="center"/>
                </w:tcPr>
                <w:p>
                  <w:pPr>
                    <w:pStyle w:val="40"/>
                    <w:snapToGrid w:val="0"/>
                  </w:pPr>
                  <w:r>
                    <w:t>浓度范围</w:t>
                  </w:r>
                </w:p>
              </w:tc>
              <w:tc>
                <w:tcPr>
                  <w:tcW w:w="1994" w:type="dxa"/>
                  <w:noWrap/>
                  <w:vAlign w:val="center"/>
                </w:tcPr>
                <w:p>
                  <w:pPr>
                    <w:pStyle w:val="40"/>
                    <w:snapToGrid w:val="0"/>
                    <w:rPr>
                      <w:rFonts w:hint="default" w:eastAsia="宋体"/>
                      <w:lang w:val="en-US" w:eastAsia="zh-CN"/>
                    </w:rPr>
                  </w:pPr>
                  <w:r>
                    <w:rPr>
                      <w:rFonts w:hint="eastAsia"/>
                      <w:lang w:val="en-US" w:eastAsia="zh-CN"/>
                    </w:rPr>
                    <w:t>0.02-0.23</w:t>
                  </w:r>
                </w:p>
              </w:tc>
              <w:tc>
                <w:tcPr>
                  <w:tcW w:w="1994" w:type="dxa"/>
                  <w:noWrap/>
                  <w:vAlign w:val="center"/>
                </w:tcPr>
                <w:p>
                  <w:pPr>
                    <w:pStyle w:val="40"/>
                    <w:snapToGrid w:val="0"/>
                    <w:rPr>
                      <w:rFonts w:hint="default" w:eastAsia="宋体"/>
                      <w:lang w:val="en-US" w:eastAsia="zh-CN"/>
                    </w:rPr>
                  </w:pPr>
                  <w:r>
                    <w:rPr>
                      <w:rFonts w:hint="eastAsia"/>
                      <w:lang w:val="en-US" w:eastAsia="zh-CN"/>
                    </w:rPr>
                    <w:t>0.02-0.35</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c>
                <w:tcPr>
                  <w:tcW w:w="1993" w:type="dxa"/>
                  <w:vMerge w:val="continue"/>
                  <w:noWrap/>
                  <w:vAlign w:val="center"/>
                </w:tcPr>
                <w:p>
                  <w:pPr>
                    <w:adjustRightInd w:val="0"/>
                    <w:snapToGrid w:val="0"/>
                    <w:jc w:val="center"/>
                    <w:rPr>
                      <w:kern w:val="0"/>
                      <w:szCs w:val="21"/>
                    </w:rPr>
                  </w:pPr>
                </w:p>
              </w:tc>
              <w:tc>
                <w:tcPr>
                  <w:tcW w:w="1993" w:type="dxa"/>
                  <w:noWrap/>
                  <w:vAlign w:val="center"/>
                </w:tcPr>
                <w:p>
                  <w:pPr>
                    <w:pStyle w:val="40"/>
                    <w:snapToGrid w:val="0"/>
                  </w:pPr>
                  <w:r>
                    <w:t>标准值</w:t>
                  </w:r>
                </w:p>
              </w:tc>
              <w:tc>
                <w:tcPr>
                  <w:tcW w:w="1994" w:type="dxa"/>
                  <w:noWrap/>
                  <w:vAlign w:val="center"/>
                </w:tcPr>
                <w:p>
                  <w:pPr>
                    <w:pStyle w:val="40"/>
                    <w:snapToGrid w:val="0"/>
                  </w:pPr>
                  <w:r>
                    <w:t>≤1.0</w:t>
                  </w:r>
                </w:p>
              </w:tc>
              <w:tc>
                <w:tcPr>
                  <w:tcW w:w="1994" w:type="dxa"/>
                  <w:noWrap/>
                  <w:vAlign w:val="center"/>
                </w:tcPr>
                <w:p>
                  <w:pPr>
                    <w:pStyle w:val="40"/>
                    <w:snapToGrid w:val="0"/>
                  </w:pPr>
                  <w:r>
                    <w:t>≤1.0</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c>
                <w:tcPr>
                  <w:tcW w:w="1993" w:type="dxa"/>
                  <w:vMerge w:val="restart"/>
                  <w:noWrap/>
                  <w:vAlign w:val="center"/>
                </w:tcPr>
                <w:p>
                  <w:pPr>
                    <w:adjustRightInd w:val="0"/>
                    <w:snapToGrid w:val="0"/>
                    <w:jc w:val="center"/>
                    <w:rPr>
                      <w:kern w:val="0"/>
                      <w:szCs w:val="21"/>
                    </w:rPr>
                  </w:pPr>
                  <w:r>
                    <w:rPr>
                      <w:kern w:val="0"/>
                      <w:szCs w:val="21"/>
                    </w:rPr>
                    <w:t>总磷（以P计）</w:t>
                  </w:r>
                </w:p>
              </w:tc>
              <w:tc>
                <w:tcPr>
                  <w:tcW w:w="1993" w:type="dxa"/>
                  <w:noWrap/>
                  <w:vAlign w:val="center"/>
                </w:tcPr>
                <w:p>
                  <w:pPr>
                    <w:pStyle w:val="40"/>
                    <w:snapToGrid w:val="0"/>
                  </w:pPr>
                  <w:r>
                    <w:t>浓度范围</w:t>
                  </w:r>
                </w:p>
              </w:tc>
              <w:tc>
                <w:tcPr>
                  <w:tcW w:w="1994" w:type="dxa"/>
                  <w:noWrap/>
                  <w:vAlign w:val="center"/>
                </w:tcPr>
                <w:p>
                  <w:pPr>
                    <w:pStyle w:val="40"/>
                    <w:snapToGrid w:val="0"/>
                    <w:rPr>
                      <w:rFonts w:hint="default" w:eastAsia="宋体"/>
                      <w:lang w:val="en-US" w:eastAsia="zh-CN"/>
                    </w:rPr>
                  </w:pPr>
                  <w:r>
                    <w:rPr>
                      <w:rFonts w:hint="eastAsia"/>
                      <w:lang w:val="en-US" w:eastAsia="zh-CN"/>
                    </w:rPr>
                    <w:t>0.040-0.070</w:t>
                  </w:r>
                </w:p>
              </w:tc>
              <w:tc>
                <w:tcPr>
                  <w:tcW w:w="1994" w:type="dxa"/>
                  <w:noWrap/>
                  <w:vAlign w:val="center"/>
                </w:tcPr>
                <w:p>
                  <w:pPr>
                    <w:pStyle w:val="40"/>
                    <w:snapToGrid w:val="0"/>
                    <w:rPr>
                      <w:rFonts w:hint="default" w:eastAsia="宋体"/>
                      <w:lang w:val="en-US" w:eastAsia="zh-CN"/>
                    </w:rPr>
                  </w:pPr>
                  <w:r>
                    <w:rPr>
                      <w:rFonts w:hint="eastAsia"/>
                      <w:lang w:val="en-US" w:eastAsia="zh-CN"/>
                    </w:rPr>
                    <w:t>0.04-0.125</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c>
                <w:tcPr>
                  <w:tcW w:w="1993" w:type="dxa"/>
                  <w:vMerge w:val="continue"/>
                  <w:noWrap/>
                  <w:vAlign w:val="center"/>
                </w:tcPr>
                <w:p>
                  <w:pPr>
                    <w:adjustRightInd w:val="0"/>
                    <w:snapToGrid w:val="0"/>
                    <w:jc w:val="center"/>
                    <w:rPr>
                      <w:kern w:val="0"/>
                      <w:szCs w:val="21"/>
                    </w:rPr>
                  </w:pPr>
                </w:p>
              </w:tc>
              <w:tc>
                <w:tcPr>
                  <w:tcW w:w="1993" w:type="dxa"/>
                  <w:noWrap/>
                  <w:vAlign w:val="center"/>
                </w:tcPr>
                <w:p>
                  <w:pPr>
                    <w:pStyle w:val="40"/>
                    <w:snapToGrid w:val="0"/>
                  </w:pPr>
                  <w:r>
                    <w:t>标准值</w:t>
                  </w:r>
                </w:p>
              </w:tc>
              <w:tc>
                <w:tcPr>
                  <w:tcW w:w="1994" w:type="dxa"/>
                  <w:noWrap/>
                  <w:vAlign w:val="center"/>
                </w:tcPr>
                <w:p>
                  <w:pPr>
                    <w:pStyle w:val="40"/>
                    <w:snapToGrid w:val="0"/>
                  </w:pPr>
                  <w:r>
                    <w:t>≤0.</w:t>
                  </w:r>
                  <w:r>
                    <w:rPr>
                      <w:rFonts w:hint="eastAsia"/>
                    </w:rPr>
                    <w:t>1</w:t>
                  </w:r>
                </w:p>
              </w:tc>
              <w:tc>
                <w:tcPr>
                  <w:tcW w:w="1994" w:type="dxa"/>
                  <w:noWrap/>
                  <w:vAlign w:val="center"/>
                </w:tcPr>
                <w:p>
                  <w:pPr>
                    <w:pStyle w:val="40"/>
                    <w:snapToGrid w:val="0"/>
                  </w:pPr>
                  <w:r>
                    <w:t>≤0.</w:t>
                  </w:r>
                  <w:r>
                    <w:rPr>
                      <w:rFonts w:hint="eastAsia"/>
                    </w:rPr>
                    <w:t>1</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c>
                <w:tcPr>
                  <w:tcW w:w="1993" w:type="dxa"/>
                  <w:vMerge w:val="restart"/>
                  <w:noWrap/>
                  <w:vAlign w:val="center"/>
                </w:tcPr>
                <w:p>
                  <w:pPr>
                    <w:adjustRightInd w:val="0"/>
                    <w:snapToGrid w:val="0"/>
                    <w:jc w:val="center"/>
                    <w:rPr>
                      <w:kern w:val="0"/>
                      <w:szCs w:val="21"/>
                    </w:rPr>
                  </w:pPr>
                  <w:r>
                    <w:rPr>
                      <w:kern w:val="0"/>
                      <w:szCs w:val="21"/>
                    </w:rPr>
                    <w:t>铜</w:t>
                  </w:r>
                </w:p>
              </w:tc>
              <w:tc>
                <w:tcPr>
                  <w:tcW w:w="1993" w:type="dxa"/>
                  <w:noWrap/>
                  <w:vAlign w:val="center"/>
                </w:tcPr>
                <w:p>
                  <w:pPr>
                    <w:pStyle w:val="40"/>
                    <w:snapToGrid w:val="0"/>
                  </w:pPr>
                  <w:r>
                    <w:t>浓度范围</w:t>
                  </w:r>
                </w:p>
              </w:tc>
              <w:tc>
                <w:tcPr>
                  <w:tcW w:w="1994" w:type="dxa"/>
                  <w:noWrap/>
                  <w:vAlign w:val="center"/>
                </w:tcPr>
                <w:p>
                  <w:pPr>
                    <w:pStyle w:val="40"/>
                    <w:snapToGrid w:val="0"/>
                    <w:rPr>
                      <w:rFonts w:hint="default" w:eastAsia="宋体"/>
                      <w:lang w:val="en-US" w:eastAsia="zh-CN"/>
                    </w:rPr>
                  </w:pPr>
                  <w:r>
                    <w:rPr>
                      <w:rFonts w:hint="eastAsia"/>
                      <w:lang w:val="en-US" w:eastAsia="zh-CN"/>
                    </w:rPr>
                    <w:t>0.0005-0.021</w:t>
                  </w:r>
                </w:p>
              </w:tc>
              <w:tc>
                <w:tcPr>
                  <w:tcW w:w="1994" w:type="dxa"/>
                  <w:noWrap/>
                  <w:vAlign w:val="center"/>
                </w:tcPr>
                <w:p>
                  <w:pPr>
                    <w:pStyle w:val="40"/>
                    <w:snapToGrid w:val="0"/>
                    <w:rPr>
                      <w:rFonts w:hint="default" w:eastAsia="宋体"/>
                      <w:lang w:val="en-US" w:eastAsia="zh-CN"/>
                    </w:rPr>
                  </w:pPr>
                  <w:r>
                    <w:rPr>
                      <w:rFonts w:hint="eastAsia"/>
                      <w:lang w:val="en-US" w:eastAsia="zh-CN"/>
                    </w:rPr>
                    <w:t>0.003</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c>
                <w:tcPr>
                  <w:tcW w:w="1993" w:type="dxa"/>
                  <w:vMerge w:val="continue"/>
                  <w:noWrap/>
                  <w:vAlign w:val="center"/>
                </w:tcPr>
                <w:p>
                  <w:pPr>
                    <w:adjustRightInd w:val="0"/>
                    <w:snapToGrid w:val="0"/>
                    <w:jc w:val="center"/>
                    <w:rPr>
                      <w:kern w:val="0"/>
                      <w:szCs w:val="21"/>
                    </w:rPr>
                  </w:pPr>
                </w:p>
              </w:tc>
              <w:tc>
                <w:tcPr>
                  <w:tcW w:w="1993" w:type="dxa"/>
                  <w:noWrap/>
                  <w:vAlign w:val="center"/>
                </w:tcPr>
                <w:p>
                  <w:pPr>
                    <w:pStyle w:val="40"/>
                    <w:snapToGrid w:val="0"/>
                  </w:pPr>
                  <w:r>
                    <w:t>标准值</w:t>
                  </w:r>
                </w:p>
              </w:tc>
              <w:tc>
                <w:tcPr>
                  <w:tcW w:w="1994" w:type="dxa"/>
                  <w:noWrap/>
                  <w:vAlign w:val="center"/>
                </w:tcPr>
                <w:p>
                  <w:pPr>
                    <w:pStyle w:val="40"/>
                    <w:snapToGrid w:val="0"/>
                  </w:pPr>
                  <w:r>
                    <w:t>≤1.0</w:t>
                  </w:r>
                </w:p>
              </w:tc>
              <w:tc>
                <w:tcPr>
                  <w:tcW w:w="1994" w:type="dxa"/>
                  <w:noWrap/>
                  <w:vAlign w:val="center"/>
                </w:tcPr>
                <w:p>
                  <w:pPr>
                    <w:pStyle w:val="40"/>
                    <w:snapToGrid w:val="0"/>
                  </w:pPr>
                  <w:r>
                    <w:t>≤1.0</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c>
                <w:tcPr>
                  <w:tcW w:w="1993" w:type="dxa"/>
                  <w:vMerge w:val="restart"/>
                  <w:noWrap/>
                  <w:vAlign w:val="center"/>
                </w:tcPr>
                <w:p>
                  <w:pPr>
                    <w:adjustRightInd w:val="0"/>
                    <w:snapToGrid w:val="0"/>
                    <w:jc w:val="center"/>
                    <w:rPr>
                      <w:kern w:val="0"/>
                      <w:szCs w:val="21"/>
                    </w:rPr>
                  </w:pPr>
                  <w:r>
                    <w:rPr>
                      <w:kern w:val="0"/>
                      <w:szCs w:val="21"/>
                    </w:rPr>
                    <w:t>锌</w:t>
                  </w:r>
                </w:p>
              </w:tc>
              <w:tc>
                <w:tcPr>
                  <w:tcW w:w="1993" w:type="dxa"/>
                  <w:noWrap/>
                  <w:vAlign w:val="center"/>
                </w:tcPr>
                <w:p>
                  <w:pPr>
                    <w:pStyle w:val="40"/>
                    <w:snapToGrid w:val="0"/>
                  </w:pPr>
                  <w:r>
                    <w:t>浓度范围</w:t>
                  </w:r>
                </w:p>
              </w:tc>
              <w:tc>
                <w:tcPr>
                  <w:tcW w:w="1994" w:type="dxa"/>
                  <w:noWrap/>
                  <w:vAlign w:val="center"/>
                </w:tcPr>
                <w:p>
                  <w:pPr>
                    <w:pStyle w:val="40"/>
                    <w:snapToGrid w:val="0"/>
                    <w:rPr>
                      <w:rFonts w:hint="default" w:eastAsia="宋体"/>
                      <w:lang w:val="en-US" w:eastAsia="zh-CN"/>
                    </w:rPr>
                  </w:pPr>
                  <w:r>
                    <w:rPr>
                      <w:rFonts w:hint="eastAsia"/>
                      <w:lang w:val="en-US" w:eastAsia="zh-CN"/>
                    </w:rPr>
                    <w:t>0.006-0.025</w:t>
                  </w:r>
                </w:p>
              </w:tc>
              <w:tc>
                <w:tcPr>
                  <w:tcW w:w="1994" w:type="dxa"/>
                  <w:noWrap/>
                  <w:vAlign w:val="center"/>
                </w:tcPr>
                <w:p>
                  <w:pPr>
                    <w:pStyle w:val="40"/>
                    <w:snapToGrid w:val="0"/>
                    <w:rPr>
                      <w:rFonts w:hint="default" w:eastAsia="宋体"/>
                      <w:lang w:val="en-US" w:eastAsia="zh-CN"/>
                    </w:rPr>
                  </w:pPr>
                  <w:r>
                    <w:rPr>
                      <w:rFonts w:hint="eastAsia"/>
                    </w:rPr>
                    <w:t>0.00</w:t>
                  </w:r>
                  <w:r>
                    <w:rPr>
                      <w:rFonts w:hint="eastAsia"/>
                      <w:lang w:val="en-US" w:eastAsia="zh-CN"/>
                    </w:rPr>
                    <w:t>2-0.01</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c>
                <w:tcPr>
                  <w:tcW w:w="1993" w:type="dxa"/>
                  <w:vMerge w:val="continue"/>
                  <w:noWrap/>
                  <w:vAlign w:val="center"/>
                </w:tcPr>
                <w:p>
                  <w:pPr>
                    <w:adjustRightInd w:val="0"/>
                    <w:snapToGrid w:val="0"/>
                    <w:jc w:val="center"/>
                    <w:rPr>
                      <w:kern w:val="0"/>
                      <w:szCs w:val="21"/>
                    </w:rPr>
                  </w:pPr>
                </w:p>
              </w:tc>
              <w:tc>
                <w:tcPr>
                  <w:tcW w:w="1993" w:type="dxa"/>
                  <w:noWrap/>
                  <w:vAlign w:val="center"/>
                </w:tcPr>
                <w:p>
                  <w:pPr>
                    <w:pStyle w:val="40"/>
                    <w:snapToGrid w:val="0"/>
                  </w:pPr>
                  <w:r>
                    <w:t>标准值</w:t>
                  </w:r>
                </w:p>
              </w:tc>
              <w:tc>
                <w:tcPr>
                  <w:tcW w:w="1994" w:type="dxa"/>
                  <w:noWrap/>
                  <w:vAlign w:val="center"/>
                </w:tcPr>
                <w:p>
                  <w:pPr>
                    <w:pStyle w:val="40"/>
                    <w:snapToGrid w:val="0"/>
                  </w:pPr>
                  <w:r>
                    <w:t>≤1.0</w:t>
                  </w:r>
                </w:p>
              </w:tc>
              <w:tc>
                <w:tcPr>
                  <w:tcW w:w="1994" w:type="dxa"/>
                  <w:noWrap/>
                  <w:vAlign w:val="center"/>
                </w:tcPr>
                <w:p>
                  <w:pPr>
                    <w:pStyle w:val="40"/>
                    <w:snapToGrid w:val="0"/>
                  </w:pPr>
                  <w:r>
                    <w:t>≤1.0</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c>
                <w:tcPr>
                  <w:tcW w:w="1993" w:type="dxa"/>
                  <w:vMerge w:val="restart"/>
                  <w:noWrap/>
                  <w:vAlign w:val="center"/>
                </w:tcPr>
                <w:p>
                  <w:pPr>
                    <w:adjustRightInd w:val="0"/>
                    <w:snapToGrid w:val="0"/>
                    <w:jc w:val="center"/>
                    <w:rPr>
                      <w:kern w:val="0"/>
                      <w:szCs w:val="21"/>
                    </w:rPr>
                  </w:pPr>
                  <w:r>
                    <w:rPr>
                      <w:kern w:val="0"/>
                      <w:szCs w:val="21"/>
                    </w:rPr>
                    <w:t>氟化物</w:t>
                  </w:r>
                </w:p>
              </w:tc>
              <w:tc>
                <w:tcPr>
                  <w:tcW w:w="1993" w:type="dxa"/>
                  <w:noWrap/>
                  <w:vAlign w:val="center"/>
                </w:tcPr>
                <w:p>
                  <w:pPr>
                    <w:pStyle w:val="40"/>
                    <w:snapToGrid w:val="0"/>
                  </w:pPr>
                  <w:r>
                    <w:t>浓度范围</w:t>
                  </w:r>
                </w:p>
              </w:tc>
              <w:tc>
                <w:tcPr>
                  <w:tcW w:w="1994" w:type="dxa"/>
                  <w:noWrap/>
                  <w:vAlign w:val="center"/>
                </w:tcPr>
                <w:p>
                  <w:pPr>
                    <w:pStyle w:val="40"/>
                    <w:snapToGrid w:val="0"/>
                    <w:rPr>
                      <w:rFonts w:hint="default" w:eastAsia="宋体"/>
                      <w:lang w:val="en-US" w:eastAsia="zh-CN"/>
                    </w:rPr>
                  </w:pPr>
                  <w:r>
                    <w:rPr>
                      <w:rFonts w:hint="eastAsia"/>
                      <w:lang w:val="en-US" w:eastAsia="zh-CN"/>
                    </w:rPr>
                    <w:t>0.126-0.250</w:t>
                  </w:r>
                </w:p>
              </w:tc>
              <w:tc>
                <w:tcPr>
                  <w:tcW w:w="1994" w:type="dxa"/>
                  <w:noWrap/>
                  <w:vAlign w:val="center"/>
                </w:tcPr>
                <w:p>
                  <w:pPr>
                    <w:pStyle w:val="40"/>
                    <w:snapToGrid w:val="0"/>
                    <w:rPr>
                      <w:rFonts w:hint="default" w:eastAsia="宋体"/>
                      <w:lang w:val="en-US" w:eastAsia="zh-CN"/>
                    </w:rPr>
                  </w:pPr>
                  <w:r>
                    <w:rPr>
                      <w:rFonts w:hint="eastAsia"/>
                      <w:lang w:val="en-US" w:eastAsia="zh-CN"/>
                    </w:rPr>
                    <w:t>0.137-0.244</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c>
                <w:tcPr>
                  <w:tcW w:w="1993" w:type="dxa"/>
                  <w:vMerge w:val="continue"/>
                  <w:noWrap/>
                  <w:vAlign w:val="center"/>
                </w:tcPr>
                <w:p>
                  <w:pPr>
                    <w:adjustRightInd w:val="0"/>
                    <w:snapToGrid w:val="0"/>
                    <w:jc w:val="center"/>
                    <w:rPr>
                      <w:kern w:val="0"/>
                      <w:szCs w:val="21"/>
                    </w:rPr>
                  </w:pPr>
                </w:p>
              </w:tc>
              <w:tc>
                <w:tcPr>
                  <w:tcW w:w="1993" w:type="dxa"/>
                  <w:noWrap/>
                  <w:vAlign w:val="center"/>
                </w:tcPr>
                <w:p>
                  <w:pPr>
                    <w:pStyle w:val="40"/>
                    <w:snapToGrid w:val="0"/>
                  </w:pPr>
                  <w:r>
                    <w:t>标准值</w:t>
                  </w:r>
                </w:p>
              </w:tc>
              <w:tc>
                <w:tcPr>
                  <w:tcW w:w="1994" w:type="dxa"/>
                  <w:noWrap/>
                  <w:vAlign w:val="center"/>
                </w:tcPr>
                <w:p>
                  <w:pPr>
                    <w:pStyle w:val="40"/>
                    <w:snapToGrid w:val="0"/>
                  </w:pPr>
                  <w:r>
                    <w:t>≤1.0</w:t>
                  </w:r>
                </w:p>
              </w:tc>
              <w:tc>
                <w:tcPr>
                  <w:tcW w:w="1994" w:type="dxa"/>
                  <w:noWrap/>
                  <w:vAlign w:val="center"/>
                </w:tcPr>
                <w:p>
                  <w:pPr>
                    <w:pStyle w:val="40"/>
                    <w:snapToGrid w:val="0"/>
                  </w:pPr>
                  <w:r>
                    <w:t>≤1.0</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c>
                <w:tcPr>
                  <w:tcW w:w="1993" w:type="dxa"/>
                  <w:vMerge w:val="restart"/>
                  <w:noWrap/>
                  <w:vAlign w:val="center"/>
                </w:tcPr>
                <w:p>
                  <w:pPr>
                    <w:adjustRightInd w:val="0"/>
                    <w:snapToGrid w:val="0"/>
                    <w:jc w:val="center"/>
                    <w:rPr>
                      <w:kern w:val="0"/>
                      <w:szCs w:val="21"/>
                    </w:rPr>
                  </w:pPr>
                  <w:r>
                    <w:rPr>
                      <w:kern w:val="0"/>
                      <w:szCs w:val="21"/>
                    </w:rPr>
                    <w:t>硒</w:t>
                  </w:r>
                </w:p>
              </w:tc>
              <w:tc>
                <w:tcPr>
                  <w:tcW w:w="1993" w:type="dxa"/>
                  <w:noWrap/>
                  <w:vAlign w:val="center"/>
                </w:tcPr>
                <w:p>
                  <w:pPr>
                    <w:pStyle w:val="40"/>
                    <w:snapToGrid w:val="0"/>
                  </w:pPr>
                  <w:r>
                    <w:t>浓度范围</w:t>
                  </w:r>
                </w:p>
              </w:tc>
              <w:tc>
                <w:tcPr>
                  <w:tcW w:w="1994" w:type="dxa"/>
                  <w:noWrap/>
                  <w:vAlign w:val="center"/>
                </w:tcPr>
                <w:p>
                  <w:pPr>
                    <w:pStyle w:val="40"/>
                    <w:snapToGrid w:val="0"/>
                    <w:rPr>
                      <w:rFonts w:hint="default" w:eastAsia="宋体"/>
                      <w:lang w:val="en-US" w:eastAsia="zh-CN"/>
                    </w:rPr>
                  </w:pPr>
                  <w:r>
                    <w:rPr>
                      <w:rFonts w:hint="eastAsia"/>
                      <w:lang w:val="en-US" w:eastAsia="zh-CN"/>
                    </w:rPr>
                    <w:t>0.0002</w:t>
                  </w:r>
                </w:p>
              </w:tc>
              <w:tc>
                <w:tcPr>
                  <w:tcW w:w="1994" w:type="dxa"/>
                  <w:noWrap/>
                  <w:vAlign w:val="center"/>
                </w:tcPr>
                <w:p>
                  <w:pPr>
                    <w:pStyle w:val="40"/>
                    <w:snapToGrid w:val="0"/>
                  </w:pPr>
                  <w:r>
                    <w:t>0.000</w:t>
                  </w:r>
                  <w:r>
                    <w:rPr>
                      <w:rFonts w:hint="eastAsia"/>
                    </w:rPr>
                    <w:t>2</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c>
                <w:tcPr>
                  <w:tcW w:w="1993" w:type="dxa"/>
                  <w:vMerge w:val="continue"/>
                  <w:noWrap/>
                  <w:vAlign w:val="center"/>
                </w:tcPr>
                <w:p>
                  <w:pPr>
                    <w:adjustRightInd w:val="0"/>
                    <w:snapToGrid w:val="0"/>
                    <w:jc w:val="center"/>
                    <w:rPr>
                      <w:kern w:val="0"/>
                      <w:szCs w:val="21"/>
                    </w:rPr>
                  </w:pPr>
                </w:p>
              </w:tc>
              <w:tc>
                <w:tcPr>
                  <w:tcW w:w="1993" w:type="dxa"/>
                  <w:noWrap/>
                  <w:vAlign w:val="center"/>
                </w:tcPr>
                <w:p>
                  <w:pPr>
                    <w:pStyle w:val="40"/>
                    <w:snapToGrid w:val="0"/>
                  </w:pPr>
                  <w:r>
                    <w:t>标准值</w:t>
                  </w:r>
                </w:p>
              </w:tc>
              <w:tc>
                <w:tcPr>
                  <w:tcW w:w="1994" w:type="dxa"/>
                  <w:noWrap/>
                  <w:vAlign w:val="center"/>
                </w:tcPr>
                <w:p>
                  <w:pPr>
                    <w:pStyle w:val="40"/>
                    <w:snapToGrid w:val="0"/>
                  </w:pPr>
                  <w:r>
                    <w:t>≤0.01</w:t>
                  </w:r>
                </w:p>
              </w:tc>
              <w:tc>
                <w:tcPr>
                  <w:tcW w:w="1994" w:type="dxa"/>
                  <w:noWrap/>
                  <w:vAlign w:val="center"/>
                </w:tcPr>
                <w:p>
                  <w:pPr>
                    <w:pStyle w:val="40"/>
                    <w:snapToGrid w:val="0"/>
                  </w:pPr>
                  <w:r>
                    <w:t>≤0.01</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c>
                <w:tcPr>
                  <w:tcW w:w="1993" w:type="dxa"/>
                  <w:vMerge w:val="restart"/>
                  <w:noWrap/>
                  <w:vAlign w:val="center"/>
                </w:tcPr>
                <w:p>
                  <w:pPr>
                    <w:adjustRightInd w:val="0"/>
                    <w:snapToGrid w:val="0"/>
                    <w:jc w:val="center"/>
                    <w:rPr>
                      <w:kern w:val="0"/>
                      <w:szCs w:val="21"/>
                    </w:rPr>
                  </w:pPr>
                  <w:r>
                    <w:rPr>
                      <w:kern w:val="0"/>
                      <w:szCs w:val="21"/>
                    </w:rPr>
                    <w:t>砷</w:t>
                  </w:r>
                </w:p>
              </w:tc>
              <w:tc>
                <w:tcPr>
                  <w:tcW w:w="1993" w:type="dxa"/>
                  <w:noWrap/>
                  <w:vAlign w:val="center"/>
                </w:tcPr>
                <w:p>
                  <w:pPr>
                    <w:pStyle w:val="40"/>
                    <w:snapToGrid w:val="0"/>
                  </w:pPr>
                  <w:r>
                    <w:t>浓度范围</w:t>
                  </w:r>
                </w:p>
              </w:tc>
              <w:tc>
                <w:tcPr>
                  <w:tcW w:w="1994" w:type="dxa"/>
                  <w:noWrap/>
                  <w:vAlign w:val="center"/>
                </w:tcPr>
                <w:p>
                  <w:pPr>
                    <w:pStyle w:val="40"/>
                    <w:snapToGrid w:val="0"/>
                    <w:rPr>
                      <w:rFonts w:hint="default" w:eastAsia="宋体"/>
                      <w:lang w:val="en-US" w:eastAsia="zh-CN"/>
                    </w:rPr>
                  </w:pPr>
                  <w:r>
                    <w:rPr>
                      <w:rFonts w:hint="eastAsia"/>
                      <w:lang w:val="en-US" w:eastAsia="zh-CN"/>
                    </w:rPr>
                    <w:t>0.0008-0.0032</w:t>
                  </w:r>
                </w:p>
              </w:tc>
              <w:tc>
                <w:tcPr>
                  <w:tcW w:w="1994" w:type="dxa"/>
                  <w:noWrap/>
                  <w:vAlign w:val="center"/>
                </w:tcPr>
                <w:p>
                  <w:pPr>
                    <w:pStyle w:val="40"/>
                    <w:snapToGrid w:val="0"/>
                    <w:rPr>
                      <w:rFonts w:hint="default" w:eastAsia="宋体"/>
                      <w:lang w:val="en-US" w:eastAsia="zh-CN"/>
                    </w:rPr>
                  </w:pPr>
                  <w:r>
                    <w:rPr>
                      <w:rFonts w:hint="eastAsia"/>
                      <w:lang w:val="en-US" w:eastAsia="zh-CN"/>
                    </w:rPr>
                    <w:t>0.0008-0.0045</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c>
                <w:tcPr>
                  <w:tcW w:w="1993" w:type="dxa"/>
                  <w:vMerge w:val="continue"/>
                  <w:noWrap/>
                  <w:vAlign w:val="center"/>
                </w:tcPr>
                <w:p>
                  <w:pPr>
                    <w:adjustRightInd w:val="0"/>
                    <w:snapToGrid w:val="0"/>
                    <w:jc w:val="center"/>
                    <w:rPr>
                      <w:kern w:val="0"/>
                      <w:szCs w:val="21"/>
                    </w:rPr>
                  </w:pPr>
                </w:p>
              </w:tc>
              <w:tc>
                <w:tcPr>
                  <w:tcW w:w="1993" w:type="dxa"/>
                  <w:noWrap/>
                  <w:vAlign w:val="center"/>
                </w:tcPr>
                <w:p>
                  <w:pPr>
                    <w:pStyle w:val="40"/>
                    <w:snapToGrid w:val="0"/>
                  </w:pPr>
                  <w:r>
                    <w:t>标准值</w:t>
                  </w:r>
                </w:p>
              </w:tc>
              <w:tc>
                <w:tcPr>
                  <w:tcW w:w="1994" w:type="dxa"/>
                  <w:noWrap/>
                  <w:vAlign w:val="center"/>
                </w:tcPr>
                <w:p>
                  <w:pPr>
                    <w:pStyle w:val="40"/>
                    <w:snapToGrid w:val="0"/>
                  </w:pPr>
                  <w:r>
                    <w:t>≤0.05</w:t>
                  </w:r>
                </w:p>
              </w:tc>
              <w:tc>
                <w:tcPr>
                  <w:tcW w:w="1994" w:type="dxa"/>
                  <w:noWrap/>
                  <w:vAlign w:val="center"/>
                </w:tcPr>
                <w:p>
                  <w:pPr>
                    <w:pStyle w:val="40"/>
                    <w:snapToGrid w:val="0"/>
                  </w:pPr>
                  <w:r>
                    <w:t>≤0.05</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PrEx>
              <w:trPr>
                <w:trHeight w:val="240" w:hRule="atLeast"/>
              </w:trPr>
              <w:tc>
                <w:tcPr>
                  <w:tcW w:w="1993" w:type="dxa"/>
                  <w:vMerge w:val="restart"/>
                  <w:noWrap/>
                  <w:vAlign w:val="center"/>
                </w:tcPr>
                <w:p>
                  <w:pPr>
                    <w:adjustRightInd w:val="0"/>
                    <w:snapToGrid w:val="0"/>
                    <w:jc w:val="center"/>
                    <w:rPr>
                      <w:kern w:val="0"/>
                      <w:szCs w:val="21"/>
                    </w:rPr>
                  </w:pPr>
                  <w:r>
                    <w:rPr>
                      <w:kern w:val="0"/>
                      <w:szCs w:val="21"/>
                    </w:rPr>
                    <w:t>汞</w:t>
                  </w:r>
                </w:p>
              </w:tc>
              <w:tc>
                <w:tcPr>
                  <w:tcW w:w="1993" w:type="dxa"/>
                  <w:noWrap/>
                  <w:vAlign w:val="center"/>
                </w:tcPr>
                <w:p>
                  <w:pPr>
                    <w:pStyle w:val="40"/>
                    <w:snapToGrid w:val="0"/>
                  </w:pPr>
                  <w:r>
                    <w:t>浓度范围</w:t>
                  </w:r>
                </w:p>
              </w:tc>
              <w:tc>
                <w:tcPr>
                  <w:tcW w:w="1994" w:type="dxa"/>
                  <w:noWrap/>
                  <w:vAlign w:val="center"/>
                </w:tcPr>
                <w:p>
                  <w:pPr>
                    <w:pStyle w:val="40"/>
                    <w:snapToGrid w:val="0"/>
                    <w:rPr>
                      <w:rFonts w:hint="default" w:eastAsia="宋体"/>
                      <w:lang w:val="en-US" w:eastAsia="zh-CN"/>
                    </w:rPr>
                  </w:pPr>
                  <w:r>
                    <w:rPr>
                      <w:rFonts w:hint="eastAsia"/>
                      <w:lang w:val="en-US" w:eastAsia="zh-CN"/>
                    </w:rPr>
                    <w:t>0.00002</w:t>
                  </w:r>
                </w:p>
              </w:tc>
              <w:tc>
                <w:tcPr>
                  <w:tcW w:w="1994" w:type="dxa"/>
                  <w:noWrap/>
                  <w:vAlign w:val="center"/>
                </w:tcPr>
                <w:p>
                  <w:pPr>
                    <w:pStyle w:val="40"/>
                    <w:snapToGrid w:val="0"/>
                  </w:pPr>
                  <w:r>
                    <w:t>0.00002</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c>
                <w:tcPr>
                  <w:tcW w:w="1993" w:type="dxa"/>
                  <w:vMerge w:val="continue"/>
                  <w:noWrap/>
                  <w:vAlign w:val="center"/>
                </w:tcPr>
                <w:p>
                  <w:pPr>
                    <w:adjustRightInd w:val="0"/>
                    <w:snapToGrid w:val="0"/>
                    <w:jc w:val="center"/>
                    <w:rPr>
                      <w:kern w:val="0"/>
                      <w:szCs w:val="21"/>
                    </w:rPr>
                  </w:pPr>
                </w:p>
              </w:tc>
              <w:tc>
                <w:tcPr>
                  <w:tcW w:w="1993" w:type="dxa"/>
                  <w:noWrap/>
                  <w:vAlign w:val="center"/>
                </w:tcPr>
                <w:p>
                  <w:pPr>
                    <w:pStyle w:val="40"/>
                    <w:snapToGrid w:val="0"/>
                  </w:pPr>
                  <w:r>
                    <w:t>标准值</w:t>
                  </w:r>
                </w:p>
              </w:tc>
              <w:tc>
                <w:tcPr>
                  <w:tcW w:w="1994" w:type="dxa"/>
                  <w:noWrap/>
                  <w:vAlign w:val="center"/>
                </w:tcPr>
                <w:p>
                  <w:pPr>
                    <w:pStyle w:val="40"/>
                    <w:snapToGrid w:val="0"/>
                  </w:pPr>
                  <w:r>
                    <w:t>≤0.0001</w:t>
                  </w:r>
                </w:p>
              </w:tc>
              <w:tc>
                <w:tcPr>
                  <w:tcW w:w="1994" w:type="dxa"/>
                  <w:noWrap/>
                  <w:vAlign w:val="center"/>
                </w:tcPr>
                <w:p>
                  <w:pPr>
                    <w:pStyle w:val="40"/>
                    <w:snapToGrid w:val="0"/>
                  </w:pPr>
                  <w:r>
                    <w:t>≤0.0001</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c>
                <w:tcPr>
                  <w:tcW w:w="1993" w:type="dxa"/>
                  <w:vMerge w:val="restart"/>
                  <w:noWrap/>
                  <w:vAlign w:val="center"/>
                </w:tcPr>
                <w:p>
                  <w:pPr>
                    <w:adjustRightInd w:val="0"/>
                    <w:snapToGrid w:val="0"/>
                    <w:jc w:val="center"/>
                    <w:rPr>
                      <w:kern w:val="0"/>
                      <w:szCs w:val="21"/>
                    </w:rPr>
                  </w:pPr>
                  <w:r>
                    <w:rPr>
                      <w:kern w:val="0"/>
                      <w:szCs w:val="21"/>
                    </w:rPr>
                    <w:t>镉</w:t>
                  </w:r>
                </w:p>
              </w:tc>
              <w:tc>
                <w:tcPr>
                  <w:tcW w:w="1993" w:type="dxa"/>
                  <w:noWrap/>
                  <w:vAlign w:val="center"/>
                </w:tcPr>
                <w:p>
                  <w:pPr>
                    <w:pStyle w:val="40"/>
                    <w:snapToGrid w:val="0"/>
                  </w:pPr>
                  <w:r>
                    <w:t>浓度范围</w:t>
                  </w:r>
                </w:p>
              </w:tc>
              <w:tc>
                <w:tcPr>
                  <w:tcW w:w="1994" w:type="dxa"/>
                  <w:noWrap/>
                  <w:vAlign w:val="center"/>
                </w:tcPr>
                <w:p>
                  <w:pPr>
                    <w:pStyle w:val="40"/>
                    <w:snapToGrid w:val="0"/>
                    <w:rPr>
                      <w:rFonts w:hint="default" w:eastAsia="宋体"/>
                      <w:lang w:val="en-US" w:eastAsia="zh-CN"/>
                    </w:rPr>
                  </w:pPr>
                  <w:r>
                    <w:rPr>
                      <w:rFonts w:hint="eastAsia"/>
                      <w:lang w:val="en-US" w:eastAsia="zh-CN"/>
                    </w:rPr>
                    <w:t>0.00002-0.00005</w:t>
                  </w:r>
                </w:p>
              </w:tc>
              <w:tc>
                <w:tcPr>
                  <w:tcW w:w="1994" w:type="dxa"/>
                  <w:noWrap/>
                  <w:vAlign w:val="center"/>
                </w:tcPr>
                <w:p>
                  <w:pPr>
                    <w:pStyle w:val="40"/>
                    <w:snapToGrid w:val="0"/>
                    <w:rPr>
                      <w:rFonts w:hint="default" w:eastAsia="宋体"/>
                      <w:lang w:val="en-US" w:eastAsia="zh-CN"/>
                    </w:rPr>
                  </w:pPr>
                  <w:r>
                    <w:rPr>
                      <w:rFonts w:hint="eastAsia"/>
                      <w:lang w:val="en-US" w:eastAsia="zh-CN"/>
                    </w:rPr>
                    <w:t>0.00002-0.00011</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c>
                <w:tcPr>
                  <w:tcW w:w="1993" w:type="dxa"/>
                  <w:vMerge w:val="continue"/>
                  <w:noWrap/>
                  <w:vAlign w:val="center"/>
                </w:tcPr>
                <w:p>
                  <w:pPr>
                    <w:adjustRightInd w:val="0"/>
                    <w:snapToGrid w:val="0"/>
                    <w:jc w:val="center"/>
                    <w:rPr>
                      <w:kern w:val="0"/>
                      <w:szCs w:val="21"/>
                    </w:rPr>
                  </w:pPr>
                </w:p>
              </w:tc>
              <w:tc>
                <w:tcPr>
                  <w:tcW w:w="1993" w:type="dxa"/>
                  <w:noWrap/>
                  <w:vAlign w:val="center"/>
                </w:tcPr>
                <w:p>
                  <w:pPr>
                    <w:pStyle w:val="40"/>
                    <w:snapToGrid w:val="0"/>
                  </w:pPr>
                  <w:r>
                    <w:t>标准值</w:t>
                  </w:r>
                </w:p>
              </w:tc>
              <w:tc>
                <w:tcPr>
                  <w:tcW w:w="1994" w:type="dxa"/>
                  <w:noWrap/>
                  <w:vAlign w:val="center"/>
                </w:tcPr>
                <w:p>
                  <w:pPr>
                    <w:pStyle w:val="40"/>
                    <w:snapToGrid w:val="0"/>
                  </w:pPr>
                  <w:r>
                    <w:t>≤0.005</w:t>
                  </w:r>
                </w:p>
              </w:tc>
              <w:tc>
                <w:tcPr>
                  <w:tcW w:w="1994" w:type="dxa"/>
                  <w:noWrap/>
                  <w:vAlign w:val="center"/>
                </w:tcPr>
                <w:p>
                  <w:pPr>
                    <w:pStyle w:val="40"/>
                    <w:snapToGrid w:val="0"/>
                  </w:pPr>
                  <w:r>
                    <w:t>002≤0.005</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PrEx>
              <w:tc>
                <w:tcPr>
                  <w:tcW w:w="1993" w:type="dxa"/>
                  <w:vMerge w:val="restart"/>
                  <w:noWrap/>
                  <w:vAlign w:val="center"/>
                </w:tcPr>
                <w:p>
                  <w:pPr>
                    <w:adjustRightInd w:val="0"/>
                    <w:snapToGrid w:val="0"/>
                    <w:jc w:val="center"/>
                    <w:rPr>
                      <w:kern w:val="0"/>
                      <w:szCs w:val="21"/>
                    </w:rPr>
                  </w:pPr>
                  <w:r>
                    <w:rPr>
                      <w:kern w:val="0"/>
                      <w:szCs w:val="21"/>
                    </w:rPr>
                    <w:t>六价铬</w:t>
                  </w:r>
                </w:p>
              </w:tc>
              <w:tc>
                <w:tcPr>
                  <w:tcW w:w="1993" w:type="dxa"/>
                  <w:noWrap/>
                  <w:vAlign w:val="center"/>
                </w:tcPr>
                <w:p>
                  <w:pPr>
                    <w:pStyle w:val="40"/>
                    <w:snapToGrid w:val="0"/>
                  </w:pPr>
                  <w:r>
                    <w:t>浓度范围</w:t>
                  </w:r>
                </w:p>
              </w:tc>
              <w:tc>
                <w:tcPr>
                  <w:tcW w:w="1994" w:type="dxa"/>
                  <w:noWrap/>
                  <w:vAlign w:val="center"/>
                </w:tcPr>
                <w:p>
                  <w:pPr>
                    <w:pStyle w:val="40"/>
                    <w:snapToGrid w:val="0"/>
                    <w:rPr>
                      <w:rFonts w:hint="default" w:eastAsia="宋体"/>
                      <w:lang w:val="en-US" w:eastAsia="zh-CN"/>
                    </w:rPr>
                  </w:pPr>
                  <w:r>
                    <w:rPr>
                      <w:rFonts w:hint="eastAsia"/>
                      <w:lang w:val="en-US" w:eastAsia="zh-CN"/>
                    </w:rPr>
                    <w:t>0.002</w:t>
                  </w:r>
                </w:p>
              </w:tc>
              <w:tc>
                <w:tcPr>
                  <w:tcW w:w="1994" w:type="dxa"/>
                  <w:noWrap/>
                  <w:vAlign w:val="center"/>
                </w:tcPr>
                <w:p>
                  <w:pPr>
                    <w:pStyle w:val="40"/>
                    <w:snapToGrid w:val="0"/>
                  </w:pPr>
                  <w:r>
                    <w:t>0.00</w:t>
                  </w:r>
                  <w:r>
                    <w:rPr>
                      <w:rFonts w:hint="eastAsia"/>
                    </w:rPr>
                    <w:t>2</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c>
                <w:tcPr>
                  <w:tcW w:w="1993" w:type="dxa"/>
                  <w:vMerge w:val="continue"/>
                  <w:noWrap/>
                  <w:vAlign w:val="center"/>
                </w:tcPr>
                <w:p>
                  <w:pPr>
                    <w:adjustRightInd w:val="0"/>
                    <w:snapToGrid w:val="0"/>
                    <w:jc w:val="center"/>
                    <w:rPr>
                      <w:kern w:val="0"/>
                      <w:szCs w:val="21"/>
                    </w:rPr>
                  </w:pPr>
                </w:p>
              </w:tc>
              <w:tc>
                <w:tcPr>
                  <w:tcW w:w="1993" w:type="dxa"/>
                  <w:noWrap/>
                  <w:vAlign w:val="center"/>
                </w:tcPr>
                <w:p>
                  <w:pPr>
                    <w:pStyle w:val="40"/>
                    <w:snapToGrid w:val="0"/>
                  </w:pPr>
                  <w:r>
                    <w:t>标准值</w:t>
                  </w:r>
                </w:p>
              </w:tc>
              <w:tc>
                <w:tcPr>
                  <w:tcW w:w="1994" w:type="dxa"/>
                  <w:noWrap/>
                  <w:vAlign w:val="center"/>
                </w:tcPr>
                <w:p>
                  <w:pPr>
                    <w:pStyle w:val="40"/>
                    <w:snapToGrid w:val="0"/>
                  </w:pPr>
                  <w:r>
                    <w:t>≤0.05</w:t>
                  </w:r>
                </w:p>
              </w:tc>
              <w:tc>
                <w:tcPr>
                  <w:tcW w:w="1994" w:type="dxa"/>
                  <w:noWrap/>
                  <w:vAlign w:val="center"/>
                </w:tcPr>
                <w:p>
                  <w:pPr>
                    <w:pStyle w:val="40"/>
                    <w:snapToGrid w:val="0"/>
                  </w:pPr>
                  <w:r>
                    <w:t>≤0.05</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c>
                <w:tcPr>
                  <w:tcW w:w="1993" w:type="dxa"/>
                  <w:vMerge w:val="restart"/>
                  <w:noWrap/>
                  <w:vAlign w:val="center"/>
                </w:tcPr>
                <w:p>
                  <w:pPr>
                    <w:adjustRightInd w:val="0"/>
                    <w:snapToGrid w:val="0"/>
                    <w:jc w:val="center"/>
                    <w:rPr>
                      <w:kern w:val="0"/>
                      <w:szCs w:val="21"/>
                    </w:rPr>
                  </w:pPr>
                  <w:r>
                    <w:rPr>
                      <w:kern w:val="0"/>
                      <w:szCs w:val="21"/>
                    </w:rPr>
                    <w:t>铅</w:t>
                  </w:r>
                </w:p>
              </w:tc>
              <w:tc>
                <w:tcPr>
                  <w:tcW w:w="1993" w:type="dxa"/>
                  <w:noWrap/>
                  <w:vAlign w:val="center"/>
                </w:tcPr>
                <w:p>
                  <w:pPr>
                    <w:pStyle w:val="40"/>
                    <w:snapToGrid w:val="0"/>
                  </w:pPr>
                  <w:r>
                    <w:t>浓度范围</w:t>
                  </w:r>
                </w:p>
              </w:tc>
              <w:tc>
                <w:tcPr>
                  <w:tcW w:w="1994" w:type="dxa"/>
                  <w:noWrap/>
                  <w:vAlign w:val="center"/>
                </w:tcPr>
                <w:p>
                  <w:pPr>
                    <w:pStyle w:val="40"/>
                    <w:snapToGrid w:val="0"/>
                    <w:rPr>
                      <w:rFonts w:hint="default" w:eastAsia="宋体"/>
                      <w:lang w:val="en-US" w:eastAsia="zh-CN"/>
                    </w:rPr>
                  </w:pPr>
                  <w:r>
                    <w:rPr>
                      <w:rFonts w:hint="eastAsia"/>
                      <w:lang w:val="en-US" w:eastAsia="zh-CN"/>
                    </w:rPr>
                    <w:t>0.00002-0.001</w:t>
                  </w:r>
                </w:p>
              </w:tc>
              <w:tc>
                <w:tcPr>
                  <w:tcW w:w="1994" w:type="dxa"/>
                  <w:noWrap/>
                  <w:vAlign w:val="center"/>
                </w:tcPr>
                <w:p>
                  <w:pPr>
                    <w:pStyle w:val="40"/>
                    <w:snapToGrid w:val="0"/>
                    <w:rPr>
                      <w:rFonts w:hint="default" w:eastAsia="宋体"/>
                      <w:lang w:val="en-US" w:eastAsia="zh-CN"/>
                    </w:rPr>
                  </w:pPr>
                  <w:r>
                    <w:rPr>
                      <w:rFonts w:hint="eastAsia"/>
                      <w:lang w:val="en-US" w:eastAsia="zh-CN"/>
                    </w:rPr>
                    <w:t>0.00004-0.0002</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c>
                <w:tcPr>
                  <w:tcW w:w="1993" w:type="dxa"/>
                  <w:vMerge w:val="continue"/>
                  <w:noWrap/>
                  <w:vAlign w:val="center"/>
                </w:tcPr>
                <w:p>
                  <w:pPr>
                    <w:adjustRightInd w:val="0"/>
                    <w:snapToGrid w:val="0"/>
                    <w:jc w:val="center"/>
                    <w:rPr>
                      <w:kern w:val="0"/>
                      <w:szCs w:val="21"/>
                    </w:rPr>
                  </w:pPr>
                </w:p>
              </w:tc>
              <w:tc>
                <w:tcPr>
                  <w:tcW w:w="1993" w:type="dxa"/>
                  <w:noWrap/>
                  <w:vAlign w:val="center"/>
                </w:tcPr>
                <w:p>
                  <w:pPr>
                    <w:pStyle w:val="40"/>
                    <w:snapToGrid w:val="0"/>
                  </w:pPr>
                  <w:r>
                    <w:t>标准值</w:t>
                  </w:r>
                </w:p>
              </w:tc>
              <w:tc>
                <w:tcPr>
                  <w:tcW w:w="1994" w:type="dxa"/>
                  <w:noWrap/>
                  <w:vAlign w:val="center"/>
                </w:tcPr>
                <w:p>
                  <w:pPr>
                    <w:pStyle w:val="40"/>
                    <w:snapToGrid w:val="0"/>
                  </w:pPr>
                  <w:r>
                    <w:t>≤0.05</w:t>
                  </w:r>
                </w:p>
              </w:tc>
              <w:tc>
                <w:tcPr>
                  <w:tcW w:w="1994" w:type="dxa"/>
                  <w:noWrap/>
                  <w:vAlign w:val="center"/>
                </w:tcPr>
                <w:p>
                  <w:pPr>
                    <w:pStyle w:val="40"/>
                    <w:snapToGrid w:val="0"/>
                  </w:pPr>
                  <w:r>
                    <w:t>≤0.05</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PrEx>
              <w:tc>
                <w:tcPr>
                  <w:tcW w:w="1993" w:type="dxa"/>
                  <w:vMerge w:val="restart"/>
                  <w:noWrap/>
                  <w:vAlign w:val="center"/>
                </w:tcPr>
                <w:p>
                  <w:pPr>
                    <w:pStyle w:val="40"/>
                    <w:snapToGrid w:val="0"/>
                    <w:rPr>
                      <w:kern w:val="0"/>
                    </w:rPr>
                  </w:pPr>
                  <w:r>
                    <w:t>挥发酚</w:t>
                  </w:r>
                </w:p>
              </w:tc>
              <w:tc>
                <w:tcPr>
                  <w:tcW w:w="1993" w:type="dxa"/>
                  <w:noWrap/>
                  <w:vAlign w:val="center"/>
                </w:tcPr>
                <w:p>
                  <w:pPr>
                    <w:pStyle w:val="40"/>
                    <w:snapToGrid w:val="0"/>
                  </w:pPr>
                  <w:r>
                    <w:t>浓度范围</w:t>
                  </w:r>
                </w:p>
              </w:tc>
              <w:tc>
                <w:tcPr>
                  <w:tcW w:w="1994" w:type="dxa"/>
                  <w:noWrap/>
                  <w:vAlign w:val="center"/>
                </w:tcPr>
                <w:p>
                  <w:pPr>
                    <w:pStyle w:val="40"/>
                    <w:snapToGrid w:val="0"/>
                    <w:rPr>
                      <w:rFonts w:hint="default" w:eastAsia="宋体"/>
                      <w:lang w:val="en-US" w:eastAsia="zh-CN"/>
                    </w:rPr>
                  </w:pPr>
                  <w:r>
                    <w:rPr>
                      <w:rFonts w:hint="eastAsia"/>
                      <w:lang w:val="en-US" w:eastAsia="zh-CN"/>
                    </w:rPr>
                    <w:t>0.0004-0.0006</w:t>
                  </w:r>
                </w:p>
              </w:tc>
              <w:tc>
                <w:tcPr>
                  <w:tcW w:w="1994" w:type="dxa"/>
                  <w:noWrap/>
                  <w:vAlign w:val="center"/>
                </w:tcPr>
                <w:p>
                  <w:pPr>
                    <w:pStyle w:val="40"/>
                    <w:snapToGrid w:val="0"/>
                    <w:rPr>
                      <w:rFonts w:hint="default" w:eastAsia="宋体"/>
                      <w:lang w:val="en-US" w:eastAsia="zh-CN"/>
                    </w:rPr>
                  </w:pPr>
                  <w:r>
                    <w:rPr>
                      <w:rFonts w:hint="eastAsia"/>
                      <w:lang w:val="en-US" w:eastAsia="zh-CN"/>
                    </w:rPr>
                    <w:t>0.0002-0.0007</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c>
                <w:tcPr>
                  <w:tcW w:w="1993" w:type="dxa"/>
                  <w:vMerge w:val="continue"/>
                  <w:noWrap/>
                  <w:vAlign w:val="center"/>
                </w:tcPr>
                <w:p>
                  <w:pPr>
                    <w:adjustRightInd w:val="0"/>
                    <w:snapToGrid w:val="0"/>
                    <w:jc w:val="center"/>
                    <w:rPr>
                      <w:kern w:val="0"/>
                      <w:szCs w:val="21"/>
                    </w:rPr>
                  </w:pPr>
                </w:p>
              </w:tc>
              <w:tc>
                <w:tcPr>
                  <w:tcW w:w="1993" w:type="dxa"/>
                  <w:noWrap/>
                  <w:vAlign w:val="center"/>
                </w:tcPr>
                <w:p>
                  <w:pPr>
                    <w:pStyle w:val="40"/>
                    <w:snapToGrid w:val="0"/>
                  </w:pPr>
                  <w:r>
                    <w:t>标准值</w:t>
                  </w:r>
                </w:p>
              </w:tc>
              <w:tc>
                <w:tcPr>
                  <w:tcW w:w="1994" w:type="dxa"/>
                  <w:noWrap/>
                  <w:vAlign w:val="center"/>
                </w:tcPr>
                <w:p>
                  <w:pPr>
                    <w:pStyle w:val="40"/>
                    <w:snapToGrid w:val="0"/>
                  </w:pPr>
                  <w:r>
                    <w:t>≤0.005</w:t>
                  </w:r>
                </w:p>
              </w:tc>
              <w:tc>
                <w:tcPr>
                  <w:tcW w:w="1994" w:type="dxa"/>
                  <w:noWrap/>
                  <w:vAlign w:val="center"/>
                </w:tcPr>
                <w:p>
                  <w:pPr>
                    <w:pStyle w:val="40"/>
                    <w:snapToGrid w:val="0"/>
                  </w:pPr>
                  <w:r>
                    <w:t>≤0.005</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c>
                <w:tcPr>
                  <w:tcW w:w="1993" w:type="dxa"/>
                  <w:vMerge w:val="restart"/>
                  <w:noWrap/>
                  <w:vAlign w:val="center"/>
                </w:tcPr>
                <w:p>
                  <w:pPr>
                    <w:pStyle w:val="40"/>
                    <w:snapToGrid w:val="0"/>
                    <w:rPr>
                      <w:kern w:val="0"/>
                    </w:rPr>
                  </w:pPr>
                  <w:r>
                    <w:t>石油类</w:t>
                  </w:r>
                </w:p>
              </w:tc>
              <w:tc>
                <w:tcPr>
                  <w:tcW w:w="1993" w:type="dxa"/>
                  <w:noWrap/>
                  <w:vAlign w:val="center"/>
                </w:tcPr>
                <w:p>
                  <w:pPr>
                    <w:pStyle w:val="40"/>
                    <w:snapToGrid w:val="0"/>
                  </w:pPr>
                  <w:r>
                    <w:t>浓度范围</w:t>
                  </w:r>
                </w:p>
              </w:tc>
              <w:tc>
                <w:tcPr>
                  <w:tcW w:w="1994" w:type="dxa"/>
                  <w:noWrap/>
                  <w:vAlign w:val="center"/>
                </w:tcPr>
                <w:p>
                  <w:pPr>
                    <w:pStyle w:val="40"/>
                    <w:snapToGrid w:val="0"/>
                    <w:rPr>
                      <w:rFonts w:hint="default" w:eastAsia="宋体"/>
                      <w:lang w:val="en-US" w:eastAsia="zh-CN"/>
                    </w:rPr>
                  </w:pPr>
                  <w:r>
                    <w:rPr>
                      <w:rFonts w:hint="eastAsia"/>
                      <w:lang w:val="en-US" w:eastAsia="zh-CN"/>
                    </w:rPr>
                    <w:t>0.005</w:t>
                  </w:r>
                </w:p>
              </w:tc>
              <w:tc>
                <w:tcPr>
                  <w:tcW w:w="1994" w:type="dxa"/>
                  <w:noWrap/>
                  <w:vAlign w:val="center"/>
                </w:tcPr>
                <w:p>
                  <w:pPr>
                    <w:pStyle w:val="40"/>
                    <w:snapToGrid w:val="0"/>
                    <w:rPr>
                      <w:rFonts w:hint="default" w:eastAsia="宋体"/>
                      <w:lang w:val="en-US" w:eastAsia="zh-CN"/>
                    </w:rPr>
                  </w:pPr>
                  <w:r>
                    <w:rPr>
                      <w:rFonts w:hint="eastAsia"/>
                      <w:lang w:val="en-US" w:eastAsia="zh-CN"/>
                    </w:rPr>
                    <w:t>0.005-0.02</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c>
                <w:tcPr>
                  <w:tcW w:w="1993" w:type="dxa"/>
                  <w:vMerge w:val="continue"/>
                  <w:noWrap/>
                  <w:vAlign w:val="center"/>
                </w:tcPr>
                <w:p>
                  <w:pPr>
                    <w:adjustRightInd w:val="0"/>
                    <w:snapToGrid w:val="0"/>
                    <w:jc w:val="center"/>
                    <w:rPr>
                      <w:kern w:val="0"/>
                      <w:szCs w:val="21"/>
                    </w:rPr>
                  </w:pPr>
                </w:p>
              </w:tc>
              <w:tc>
                <w:tcPr>
                  <w:tcW w:w="1993" w:type="dxa"/>
                  <w:noWrap/>
                  <w:vAlign w:val="center"/>
                </w:tcPr>
                <w:p>
                  <w:pPr>
                    <w:pStyle w:val="40"/>
                    <w:snapToGrid w:val="0"/>
                  </w:pPr>
                  <w:r>
                    <w:t>标准值</w:t>
                  </w:r>
                </w:p>
              </w:tc>
              <w:tc>
                <w:tcPr>
                  <w:tcW w:w="1994" w:type="dxa"/>
                  <w:noWrap/>
                  <w:vAlign w:val="center"/>
                </w:tcPr>
                <w:p>
                  <w:pPr>
                    <w:pStyle w:val="40"/>
                    <w:snapToGrid w:val="0"/>
                  </w:pPr>
                  <w:r>
                    <w:t>≤0.05</w:t>
                  </w:r>
                </w:p>
              </w:tc>
              <w:tc>
                <w:tcPr>
                  <w:tcW w:w="1994" w:type="dxa"/>
                  <w:noWrap/>
                  <w:vAlign w:val="center"/>
                </w:tcPr>
                <w:p>
                  <w:pPr>
                    <w:pStyle w:val="40"/>
                    <w:snapToGrid w:val="0"/>
                  </w:pPr>
                  <w:r>
                    <w:t>≤0.05</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PrEx>
              <w:tc>
                <w:tcPr>
                  <w:tcW w:w="1993" w:type="dxa"/>
                  <w:vMerge w:val="restart"/>
                  <w:noWrap/>
                  <w:vAlign w:val="center"/>
                </w:tcPr>
                <w:p>
                  <w:pPr>
                    <w:pStyle w:val="40"/>
                    <w:snapToGrid w:val="0"/>
                  </w:pPr>
                  <w:r>
                    <w:t>硫化物</w:t>
                  </w:r>
                </w:p>
              </w:tc>
              <w:tc>
                <w:tcPr>
                  <w:tcW w:w="1993" w:type="dxa"/>
                  <w:noWrap/>
                  <w:vAlign w:val="center"/>
                </w:tcPr>
                <w:p>
                  <w:pPr>
                    <w:pStyle w:val="40"/>
                    <w:snapToGrid w:val="0"/>
                  </w:pPr>
                  <w:r>
                    <w:t>浓度范围</w:t>
                  </w:r>
                </w:p>
              </w:tc>
              <w:tc>
                <w:tcPr>
                  <w:tcW w:w="1994" w:type="dxa"/>
                  <w:noWrap/>
                  <w:vAlign w:val="center"/>
                </w:tcPr>
                <w:p>
                  <w:pPr>
                    <w:pStyle w:val="40"/>
                    <w:snapToGrid w:val="0"/>
                    <w:rPr>
                      <w:rFonts w:hint="default" w:eastAsia="宋体"/>
                      <w:lang w:val="en-US" w:eastAsia="zh-CN"/>
                    </w:rPr>
                  </w:pPr>
                  <w:r>
                    <w:rPr>
                      <w:rFonts w:hint="eastAsia"/>
                      <w:lang w:val="en-US" w:eastAsia="zh-CN"/>
                    </w:rPr>
                    <w:t>0.002-0.013</w:t>
                  </w:r>
                </w:p>
              </w:tc>
              <w:tc>
                <w:tcPr>
                  <w:tcW w:w="1994" w:type="dxa"/>
                  <w:noWrap/>
                  <w:vAlign w:val="center"/>
                </w:tcPr>
                <w:p>
                  <w:pPr>
                    <w:pStyle w:val="40"/>
                    <w:snapToGrid w:val="0"/>
                  </w:pPr>
                  <w:r>
                    <w:t>0.00</w:t>
                  </w:r>
                  <w:r>
                    <w:rPr>
                      <w:rFonts w:hint="eastAsia"/>
                    </w:rPr>
                    <w:t>2</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c>
                <w:tcPr>
                  <w:tcW w:w="1993" w:type="dxa"/>
                  <w:vMerge w:val="continue"/>
                  <w:noWrap/>
                  <w:vAlign w:val="center"/>
                </w:tcPr>
                <w:p>
                  <w:pPr>
                    <w:adjustRightInd w:val="0"/>
                    <w:snapToGrid w:val="0"/>
                    <w:jc w:val="center"/>
                    <w:rPr>
                      <w:kern w:val="0"/>
                      <w:szCs w:val="21"/>
                    </w:rPr>
                  </w:pPr>
                </w:p>
              </w:tc>
              <w:tc>
                <w:tcPr>
                  <w:tcW w:w="1993" w:type="dxa"/>
                  <w:noWrap/>
                  <w:vAlign w:val="center"/>
                </w:tcPr>
                <w:p>
                  <w:pPr>
                    <w:pStyle w:val="40"/>
                    <w:snapToGrid w:val="0"/>
                  </w:pPr>
                  <w:r>
                    <w:t>标准值</w:t>
                  </w:r>
                </w:p>
              </w:tc>
              <w:tc>
                <w:tcPr>
                  <w:tcW w:w="1994" w:type="dxa"/>
                  <w:noWrap/>
                  <w:vAlign w:val="center"/>
                </w:tcPr>
                <w:p>
                  <w:pPr>
                    <w:pStyle w:val="40"/>
                    <w:snapToGrid w:val="0"/>
                  </w:pPr>
                  <w:r>
                    <w:t>≤0.2</w:t>
                  </w:r>
                </w:p>
              </w:tc>
              <w:tc>
                <w:tcPr>
                  <w:tcW w:w="1994" w:type="dxa"/>
                  <w:noWrap/>
                  <w:vAlign w:val="center"/>
                </w:tcPr>
                <w:p>
                  <w:pPr>
                    <w:pStyle w:val="40"/>
                    <w:snapToGrid w:val="0"/>
                  </w:pPr>
                  <w:r>
                    <w:t>≤0.2</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c>
                <w:tcPr>
                  <w:tcW w:w="1993" w:type="dxa"/>
                  <w:vMerge w:val="restart"/>
                  <w:noWrap/>
                  <w:vAlign w:val="center"/>
                </w:tcPr>
                <w:p>
                  <w:pPr>
                    <w:adjustRightInd w:val="0"/>
                    <w:snapToGrid w:val="0"/>
                    <w:jc w:val="center"/>
                    <w:rPr>
                      <w:kern w:val="0"/>
                      <w:szCs w:val="21"/>
                    </w:rPr>
                  </w:pPr>
                  <w:r>
                    <w:rPr>
                      <w:kern w:val="0"/>
                      <w:szCs w:val="21"/>
                    </w:rPr>
                    <w:t>粪大肠菌群</w:t>
                  </w:r>
                </w:p>
              </w:tc>
              <w:tc>
                <w:tcPr>
                  <w:tcW w:w="1993" w:type="dxa"/>
                  <w:noWrap/>
                  <w:vAlign w:val="center"/>
                </w:tcPr>
                <w:p>
                  <w:pPr>
                    <w:pStyle w:val="40"/>
                    <w:snapToGrid w:val="0"/>
                  </w:pPr>
                  <w:r>
                    <w:t>浓度范围（个）</w:t>
                  </w:r>
                </w:p>
              </w:tc>
              <w:tc>
                <w:tcPr>
                  <w:tcW w:w="1994" w:type="dxa"/>
                  <w:noWrap/>
                  <w:vAlign w:val="center"/>
                </w:tcPr>
                <w:p>
                  <w:pPr>
                    <w:pStyle w:val="40"/>
                    <w:snapToGrid w:val="0"/>
                  </w:pPr>
                  <w:r>
                    <w:rPr>
                      <w:rFonts w:hint="eastAsia"/>
                    </w:rPr>
                    <w:t>10000</w:t>
                  </w:r>
                </w:p>
              </w:tc>
              <w:tc>
                <w:tcPr>
                  <w:tcW w:w="1994" w:type="dxa"/>
                  <w:noWrap/>
                  <w:vAlign w:val="center"/>
                </w:tcPr>
                <w:p>
                  <w:pPr>
                    <w:pStyle w:val="40"/>
                    <w:snapToGrid w:val="0"/>
                  </w:pPr>
                  <w:r>
                    <w:rPr>
                      <w:rFonts w:hint="eastAsia"/>
                    </w:rPr>
                    <w:t>10000</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c>
                <w:tcPr>
                  <w:tcW w:w="1993" w:type="dxa"/>
                  <w:vMerge w:val="continue"/>
                  <w:noWrap/>
                  <w:vAlign w:val="center"/>
                </w:tcPr>
                <w:p>
                  <w:pPr>
                    <w:adjustRightInd w:val="0"/>
                    <w:snapToGrid w:val="0"/>
                    <w:jc w:val="center"/>
                    <w:rPr>
                      <w:kern w:val="0"/>
                      <w:szCs w:val="21"/>
                    </w:rPr>
                  </w:pPr>
                </w:p>
              </w:tc>
              <w:tc>
                <w:tcPr>
                  <w:tcW w:w="1993" w:type="dxa"/>
                  <w:noWrap/>
                  <w:vAlign w:val="center"/>
                </w:tcPr>
                <w:p>
                  <w:pPr>
                    <w:pStyle w:val="40"/>
                    <w:snapToGrid w:val="0"/>
                  </w:pPr>
                  <w:r>
                    <w:t>标准值</w:t>
                  </w:r>
                </w:p>
              </w:tc>
              <w:tc>
                <w:tcPr>
                  <w:tcW w:w="1994" w:type="dxa"/>
                  <w:noWrap/>
                  <w:vAlign w:val="center"/>
                </w:tcPr>
                <w:p>
                  <w:pPr>
                    <w:pStyle w:val="40"/>
                    <w:snapToGrid w:val="0"/>
                  </w:pPr>
                  <w:r>
                    <w:t>≤10000</w:t>
                  </w:r>
                </w:p>
              </w:tc>
              <w:tc>
                <w:tcPr>
                  <w:tcW w:w="1994" w:type="dxa"/>
                  <w:noWrap/>
                  <w:vAlign w:val="center"/>
                </w:tcPr>
                <w:p>
                  <w:pPr>
                    <w:pStyle w:val="40"/>
                    <w:snapToGrid w:val="0"/>
                  </w:pPr>
                  <w:r>
                    <w:t>≤10000</w:t>
                  </w:r>
                </w:p>
              </w:tc>
            </w:tr>
          </w:tbl>
          <w:p>
            <w:pPr>
              <w:pStyle w:val="2"/>
              <w:spacing w:line="360" w:lineRule="auto"/>
              <w:ind w:firstLine="480" w:firstLineChars="200"/>
              <w:rPr>
                <w:sz w:val="24"/>
                <w:szCs w:val="24"/>
              </w:rPr>
            </w:pPr>
            <w:r>
              <w:rPr>
                <w:kern w:val="0"/>
                <w:sz w:val="24"/>
                <w:szCs w:val="24"/>
              </w:rPr>
              <w:t>由上表可知，</w:t>
            </w:r>
            <w:r>
              <w:rPr>
                <w:rFonts w:hint="eastAsia"/>
                <w:kern w:val="0"/>
                <w:sz w:val="24"/>
                <w:szCs w:val="24"/>
              </w:rPr>
              <w:t>洞庭湖鹿角</w:t>
            </w:r>
            <w:r>
              <w:rPr>
                <w:kern w:val="0"/>
                <w:sz w:val="24"/>
                <w:szCs w:val="24"/>
              </w:rPr>
              <w:t>、</w:t>
            </w:r>
            <w:r>
              <w:rPr>
                <w:rFonts w:hint="eastAsia"/>
                <w:kern w:val="0"/>
                <w:sz w:val="24"/>
                <w:szCs w:val="24"/>
              </w:rPr>
              <w:t>扁山</w:t>
            </w:r>
            <w:r>
              <w:rPr>
                <w:kern w:val="0"/>
                <w:sz w:val="24"/>
                <w:szCs w:val="24"/>
              </w:rPr>
              <w:t>断面</w:t>
            </w:r>
            <w:r>
              <w:rPr>
                <w:rFonts w:hint="eastAsia"/>
                <w:kern w:val="0"/>
                <w:sz w:val="24"/>
                <w:szCs w:val="24"/>
              </w:rPr>
              <w:t>监测因子</w:t>
            </w:r>
            <w:r>
              <w:rPr>
                <w:kern w:val="0"/>
                <w:sz w:val="24"/>
                <w:szCs w:val="24"/>
              </w:rPr>
              <w:t>均满足《地表水环境质量标准》（GB3838-2002）的Ⅲ类标准限值</w:t>
            </w:r>
            <w:r>
              <w:rPr>
                <w:sz w:val="24"/>
                <w:szCs w:val="24"/>
              </w:rPr>
              <w:t>。</w:t>
            </w:r>
          </w:p>
          <w:p>
            <w:pPr>
              <w:pStyle w:val="85"/>
              <w:spacing w:line="360" w:lineRule="auto"/>
              <w:rPr>
                <w:szCs w:val="24"/>
              </w:rPr>
            </w:pPr>
            <w:r>
              <w:rPr>
                <w:rFonts w:hint="eastAsia" w:eastAsia="宋体"/>
                <w:szCs w:val="24"/>
              </w:rPr>
              <w:t>项目航道经过湘江，</w:t>
            </w:r>
            <w:r>
              <w:rPr>
                <w:szCs w:val="24"/>
              </w:rPr>
              <w:t>为了解建设项目所在地的地表水环境状况</w:t>
            </w:r>
            <w:r>
              <w:rPr>
                <w:rFonts w:hint="eastAsia"/>
                <w:szCs w:val="24"/>
              </w:rPr>
              <w:t>，本次环评收集2020年湘阴县环境监测中心对湘江乌龙嘴断面进行监测</w:t>
            </w:r>
            <w:r>
              <w:rPr>
                <w:rFonts w:hint="eastAsia"/>
              </w:rPr>
              <w:t>，</w:t>
            </w:r>
            <w:r>
              <w:rPr>
                <w:szCs w:val="24"/>
              </w:rPr>
              <w:t>具体监测情况详见下表。</w:t>
            </w:r>
          </w:p>
          <w:p>
            <w:pPr>
              <w:spacing w:line="360" w:lineRule="auto"/>
              <w:jc w:val="center"/>
              <w:rPr>
                <w:sz w:val="24"/>
                <w:szCs w:val="24"/>
              </w:rPr>
            </w:pPr>
            <w:r>
              <w:rPr>
                <w:b/>
                <w:bCs/>
                <w:sz w:val="24"/>
                <w:szCs w:val="24"/>
              </w:rPr>
              <w:t>表3-</w:t>
            </w:r>
            <w:r>
              <w:rPr>
                <w:rFonts w:hint="eastAsia"/>
                <w:b/>
                <w:bCs/>
                <w:sz w:val="24"/>
                <w:szCs w:val="24"/>
                <w:lang w:val="en-US" w:eastAsia="zh-CN"/>
              </w:rPr>
              <w:t>5</w:t>
            </w:r>
            <w:r>
              <w:rPr>
                <w:b/>
                <w:bCs/>
                <w:sz w:val="24"/>
                <w:szCs w:val="24"/>
              </w:rPr>
              <w:t xml:space="preserve">  地表水环境质量现状监测结果</w:t>
            </w:r>
            <w:r>
              <w:rPr>
                <w:rFonts w:hint="eastAsia"/>
                <w:b/>
                <w:bCs/>
                <w:sz w:val="24"/>
                <w:szCs w:val="24"/>
              </w:rPr>
              <w:t>（湘江乌龙嘴段）</w:t>
            </w:r>
            <w:r>
              <w:rPr>
                <w:sz w:val="24"/>
                <w:szCs w:val="24"/>
              </w:rPr>
              <w:t xml:space="preserve">  </w:t>
            </w:r>
          </w:p>
          <w:p>
            <w:pPr>
              <w:spacing w:line="360" w:lineRule="auto"/>
              <w:jc w:val="right"/>
              <w:rPr>
                <w:sz w:val="20"/>
              </w:rPr>
            </w:pPr>
            <w:r>
              <w:rPr>
                <w:sz w:val="20"/>
              </w:rPr>
              <w:t>单位：mg/L (pH无量纲，粪大肠菌群个/L)</w:t>
            </w:r>
          </w:p>
          <w:tbl>
            <w:tblPr>
              <w:tblStyle w:val="25"/>
              <w:tblW w:w="4998"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93"/>
              <w:gridCol w:w="1680"/>
              <w:gridCol w:w="1606"/>
              <w:gridCol w:w="876"/>
              <w:gridCol w:w="1158"/>
              <w:gridCol w:w="946"/>
              <w:gridCol w:w="79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561" w:type="pct"/>
                  <w:tcBorders>
                    <w:tl2br w:val="nil"/>
                    <w:tr2bl w:val="nil"/>
                  </w:tcBorders>
                  <w:vAlign w:val="center"/>
                </w:tcPr>
                <w:p>
                  <w:pPr>
                    <w:spacing w:line="360" w:lineRule="auto"/>
                    <w:jc w:val="center"/>
                    <w:rPr>
                      <w:sz w:val="22"/>
                      <w:szCs w:val="22"/>
                    </w:rPr>
                  </w:pPr>
                  <w:r>
                    <w:rPr>
                      <w:rFonts w:hint="eastAsia"/>
                      <w:sz w:val="22"/>
                      <w:szCs w:val="22"/>
                    </w:rPr>
                    <w:t>监测断面</w:t>
                  </w:r>
                </w:p>
              </w:tc>
              <w:tc>
                <w:tcPr>
                  <w:tcW w:w="1055" w:type="pct"/>
                  <w:tcBorders>
                    <w:tl2br w:val="nil"/>
                    <w:tr2bl w:val="nil"/>
                  </w:tcBorders>
                  <w:vAlign w:val="center"/>
                </w:tcPr>
                <w:p>
                  <w:pPr>
                    <w:spacing w:line="360" w:lineRule="auto"/>
                    <w:jc w:val="center"/>
                    <w:rPr>
                      <w:sz w:val="22"/>
                      <w:szCs w:val="22"/>
                    </w:rPr>
                  </w:pPr>
                  <w:r>
                    <w:rPr>
                      <w:rFonts w:hint="eastAsia"/>
                      <w:sz w:val="22"/>
                      <w:szCs w:val="22"/>
                    </w:rPr>
                    <w:t>监测因子</w:t>
                  </w:r>
                </w:p>
              </w:tc>
              <w:tc>
                <w:tcPr>
                  <w:tcW w:w="1009" w:type="pct"/>
                  <w:tcBorders>
                    <w:tl2br w:val="nil"/>
                    <w:tr2bl w:val="nil"/>
                  </w:tcBorders>
                  <w:vAlign w:val="center"/>
                </w:tcPr>
                <w:p>
                  <w:pPr>
                    <w:spacing w:line="360" w:lineRule="auto"/>
                    <w:jc w:val="center"/>
                    <w:rPr>
                      <w:sz w:val="22"/>
                      <w:szCs w:val="22"/>
                    </w:rPr>
                  </w:pPr>
                  <w:r>
                    <w:rPr>
                      <w:rFonts w:hint="eastAsia"/>
                      <w:sz w:val="22"/>
                      <w:szCs w:val="22"/>
                    </w:rPr>
                    <w:t>年平均范围值</w:t>
                  </w:r>
                </w:p>
              </w:tc>
              <w:tc>
                <w:tcPr>
                  <w:tcW w:w="551" w:type="pct"/>
                  <w:tcBorders>
                    <w:tl2br w:val="nil"/>
                    <w:tr2bl w:val="nil"/>
                  </w:tcBorders>
                  <w:vAlign w:val="center"/>
                </w:tcPr>
                <w:p>
                  <w:pPr>
                    <w:spacing w:line="360" w:lineRule="auto"/>
                    <w:jc w:val="center"/>
                    <w:rPr>
                      <w:sz w:val="22"/>
                      <w:szCs w:val="22"/>
                    </w:rPr>
                  </w:pPr>
                  <w:r>
                    <w:rPr>
                      <w:rFonts w:hint="eastAsia"/>
                      <w:sz w:val="22"/>
                      <w:szCs w:val="22"/>
                    </w:rPr>
                    <w:t>超标率%</w:t>
                  </w:r>
                </w:p>
              </w:tc>
              <w:tc>
                <w:tcPr>
                  <w:tcW w:w="728" w:type="pct"/>
                  <w:tcBorders>
                    <w:tl2br w:val="nil"/>
                    <w:tr2bl w:val="nil"/>
                  </w:tcBorders>
                  <w:vAlign w:val="center"/>
                </w:tcPr>
                <w:p>
                  <w:pPr>
                    <w:spacing w:line="360" w:lineRule="auto"/>
                    <w:jc w:val="center"/>
                    <w:rPr>
                      <w:sz w:val="22"/>
                      <w:szCs w:val="22"/>
                    </w:rPr>
                  </w:pPr>
                  <w:r>
                    <w:rPr>
                      <w:rFonts w:hint="eastAsia"/>
                      <w:sz w:val="22"/>
                      <w:szCs w:val="22"/>
                    </w:rPr>
                    <w:t>最大超标倍数%</w:t>
                  </w:r>
                </w:p>
              </w:tc>
              <w:tc>
                <w:tcPr>
                  <w:tcW w:w="595" w:type="pct"/>
                  <w:tcBorders>
                    <w:tl2br w:val="nil"/>
                    <w:tr2bl w:val="nil"/>
                  </w:tcBorders>
                  <w:vAlign w:val="center"/>
                </w:tcPr>
                <w:p>
                  <w:pPr>
                    <w:spacing w:line="360" w:lineRule="auto"/>
                    <w:jc w:val="center"/>
                    <w:rPr>
                      <w:sz w:val="22"/>
                      <w:szCs w:val="22"/>
                    </w:rPr>
                  </w:pPr>
                  <w:r>
                    <w:rPr>
                      <w:rFonts w:hint="eastAsia"/>
                      <w:sz w:val="22"/>
                      <w:szCs w:val="22"/>
                    </w:rPr>
                    <w:t>标准</w:t>
                  </w:r>
                </w:p>
                <w:p>
                  <w:pPr>
                    <w:spacing w:line="360" w:lineRule="auto"/>
                    <w:jc w:val="center"/>
                    <w:rPr>
                      <w:sz w:val="22"/>
                      <w:szCs w:val="22"/>
                    </w:rPr>
                  </w:pPr>
                  <w:r>
                    <w:rPr>
                      <w:rFonts w:hint="eastAsia"/>
                      <w:sz w:val="22"/>
                      <w:szCs w:val="22"/>
                    </w:rPr>
                    <w:t>限值</w:t>
                  </w:r>
                </w:p>
              </w:tc>
              <w:tc>
                <w:tcPr>
                  <w:tcW w:w="498" w:type="pct"/>
                  <w:tcBorders>
                    <w:tl2br w:val="nil"/>
                    <w:tr2bl w:val="nil"/>
                  </w:tcBorders>
                  <w:vAlign w:val="center"/>
                </w:tcPr>
                <w:p>
                  <w:pPr>
                    <w:spacing w:line="360" w:lineRule="auto"/>
                    <w:jc w:val="center"/>
                    <w:rPr>
                      <w:sz w:val="22"/>
                      <w:szCs w:val="22"/>
                    </w:rPr>
                  </w:pPr>
                  <w:r>
                    <w:rPr>
                      <w:rFonts w:hint="eastAsia"/>
                      <w:sz w:val="22"/>
                      <w:szCs w:val="22"/>
                    </w:rPr>
                    <w:t>是否达标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61" w:type="pct"/>
                  <w:vMerge w:val="restart"/>
                  <w:tcBorders>
                    <w:tl2br w:val="nil"/>
                    <w:tr2bl w:val="nil"/>
                  </w:tcBorders>
                  <w:vAlign w:val="center"/>
                </w:tcPr>
                <w:p>
                  <w:pPr>
                    <w:spacing w:line="360" w:lineRule="auto"/>
                    <w:jc w:val="center"/>
                    <w:rPr>
                      <w:sz w:val="22"/>
                      <w:szCs w:val="22"/>
                    </w:rPr>
                  </w:pPr>
                  <w:r>
                    <w:rPr>
                      <w:rFonts w:hint="eastAsia"/>
                      <w:sz w:val="22"/>
                      <w:szCs w:val="22"/>
                    </w:rPr>
                    <w:t>湘江乌龙嘴断面</w:t>
                  </w:r>
                </w:p>
              </w:tc>
              <w:tc>
                <w:tcPr>
                  <w:tcW w:w="1055" w:type="pct"/>
                  <w:tcBorders>
                    <w:tl2br w:val="nil"/>
                    <w:tr2bl w:val="nil"/>
                  </w:tcBorders>
                  <w:vAlign w:val="center"/>
                </w:tcPr>
                <w:p>
                  <w:pPr>
                    <w:spacing w:line="360" w:lineRule="auto"/>
                    <w:jc w:val="center"/>
                    <w:rPr>
                      <w:sz w:val="22"/>
                      <w:szCs w:val="22"/>
                    </w:rPr>
                  </w:pPr>
                  <w:r>
                    <w:rPr>
                      <w:rFonts w:hint="eastAsia"/>
                      <w:sz w:val="22"/>
                      <w:szCs w:val="22"/>
                    </w:rPr>
                    <w:t>电导率</w:t>
                  </w:r>
                </w:p>
              </w:tc>
              <w:tc>
                <w:tcPr>
                  <w:tcW w:w="1009" w:type="pct"/>
                  <w:tcBorders>
                    <w:tl2br w:val="nil"/>
                    <w:tr2bl w:val="nil"/>
                  </w:tcBorders>
                  <w:vAlign w:val="center"/>
                </w:tcPr>
                <w:p>
                  <w:pPr>
                    <w:spacing w:line="360" w:lineRule="auto"/>
                    <w:jc w:val="center"/>
                    <w:rPr>
                      <w:sz w:val="22"/>
                      <w:szCs w:val="22"/>
                    </w:rPr>
                  </w:pPr>
                  <w:r>
                    <w:rPr>
                      <w:rFonts w:hint="eastAsia"/>
                      <w:sz w:val="22"/>
                      <w:szCs w:val="22"/>
                    </w:rPr>
                    <w:t>19.1-33.3</w:t>
                  </w:r>
                </w:p>
              </w:tc>
              <w:tc>
                <w:tcPr>
                  <w:tcW w:w="551" w:type="pct"/>
                  <w:tcBorders>
                    <w:tl2br w:val="nil"/>
                    <w:tr2bl w:val="nil"/>
                  </w:tcBorders>
                  <w:vAlign w:val="center"/>
                </w:tcPr>
                <w:p>
                  <w:pPr>
                    <w:spacing w:line="360" w:lineRule="auto"/>
                    <w:jc w:val="center"/>
                    <w:rPr>
                      <w:sz w:val="22"/>
                      <w:szCs w:val="22"/>
                    </w:rPr>
                  </w:pPr>
                  <w:r>
                    <w:rPr>
                      <w:rFonts w:hint="eastAsia"/>
                      <w:sz w:val="22"/>
                      <w:szCs w:val="22"/>
                    </w:rPr>
                    <w:t>0</w:t>
                  </w:r>
                </w:p>
              </w:tc>
              <w:tc>
                <w:tcPr>
                  <w:tcW w:w="728" w:type="pct"/>
                  <w:tcBorders>
                    <w:tl2br w:val="nil"/>
                    <w:tr2bl w:val="nil"/>
                  </w:tcBorders>
                  <w:vAlign w:val="center"/>
                </w:tcPr>
                <w:p>
                  <w:pPr>
                    <w:spacing w:line="360" w:lineRule="auto"/>
                    <w:jc w:val="center"/>
                    <w:rPr>
                      <w:sz w:val="22"/>
                      <w:szCs w:val="22"/>
                    </w:rPr>
                  </w:pPr>
                  <w:r>
                    <w:rPr>
                      <w:rFonts w:hint="eastAsia"/>
                      <w:sz w:val="22"/>
                      <w:szCs w:val="22"/>
                    </w:rPr>
                    <w:t>0</w:t>
                  </w:r>
                </w:p>
              </w:tc>
              <w:tc>
                <w:tcPr>
                  <w:tcW w:w="595" w:type="pct"/>
                  <w:tcBorders>
                    <w:tl2br w:val="nil"/>
                    <w:tr2bl w:val="nil"/>
                  </w:tcBorders>
                  <w:vAlign w:val="center"/>
                </w:tcPr>
                <w:p>
                  <w:pPr>
                    <w:spacing w:line="360" w:lineRule="auto"/>
                    <w:jc w:val="center"/>
                    <w:rPr>
                      <w:sz w:val="22"/>
                      <w:szCs w:val="22"/>
                    </w:rPr>
                  </w:pPr>
                  <w:r>
                    <w:rPr>
                      <w:rFonts w:hint="eastAsia"/>
                      <w:sz w:val="22"/>
                      <w:szCs w:val="22"/>
                    </w:rPr>
                    <w:t>/</w:t>
                  </w:r>
                </w:p>
              </w:tc>
              <w:tc>
                <w:tcPr>
                  <w:tcW w:w="498" w:type="pct"/>
                  <w:tcBorders>
                    <w:tl2br w:val="nil"/>
                    <w:tr2bl w:val="nil"/>
                  </w:tcBorders>
                  <w:vAlign w:val="center"/>
                </w:tcPr>
                <w:p>
                  <w:pPr>
                    <w:spacing w:line="360" w:lineRule="auto"/>
                    <w:jc w:val="center"/>
                    <w:rPr>
                      <w:sz w:val="22"/>
                      <w:szCs w:val="22"/>
                    </w:rPr>
                  </w:pPr>
                  <w:r>
                    <w:rPr>
                      <w:rFonts w:hint="eastAsia"/>
                      <w:sz w:val="22"/>
                      <w:szCs w:val="22"/>
                    </w:rPr>
                    <w:t>达标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561" w:type="pct"/>
                  <w:vMerge w:val="continue"/>
                  <w:tcBorders>
                    <w:tl2br w:val="nil"/>
                    <w:tr2bl w:val="nil"/>
                  </w:tcBorders>
                  <w:vAlign w:val="center"/>
                </w:tcPr>
                <w:p>
                  <w:pPr>
                    <w:spacing w:line="360" w:lineRule="auto"/>
                    <w:jc w:val="center"/>
                    <w:rPr>
                      <w:sz w:val="22"/>
                      <w:szCs w:val="22"/>
                    </w:rPr>
                  </w:pPr>
                </w:p>
              </w:tc>
              <w:tc>
                <w:tcPr>
                  <w:tcW w:w="1055" w:type="pct"/>
                  <w:tcBorders>
                    <w:tl2br w:val="nil"/>
                    <w:tr2bl w:val="nil"/>
                  </w:tcBorders>
                  <w:vAlign w:val="center"/>
                </w:tcPr>
                <w:p>
                  <w:pPr>
                    <w:spacing w:line="360" w:lineRule="auto"/>
                    <w:jc w:val="center"/>
                    <w:rPr>
                      <w:sz w:val="22"/>
                      <w:szCs w:val="22"/>
                    </w:rPr>
                  </w:pPr>
                  <w:r>
                    <w:rPr>
                      <w:rFonts w:hint="eastAsia"/>
                      <w:sz w:val="22"/>
                      <w:szCs w:val="22"/>
                    </w:rPr>
                    <w:t>pH值</w:t>
                  </w:r>
                </w:p>
              </w:tc>
              <w:tc>
                <w:tcPr>
                  <w:tcW w:w="1009" w:type="pct"/>
                  <w:tcBorders>
                    <w:tl2br w:val="nil"/>
                    <w:tr2bl w:val="nil"/>
                  </w:tcBorders>
                  <w:vAlign w:val="center"/>
                </w:tcPr>
                <w:p>
                  <w:pPr>
                    <w:spacing w:line="360" w:lineRule="auto"/>
                    <w:jc w:val="center"/>
                    <w:rPr>
                      <w:sz w:val="22"/>
                      <w:szCs w:val="22"/>
                    </w:rPr>
                  </w:pPr>
                  <w:r>
                    <w:rPr>
                      <w:rFonts w:hint="eastAsia"/>
                      <w:sz w:val="22"/>
                      <w:szCs w:val="22"/>
                    </w:rPr>
                    <w:t>7.32-7.98</w:t>
                  </w:r>
                </w:p>
              </w:tc>
              <w:tc>
                <w:tcPr>
                  <w:tcW w:w="551" w:type="pct"/>
                  <w:tcBorders>
                    <w:tl2br w:val="nil"/>
                    <w:tr2bl w:val="nil"/>
                  </w:tcBorders>
                  <w:vAlign w:val="center"/>
                </w:tcPr>
                <w:p>
                  <w:pPr>
                    <w:spacing w:line="360" w:lineRule="auto"/>
                    <w:jc w:val="center"/>
                    <w:rPr>
                      <w:sz w:val="22"/>
                      <w:szCs w:val="22"/>
                    </w:rPr>
                  </w:pPr>
                  <w:r>
                    <w:rPr>
                      <w:rFonts w:hint="eastAsia"/>
                      <w:sz w:val="22"/>
                      <w:szCs w:val="22"/>
                    </w:rPr>
                    <w:t>0</w:t>
                  </w:r>
                </w:p>
              </w:tc>
              <w:tc>
                <w:tcPr>
                  <w:tcW w:w="728" w:type="pct"/>
                  <w:tcBorders>
                    <w:tl2br w:val="nil"/>
                    <w:tr2bl w:val="nil"/>
                  </w:tcBorders>
                  <w:vAlign w:val="center"/>
                </w:tcPr>
                <w:p>
                  <w:pPr>
                    <w:spacing w:line="360" w:lineRule="auto"/>
                    <w:jc w:val="center"/>
                    <w:rPr>
                      <w:sz w:val="22"/>
                      <w:szCs w:val="22"/>
                    </w:rPr>
                  </w:pPr>
                  <w:r>
                    <w:rPr>
                      <w:rFonts w:hint="eastAsia"/>
                      <w:sz w:val="22"/>
                      <w:szCs w:val="22"/>
                    </w:rPr>
                    <w:t>0</w:t>
                  </w:r>
                </w:p>
              </w:tc>
              <w:tc>
                <w:tcPr>
                  <w:tcW w:w="595" w:type="pct"/>
                  <w:tcBorders>
                    <w:tl2br w:val="nil"/>
                    <w:tr2bl w:val="nil"/>
                  </w:tcBorders>
                  <w:vAlign w:val="center"/>
                </w:tcPr>
                <w:p>
                  <w:pPr>
                    <w:spacing w:line="360" w:lineRule="auto"/>
                    <w:jc w:val="center"/>
                    <w:rPr>
                      <w:sz w:val="22"/>
                      <w:szCs w:val="22"/>
                    </w:rPr>
                  </w:pPr>
                  <w:r>
                    <w:rPr>
                      <w:rFonts w:hint="eastAsia"/>
                      <w:sz w:val="22"/>
                      <w:szCs w:val="22"/>
                    </w:rPr>
                    <w:t>6-9</w:t>
                  </w:r>
                </w:p>
              </w:tc>
              <w:tc>
                <w:tcPr>
                  <w:tcW w:w="498" w:type="pct"/>
                  <w:tcBorders>
                    <w:tl2br w:val="nil"/>
                    <w:tr2bl w:val="nil"/>
                  </w:tcBorders>
                  <w:vAlign w:val="center"/>
                </w:tcPr>
                <w:p>
                  <w:pPr>
                    <w:spacing w:line="360" w:lineRule="auto"/>
                    <w:jc w:val="center"/>
                    <w:rPr>
                      <w:sz w:val="22"/>
                      <w:szCs w:val="22"/>
                    </w:rPr>
                  </w:pPr>
                  <w:r>
                    <w:rPr>
                      <w:rFonts w:hint="eastAsia"/>
                      <w:sz w:val="22"/>
                      <w:szCs w:val="22"/>
                    </w:rPr>
                    <w:t>达标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61" w:type="pct"/>
                  <w:vMerge w:val="continue"/>
                  <w:tcBorders>
                    <w:tl2br w:val="nil"/>
                    <w:tr2bl w:val="nil"/>
                  </w:tcBorders>
                  <w:vAlign w:val="center"/>
                </w:tcPr>
                <w:p>
                  <w:pPr>
                    <w:spacing w:line="360" w:lineRule="auto"/>
                    <w:jc w:val="center"/>
                    <w:rPr>
                      <w:sz w:val="22"/>
                      <w:szCs w:val="22"/>
                    </w:rPr>
                  </w:pPr>
                </w:p>
              </w:tc>
              <w:tc>
                <w:tcPr>
                  <w:tcW w:w="1055" w:type="pct"/>
                  <w:tcBorders>
                    <w:tl2br w:val="nil"/>
                    <w:tr2bl w:val="nil"/>
                  </w:tcBorders>
                  <w:vAlign w:val="center"/>
                </w:tcPr>
                <w:p>
                  <w:pPr>
                    <w:spacing w:line="360" w:lineRule="auto"/>
                    <w:jc w:val="center"/>
                    <w:rPr>
                      <w:sz w:val="22"/>
                      <w:szCs w:val="22"/>
                    </w:rPr>
                  </w:pPr>
                  <w:r>
                    <w:rPr>
                      <w:rFonts w:hint="eastAsia"/>
                      <w:sz w:val="22"/>
                      <w:szCs w:val="22"/>
                    </w:rPr>
                    <w:t>溶解氧</w:t>
                  </w:r>
                </w:p>
              </w:tc>
              <w:tc>
                <w:tcPr>
                  <w:tcW w:w="1009" w:type="pct"/>
                  <w:tcBorders>
                    <w:tl2br w:val="nil"/>
                    <w:tr2bl w:val="nil"/>
                  </w:tcBorders>
                  <w:vAlign w:val="center"/>
                </w:tcPr>
                <w:p>
                  <w:pPr>
                    <w:spacing w:line="360" w:lineRule="auto"/>
                    <w:jc w:val="center"/>
                    <w:rPr>
                      <w:sz w:val="22"/>
                      <w:szCs w:val="22"/>
                    </w:rPr>
                  </w:pPr>
                  <w:r>
                    <w:rPr>
                      <w:rFonts w:hint="eastAsia"/>
                      <w:sz w:val="22"/>
                      <w:szCs w:val="22"/>
                    </w:rPr>
                    <w:t>5.8-7.8</w:t>
                  </w:r>
                </w:p>
              </w:tc>
              <w:tc>
                <w:tcPr>
                  <w:tcW w:w="551" w:type="pct"/>
                  <w:tcBorders>
                    <w:tl2br w:val="nil"/>
                    <w:tr2bl w:val="nil"/>
                  </w:tcBorders>
                  <w:vAlign w:val="center"/>
                </w:tcPr>
                <w:p>
                  <w:pPr>
                    <w:spacing w:line="360" w:lineRule="auto"/>
                    <w:jc w:val="center"/>
                    <w:rPr>
                      <w:sz w:val="22"/>
                      <w:szCs w:val="22"/>
                    </w:rPr>
                  </w:pPr>
                  <w:r>
                    <w:rPr>
                      <w:rFonts w:hint="eastAsia"/>
                      <w:sz w:val="22"/>
                      <w:szCs w:val="22"/>
                    </w:rPr>
                    <w:t>0</w:t>
                  </w:r>
                </w:p>
              </w:tc>
              <w:tc>
                <w:tcPr>
                  <w:tcW w:w="728" w:type="pct"/>
                  <w:tcBorders>
                    <w:tl2br w:val="nil"/>
                    <w:tr2bl w:val="nil"/>
                  </w:tcBorders>
                  <w:vAlign w:val="center"/>
                </w:tcPr>
                <w:p>
                  <w:pPr>
                    <w:spacing w:line="360" w:lineRule="auto"/>
                    <w:jc w:val="center"/>
                    <w:rPr>
                      <w:sz w:val="22"/>
                      <w:szCs w:val="22"/>
                    </w:rPr>
                  </w:pPr>
                  <w:r>
                    <w:rPr>
                      <w:rFonts w:hint="eastAsia"/>
                      <w:sz w:val="22"/>
                      <w:szCs w:val="22"/>
                    </w:rPr>
                    <w:t>0</w:t>
                  </w:r>
                </w:p>
              </w:tc>
              <w:tc>
                <w:tcPr>
                  <w:tcW w:w="595" w:type="pct"/>
                  <w:tcBorders>
                    <w:tl2br w:val="nil"/>
                    <w:tr2bl w:val="nil"/>
                  </w:tcBorders>
                  <w:vAlign w:val="center"/>
                </w:tcPr>
                <w:p>
                  <w:pPr>
                    <w:spacing w:line="360" w:lineRule="auto"/>
                    <w:jc w:val="center"/>
                    <w:rPr>
                      <w:sz w:val="22"/>
                      <w:szCs w:val="22"/>
                    </w:rPr>
                  </w:pPr>
                  <w:r>
                    <w:rPr>
                      <w:rFonts w:ascii="Arial" w:hAnsi="Arial" w:cs="Arial"/>
                      <w:sz w:val="22"/>
                      <w:szCs w:val="22"/>
                    </w:rPr>
                    <w:t>≥</w:t>
                  </w:r>
                  <w:r>
                    <w:rPr>
                      <w:rFonts w:hint="eastAsia"/>
                      <w:sz w:val="22"/>
                      <w:szCs w:val="22"/>
                    </w:rPr>
                    <w:t>5</w:t>
                  </w:r>
                </w:p>
              </w:tc>
              <w:tc>
                <w:tcPr>
                  <w:tcW w:w="498" w:type="pct"/>
                  <w:tcBorders>
                    <w:tl2br w:val="nil"/>
                    <w:tr2bl w:val="nil"/>
                  </w:tcBorders>
                  <w:vAlign w:val="center"/>
                </w:tcPr>
                <w:p>
                  <w:pPr>
                    <w:spacing w:line="360" w:lineRule="auto"/>
                    <w:jc w:val="center"/>
                    <w:rPr>
                      <w:sz w:val="22"/>
                      <w:szCs w:val="22"/>
                    </w:rPr>
                  </w:pPr>
                  <w:r>
                    <w:rPr>
                      <w:rFonts w:hint="eastAsia"/>
                      <w:sz w:val="22"/>
                      <w:szCs w:val="22"/>
                    </w:rPr>
                    <w:t>达标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61" w:type="pct"/>
                  <w:vMerge w:val="continue"/>
                  <w:tcBorders>
                    <w:tl2br w:val="nil"/>
                    <w:tr2bl w:val="nil"/>
                  </w:tcBorders>
                  <w:vAlign w:val="center"/>
                </w:tcPr>
                <w:p>
                  <w:pPr>
                    <w:spacing w:line="360" w:lineRule="auto"/>
                    <w:jc w:val="center"/>
                    <w:rPr>
                      <w:sz w:val="22"/>
                      <w:szCs w:val="22"/>
                    </w:rPr>
                  </w:pPr>
                </w:p>
              </w:tc>
              <w:tc>
                <w:tcPr>
                  <w:tcW w:w="1055" w:type="pct"/>
                  <w:tcBorders>
                    <w:tl2br w:val="nil"/>
                    <w:tr2bl w:val="nil"/>
                  </w:tcBorders>
                  <w:vAlign w:val="center"/>
                </w:tcPr>
                <w:p>
                  <w:pPr>
                    <w:spacing w:line="360" w:lineRule="auto"/>
                    <w:jc w:val="center"/>
                    <w:rPr>
                      <w:sz w:val="22"/>
                      <w:szCs w:val="22"/>
                    </w:rPr>
                  </w:pPr>
                  <w:r>
                    <w:rPr>
                      <w:rFonts w:hint="eastAsia"/>
                      <w:sz w:val="22"/>
                      <w:szCs w:val="22"/>
                    </w:rPr>
                    <w:t>高锰酸盐指数</w:t>
                  </w:r>
                </w:p>
              </w:tc>
              <w:tc>
                <w:tcPr>
                  <w:tcW w:w="1009" w:type="pct"/>
                  <w:tcBorders>
                    <w:tl2br w:val="nil"/>
                    <w:tr2bl w:val="nil"/>
                  </w:tcBorders>
                  <w:vAlign w:val="center"/>
                </w:tcPr>
                <w:p>
                  <w:pPr>
                    <w:spacing w:line="360" w:lineRule="auto"/>
                    <w:jc w:val="center"/>
                    <w:rPr>
                      <w:sz w:val="22"/>
                      <w:szCs w:val="22"/>
                    </w:rPr>
                  </w:pPr>
                  <w:r>
                    <w:rPr>
                      <w:rFonts w:hint="eastAsia"/>
                      <w:sz w:val="22"/>
                      <w:szCs w:val="22"/>
                    </w:rPr>
                    <w:t>1.5-2.2</w:t>
                  </w:r>
                </w:p>
              </w:tc>
              <w:tc>
                <w:tcPr>
                  <w:tcW w:w="551" w:type="pct"/>
                  <w:tcBorders>
                    <w:tl2br w:val="nil"/>
                    <w:tr2bl w:val="nil"/>
                  </w:tcBorders>
                  <w:vAlign w:val="center"/>
                </w:tcPr>
                <w:p>
                  <w:pPr>
                    <w:spacing w:line="360" w:lineRule="auto"/>
                    <w:jc w:val="center"/>
                    <w:rPr>
                      <w:sz w:val="22"/>
                      <w:szCs w:val="22"/>
                    </w:rPr>
                  </w:pPr>
                  <w:r>
                    <w:rPr>
                      <w:rFonts w:hint="eastAsia"/>
                      <w:sz w:val="22"/>
                      <w:szCs w:val="22"/>
                    </w:rPr>
                    <w:t>0</w:t>
                  </w:r>
                </w:p>
              </w:tc>
              <w:tc>
                <w:tcPr>
                  <w:tcW w:w="728" w:type="pct"/>
                  <w:tcBorders>
                    <w:tl2br w:val="nil"/>
                    <w:tr2bl w:val="nil"/>
                  </w:tcBorders>
                  <w:vAlign w:val="center"/>
                </w:tcPr>
                <w:p>
                  <w:pPr>
                    <w:spacing w:line="360" w:lineRule="auto"/>
                    <w:jc w:val="center"/>
                    <w:rPr>
                      <w:sz w:val="22"/>
                      <w:szCs w:val="22"/>
                    </w:rPr>
                  </w:pPr>
                  <w:r>
                    <w:rPr>
                      <w:rFonts w:hint="eastAsia"/>
                      <w:sz w:val="22"/>
                      <w:szCs w:val="22"/>
                    </w:rPr>
                    <w:t>0</w:t>
                  </w:r>
                </w:p>
              </w:tc>
              <w:tc>
                <w:tcPr>
                  <w:tcW w:w="595" w:type="pct"/>
                  <w:tcBorders>
                    <w:tl2br w:val="nil"/>
                    <w:tr2bl w:val="nil"/>
                  </w:tcBorders>
                  <w:vAlign w:val="center"/>
                </w:tcPr>
                <w:p>
                  <w:pPr>
                    <w:spacing w:line="360" w:lineRule="auto"/>
                    <w:jc w:val="center"/>
                    <w:rPr>
                      <w:sz w:val="22"/>
                      <w:szCs w:val="22"/>
                    </w:rPr>
                  </w:pPr>
                  <w:r>
                    <w:rPr>
                      <w:rFonts w:hint="eastAsia"/>
                      <w:sz w:val="22"/>
                      <w:szCs w:val="22"/>
                    </w:rPr>
                    <w:t>6</w:t>
                  </w:r>
                </w:p>
              </w:tc>
              <w:tc>
                <w:tcPr>
                  <w:tcW w:w="498" w:type="pct"/>
                  <w:tcBorders>
                    <w:tl2br w:val="nil"/>
                    <w:tr2bl w:val="nil"/>
                  </w:tcBorders>
                  <w:vAlign w:val="center"/>
                </w:tcPr>
                <w:p>
                  <w:pPr>
                    <w:spacing w:line="360" w:lineRule="auto"/>
                    <w:jc w:val="center"/>
                    <w:rPr>
                      <w:sz w:val="22"/>
                      <w:szCs w:val="22"/>
                    </w:rPr>
                  </w:pPr>
                  <w:r>
                    <w:rPr>
                      <w:rFonts w:hint="eastAsia"/>
                      <w:sz w:val="22"/>
                      <w:szCs w:val="22"/>
                    </w:rPr>
                    <w:t>达标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61" w:type="pct"/>
                  <w:vMerge w:val="continue"/>
                  <w:tcBorders>
                    <w:tl2br w:val="nil"/>
                    <w:tr2bl w:val="nil"/>
                  </w:tcBorders>
                  <w:vAlign w:val="center"/>
                </w:tcPr>
                <w:p>
                  <w:pPr>
                    <w:spacing w:line="360" w:lineRule="auto"/>
                    <w:jc w:val="center"/>
                    <w:rPr>
                      <w:sz w:val="22"/>
                      <w:szCs w:val="22"/>
                    </w:rPr>
                  </w:pPr>
                </w:p>
              </w:tc>
              <w:tc>
                <w:tcPr>
                  <w:tcW w:w="1055" w:type="pct"/>
                  <w:tcBorders>
                    <w:tl2br w:val="nil"/>
                    <w:tr2bl w:val="nil"/>
                  </w:tcBorders>
                  <w:vAlign w:val="center"/>
                </w:tcPr>
                <w:p>
                  <w:pPr>
                    <w:spacing w:line="360" w:lineRule="auto"/>
                    <w:jc w:val="center"/>
                    <w:rPr>
                      <w:sz w:val="22"/>
                      <w:szCs w:val="22"/>
                    </w:rPr>
                  </w:pPr>
                  <w:r>
                    <w:rPr>
                      <w:rFonts w:hint="eastAsia"/>
                      <w:sz w:val="22"/>
                      <w:szCs w:val="22"/>
                    </w:rPr>
                    <w:t>化学需氧量</w:t>
                  </w:r>
                </w:p>
              </w:tc>
              <w:tc>
                <w:tcPr>
                  <w:tcW w:w="1009" w:type="pct"/>
                  <w:tcBorders>
                    <w:tl2br w:val="nil"/>
                    <w:tr2bl w:val="nil"/>
                  </w:tcBorders>
                  <w:vAlign w:val="center"/>
                </w:tcPr>
                <w:p>
                  <w:pPr>
                    <w:spacing w:line="360" w:lineRule="auto"/>
                    <w:jc w:val="center"/>
                    <w:rPr>
                      <w:sz w:val="22"/>
                      <w:szCs w:val="22"/>
                    </w:rPr>
                  </w:pPr>
                  <w:r>
                    <w:rPr>
                      <w:rFonts w:hint="eastAsia"/>
                      <w:sz w:val="22"/>
                      <w:szCs w:val="22"/>
                    </w:rPr>
                    <w:t>8-16</w:t>
                  </w:r>
                </w:p>
              </w:tc>
              <w:tc>
                <w:tcPr>
                  <w:tcW w:w="551" w:type="pct"/>
                  <w:tcBorders>
                    <w:tl2br w:val="nil"/>
                    <w:tr2bl w:val="nil"/>
                  </w:tcBorders>
                  <w:vAlign w:val="center"/>
                </w:tcPr>
                <w:p>
                  <w:pPr>
                    <w:spacing w:line="360" w:lineRule="auto"/>
                    <w:jc w:val="center"/>
                    <w:rPr>
                      <w:sz w:val="22"/>
                      <w:szCs w:val="22"/>
                    </w:rPr>
                  </w:pPr>
                  <w:r>
                    <w:rPr>
                      <w:rFonts w:hint="eastAsia"/>
                      <w:sz w:val="22"/>
                      <w:szCs w:val="22"/>
                    </w:rPr>
                    <w:t>0</w:t>
                  </w:r>
                </w:p>
              </w:tc>
              <w:tc>
                <w:tcPr>
                  <w:tcW w:w="728" w:type="pct"/>
                  <w:tcBorders>
                    <w:tl2br w:val="nil"/>
                    <w:tr2bl w:val="nil"/>
                  </w:tcBorders>
                  <w:vAlign w:val="center"/>
                </w:tcPr>
                <w:p>
                  <w:pPr>
                    <w:spacing w:line="360" w:lineRule="auto"/>
                    <w:jc w:val="center"/>
                    <w:rPr>
                      <w:sz w:val="22"/>
                      <w:szCs w:val="22"/>
                    </w:rPr>
                  </w:pPr>
                  <w:r>
                    <w:rPr>
                      <w:rFonts w:hint="eastAsia"/>
                      <w:sz w:val="22"/>
                      <w:szCs w:val="22"/>
                    </w:rPr>
                    <w:t>0</w:t>
                  </w:r>
                </w:p>
              </w:tc>
              <w:tc>
                <w:tcPr>
                  <w:tcW w:w="595" w:type="pct"/>
                  <w:tcBorders>
                    <w:tl2br w:val="nil"/>
                    <w:tr2bl w:val="nil"/>
                  </w:tcBorders>
                  <w:vAlign w:val="center"/>
                </w:tcPr>
                <w:p>
                  <w:pPr>
                    <w:spacing w:line="360" w:lineRule="auto"/>
                    <w:jc w:val="center"/>
                    <w:rPr>
                      <w:sz w:val="22"/>
                      <w:szCs w:val="22"/>
                    </w:rPr>
                  </w:pPr>
                  <w:r>
                    <w:rPr>
                      <w:rFonts w:hint="eastAsia"/>
                      <w:sz w:val="22"/>
                      <w:szCs w:val="22"/>
                    </w:rPr>
                    <w:t>20</w:t>
                  </w:r>
                </w:p>
              </w:tc>
              <w:tc>
                <w:tcPr>
                  <w:tcW w:w="498" w:type="pct"/>
                  <w:tcBorders>
                    <w:tl2br w:val="nil"/>
                    <w:tr2bl w:val="nil"/>
                  </w:tcBorders>
                  <w:vAlign w:val="center"/>
                </w:tcPr>
                <w:p>
                  <w:pPr>
                    <w:spacing w:line="360" w:lineRule="auto"/>
                    <w:jc w:val="center"/>
                    <w:rPr>
                      <w:sz w:val="22"/>
                      <w:szCs w:val="22"/>
                    </w:rPr>
                  </w:pPr>
                  <w:r>
                    <w:rPr>
                      <w:rFonts w:hint="eastAsia"/>
                      <w:sz w:val="22"/>
                      <w:szCs w:val="22"/>
                    </w:rPr>
                    <w:t>达标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61" w:type="pct"/>
                  <w:vMerge w:val="continue"/>
                  <w:tcBorders>
                    <w:tl2br w:val="nil"/>
                    <w:tr2bl w:val="nil"/>
                  </w:tcBorders>
                  <w:vAlign w:val="center"/>
                </w:tcPr>
                <w:p>
                  <w:pPr>
                    <w:spacing w:line="360" w:lineRule="auto"/>
                    <w:jc w:val="center"/>
                    <w:rPr>
                      <w:sz w:val="22"/>
                      <w:szCs w:val="22"/>
                    </w:rPr>
                  </w:pPr>
                </w:p>
              </w:tc>
              <w:tc>
                <w:tcPr>
                  <w:tcW w:w="1055" w:type="pct"/>
                  <w:tcBorders>
                    <w:tl2br w:val="nil"/>
                    <w:tr2bl w:val="nil"/>
                  </w:tcBorders>
                  <w:vAlign w:val="center"/>
                </w:tcPr>
                <w:p>
                  <w:pPr>
                    <w:spacing w:line="360" w:lineRule="auto"/>
                    <w:jc w:val="center"/>
                    <w:rPr>
                      <w:sz w:val="22"/>
                      <w:szCs w:val="22"/>
                    </w:rPr>
                  </w:pPr>
                  <w:r>
                    <w:rPr>
                      <w:rFonts w:hint="eastAsia"/>
                      <w:sz w:val="22"/>
                      <w:szCs w:val="22"/>
                    </w:rPr>
                    <w:t>生化需氧量</w:t>
                  </w:r>
                </w:p>
              </w:tc>
              <w:tc>
                <w:tcPr>
                  <w:tcW w:w="1009" w:type="pct"/>
                  <w:tcBorders>
                    <w:tl2br w:val="nil"/>
                    <w:tr2bl w:val="nil"/>
                  </w:tcBorders>
                  <w:vAlign w:val="center"/>
                </w:tcPr>
                <w:p>
                  <w:pPr>
                    <w:spacing w:line="360" w:lineRule="auto"/>
                    <w:jc w:val="center"/>
                    <w:rPr>
                      <w:sz w:val="22"/>
                      <w:szCs w:val="22"/>
                    </w:rPr>
                  </w:pPr>
                  <w:r>
                    <w:rPr>
                      <w:rFonts w:hint="eastAsia"/>
                      <w:sz w:val="22"/>
                      <w:szCs w:val="22"/>
                    </w:rPr>
                    <w:t>0.9-2.7</w:t>
                  </w:r>
                </w:p>
              </w:tc>
              <w:tc>
                <w:tcPr>
                  <w:tcW w:w="551" w:type="pct"/>
                  <w:tcBorders>
                    <w:tl2br w:val="nil"/>
                    <w:tr2bl w:val="nil"/>
                  </w:tcBorders>
                  <w:vAlign w:val="center"/>
                </w:tcPr>
                <w:p>
                  <w:pPr>
                    <w:spacing w:line="360" w:lineRule="auto"/>
                    <w:jc w:val="center"/>
                    <w:rPr>
                      <w:sz w:val="22"/>
                      <w:szCs w:val="22"/>
                    </w:rPr>
                  </w:pPr>
                  <w:r>
                    <w:rPr>
                      <w:rFonts w:hint="eastAsia"/>
                      <w:sz w:val="22"/>
                      <w:szCs w:val="22"/>
                    </w:rPr>
                    <w:t>0</w:t>
                  </w:r>
                </w:p>
              </w:tc>
              <w:tc>
                <w:tcPr>
                  <w:tcW w:w="728" w:type="pct"/>
                  <w:tcBorders>
                    <w:tl2br w:val="nil"/>
                    <w:tr2bl w:val="nil"/>
                  </w:tcBorders>
                  <w:vAlign w:val="center"/>
                </w:tcPr>
                <w:p>
                  <w:pPr>
                    <w:spacing w:line="360" w:lineRule="auto"/>
                    <w:jc w:val="center"/>
                    <w:rPr>
                      <w:sz w:val="22"/>
                      <w:szCs w:val="22"/>
                    </w:rPr>
                  </w:pPr>
                  <w:r>
                    <w:rPr>
                      <w:rFonts w:hint="eastAsia"/>
                      <w:sz w:val="22"/>
                      <w:szCs w:val="22"/>
                    </w:rPr>
                    <w:t>0</w:t>
                  </w:r>
                </w:p>
              </w:tc>
              <w:tc>
                <w:tcPr>
                  <w:tcW w:w="595" w:type="pct"/>
                  <w:tcBorders>
                    <w:tl2br w:val="nil"/>
                    <w:tr2bl w:val="nil"/>
                  </w:tcBorders>
                  <w:vAlign w:val="center"/>
                </w:tcPr>
                <w:p>
                  <w:pPr>
                    <w:spacing w:line="360" w:lineRule="auto"/>
                    <w:jc w:val="center"/>
                    <w:rPr>
                      <w:sz w:val="22"/>
                      <w:szCs w:val="22"/>
                    </w:rPr>
                  </w:pPr>
                  <w:r>
                    <w:rPr>
                      <w:rFonts w:hint="eastAsia"/>
                      <w:sz w:val="22"/>
                      <w:szCs w:val="22"/>
                    </w:rPr>
                    <w:t>4</w:t>
                  </w:r>
                </w:p>
              </w:tc>
              <w:tc>
                <w:tcPr>
                  <w:tcW w:w="498" w:type="pct"/>
                  <w:tcBorders>
                    <w:tl2br w:val="nil"/>
                    <w:tr2bl w:val="nil"/>
                  </w:tcBorders>
                  <w:vAlign w:val="center"/>
                </w:tcPr>
                <w:p>
                  <w:pPr>
                    <w:spacing w:line="360" w:lineRule="auto"/>
                    <w:jc w:val="center"/>
                    <w:rPr>
                      <w:sz w:val="22"/>
                      <w:szCs w:val="22"/>
                    </w:rPr>
                  </w:pPr>
                  <w:r>
                    <w:rPr>
                      <w:rFonts w:hint="eastAsia"/>
                      <w:sz w:val="22"/>
                      <w:szCs w:val="22"/>
                    </w:rPr>
                    <w:t>达标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61" w:type="pct"/>
                  <w:vMerge w:val="continue"/>
                  <w:tcBorders>
                    <w:tl2br w:val="nil"/>
                    <w:tr2bl w:val="nil"/>
                  </w:tcBorders>
                  <w:vAlign w:val="center"/>
                </w:tcPr>
                <w:p>
                  <w:pPr>
                    <w:spacing w:line="360" w:lineRule="auto"/>
                    <w:jc w:val="center"/>
                    <w:rPr>
                      <w:sz w:val="22"/>
                      <w:szCs w:val="22"/>
                    </w:rPr>
                  </w:pPr>
                </w:p>
              </w:tc>
              <w:tc>
                <w:tcPr>
                  <w:tcW w:w="1055" w:type="pct"/>
                  <w:tcBorders>
                    <w:tl2br w:val="nil"/>
                    <w:tr2bl w:val="nil"/>
                  </w:tcBorders>
                  <w:vAlign w:val="center"/>
                </w:tcPr>
                <w:p>
                  <w:pPr>
                    <w:spacing w:line="360" w:lineRule="auto"/>
                    <w:jc w:val="center"/>
                    <w:rPr>
                      <w:sz w:val="22"/>
                      <w:szCs w:val="22"/>
                    </w:rPr>
                  </w:pPr>
                  <w:r>
                    <w:rPr>
                      <w:rFonts w:hint="eastAsia"/>
                      <w:sz w:val="22"/>
                      <w:szCs w:val="22"/>
                    </w:rPr>
                    <w:t>氨氮</w:t>
                  </w:r>
                </w:p>
              </w:tc>
              <w:tc>
                <w:tcPr>
                  <w:tcW w:w="1009" w:type="pct"/>
                  <w:tcBorders>
                    <w:tl2br w:val="nil"/>
                    <w:tr2bl w:val="nil"/>
                  </w:tcBorders>
                  <w:vAlign w:val="center"/>
                </w:tcPr>
                <w:p>
                  <w:pPr>
                    <w:spacing w:line="360" w:lineRule="auto"/>
                    <w:jc w:val="center"/>
                    <w:rPr>
                      <w:sz w:val="22"/>
                      <w:szCs w:val="22"/>
                    </w:rPr>
                  </w:pPr>
                  <w:r>
                    <w:rPr>
                      <w:rFonts w:hint="eastAsia"/>
                      <w:sz w:val="22"/>
                      <w:szCs w:val="22"/>
                    </w:rPr>
                    <w:t>ND-0.44</w:t>
                  </w:r>
                </w:p>
              </w:tc>
              <w:tc>
                <w:tcPr>
                  <w:tcW w:w="551" w:type="pct"/>
                  <w:tcBorders>
                    <w:tl2br w:val="nil"/>
                    <w:tr2bl w:val="nil"/>
                  </w:tcBorders>
                  <w:vAlign w:val="center"/>
                </w:tcPr>
                <w:p>
                  <w:pPr>
                    <w:spacing w:line="360" w:lineRule="auto"/>
                    <w:jc w:val="center"/>
                    <w:rPr>
                      <w:sz w:val="22"/>
                      <w:szCs w:val="22"/>
                    </w:rPr>
                  </w:pPr>
                  <w:r>
                    <w:rPr>
                      <w:rFonts w:hint="eastAsia"/>
                      <w:sz w:val="22"/>
                      <w:szCs w:val="22"/>
                    </w:rPr>
                    <w:t>0</w:t>
                  </w:r>
                </w:p>
              </w:tc>
              <w:tc>
                <w:tcPr>
                  <w:tcW w:w="728" w:type="pct"/>
                  <w:tcBorders>
                    <w:tl2br w:val="nil"/>
                    <w:tr2bl w:val="nil"/>
                  </w:tcBorders>
                  <w:vAlign w:val="center"/>
                </w:tcPr>
                <w:p>
                  <w:pPr>
                    <w:spacing w:line="360" w:lineRule="auto"/>
                    <w:jc w:val="center"/>
                    <w:rPr>
                      <w:sz w:val="22"/>
                      <w:szCs w:val="22"/>
                    </w:rPr>
                  </w:pPr>
                  <w:r>
                    <w:rPr>
                      <w:rFonts w:hint="eastAsia"/>
                      <w:sz w:val="22"/>
                      <w:szCs w:val="22"/>
                    </w:rPr>
                    <w:t>0</w:t>
                  </w:r>
                </w:p>
              </w:tc>
              <w:tc>
                <w:tcPr>
                  <w:tcW w:w="595" w:type="pct"/>
                  <w:tcBorders>
                    <w:tl2br w:val="nil"/>
                    <w:tr2bl w:val="nil"/>
                  </w:tcBorders>
                  <w:vAlign w:val="center"/>
                </w:tcPr>
                <w:p>
                  <w:pPr>
                    <w:spacing w:line="360" w:lineRule="auto"/>
                    <w:jc w:val="center"/>
                    <w:rPr>
                      <w:sz w:val="22"/>
                      <w:szCs w:val="22"/>
                    </w:rPr>
                  </w:pPr>
                  <w:r>
                    <w:rPr>
                      <w:rFonts w:hint="eastAsia"/>
                      <w:sz w:val="22"/>
                      <w:szCs w:val="22"/>
                    </w:rPr>
                    <w:t>1.0</w:t>
                  </w:r>
                </w:p>
              </w:tc>
              <w:tc>
                <w:tcPr>
                  <w:tcW w:w="498" w:type="pct"/>
                  <w:tcBorders>
                    <w:tl2br w:val="nil"/>
                    <w:tr2bl w:val="nil"/>
                  </w:tcBorders>
                  <w:vAlign w:val="center"/>
                </w:tcPr>
                <w:p>
                  <w:pPr>
                    <w:spacing w:line="360" w:lineRule="auto"/>
                    <w:jc w:val="center"/>
                    <w:rPr>
                      <w:sz w:val="22"/>
                      <w:szCs w:val="22"/>
                    </w:rPr>
                  </w:pPr>
                  <w:r>
                    <w:rPr>
                      <w:rFonts w:hint="eastAsia"/>
                      <w:sz w:val="22"/>
                      <w:szCs w:val="22"/>
                    </w:rPr>
                    <w:t>达标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61" w:type="pct"/>
                  <w:vMerge w:val="continue"/>
                  <w:tcBorders>
                    <w:tl2br w:val="nil"/>
                    <w:tr2bl w:val="nil"/>
                  </w:tcBorders>
                  <w:vAlign w:val="center"/>
                </w:tcPr>
                <w:p>
                  <w:pPr>
                    <w:spacing w:line="360" w:lineRule="auto"/>
                    <w:jc w:val="center"/>
                    <w:rPr>
                      <w:sz w:val="22"/>
                      <w:szCs w:val="22"/>
                    </w:rPr>
                  </w:pPr>
                </w:p>
              </w:tc>
              <w:tc>
                <w:tcPr>
                  <w:tcW w:w="1055" w:type="pct"/>
                  <w:tcBorders>
                    <w:tl2br w:val="nil"/>
                    <w:tr2bl w:val="nil"/>
                  </w:tcBorders>
                  <w:vAlign w:val="center"/>
                </w:tcPr>
                <w:p>
                  <w:pPr>
                    <w:spacing w:line="360" w:lineRule="auto"/>
                    <w:jc w:val="center"/>
                    <w:rPr>
                      <w:sz w:val="22"/>
                      <w:szCs w:val="22"/>
                    </w:rPr>
                  </w:pPr>
                  <w:r>
                    <w:rPr>
                      <w:rFonts w:hint="eastAsia"/>
                      <w:sz w:val="22"/>
                      <w:szCs w:val="22"/>
                    </w:rPr>
                    <w:t>总磷</w:t>
                  </w:r>
                </w:p>
              </w:tc>
              <w:tc>
                <w:tcPr>
                  <w:tcW w:w="1009" w:type="pct"/>
                  <w:tcBorders>
                    <w:tl2br w:val="nil"/>
                    <w:tr2bl w:val="nil"/>
                  </w:tcBorders>
                  <w:vAlign w:val="center"/>
                </w:tcPr>
                <w:p>
                  <w:pPr>
                    <w:spacing w:line="360" w:lineRule="auto"/>
                    <w:jc w:val="center"/>
                    <w:rPr>
                      <w:sz w:val="22"/>
                      <w:szCs w:val="22"/>
                    </w:rPr>
                  </w:pPr>
                  <w:r>
                    <w:rPr>
                      <w:rFonts w:hint="eastAsia"/>
                      <w:sz w:val="22"/>
                      <w:szCs w:val="22"/>
                    </w:rPr>
                    <w:t>0.01-0.03</w:t>
                  </w:r>
                </w:p>
              </w:tc>
              <w:tc>
                <w:tcPr>
                  <w:tcW w:w="551" w:type="pct"/>
                  <w:tcBorders>
                    <w:tl2br w:val="nil"/>
                    <w:tr2bl w:val="nil"/>
                  </w:tcBorders>
                  <w:vAlign w:val="center"/>
                </w:tcPr>
                <w:p>
                  <w:pPr>
                    <w:spacing w:line="360" w:lineRule="auto"/>
                    <w:jc w:val="center"/>
                    <w:rPr>
                      <w:sz w:val="22"/>
                      <w:szCs w:val="22"/>
                    </w:rPr>
                  </w:pPr>
                  <w:r>
                    <w:rPr>
                      <w:rFonts w:hint="eastAsia"/>
                      <w:sz w:val="22"/>
                      <w:szCs w:val="22"/>
                    </w:rPr>
                    <w:t>0</w:t>
                  </w:r>
                </w:p>
              </w:tc>
              <w:tc>
                <w:tcPr>
                  <w:tcW w:w="728" w:type="pct"/>
                  <w:tcBorders>
                    <w:tl2br w:val="nil"/>
                    <w:tr2bl w:val="nil"/>
                  </w:tcBorders>
                  <w:vAlign w:val="center"/>
                </w:tcPr>
                <w:p>
                  <w:pPr>
                    <w:spacing w:line="360" w:lineRule="auto"/>
                    <w:jc w:val="center"/>
                    <w:rPr>
                      <w:sz w:val="22"/>
                      <w:szCs w:val="22"/>
                    </w:rPr>
                  </w:pPr>
                  <w:r>
                    <w:rPr>
                      <w:rFonts w:hint="eastAsia"/>
                      <w:sz w:val="22"/>
                      <w:szCs w:val="22"/>
                    </w:rPr>
                    <w:t>0</w:t>
                  </w:r>
                </w:p>
              </w:tc>
              <w:tc>
                <w:tcPr>
                  <w:tcW w:w="595" w:type="pct"/>
                  <w:tcBorders>
                    <w:tl2br w:val="nil"/>
                    <w:tr2bl w:val="nil"/>
                  </w:tcBorders>
                  <w:vAlign w:val="center"/>
                </w:tcPr>
                <w:p>
                  <w:pPr>
                    <w:spacing w:line="360" w:lineRule="auto"/>
                    <w:jc w:val="center"/>
                    <w:rPr>
                      <w:sz w:val="22"/>
                      <w:szCs w:val="22"/>
                    </w:rPr>
                  </w:pPr>
                  <w:r>
                    <w:rPr>
                      <w:rFonts w:hint="eastAsia"/>
                      <w:sz w:val="22"/>
                      <w:szCs w:val="22"/>
                    </w:rPr>
                    <w:t>0.2</w:t>
                  </w:r>
                </w:p>
              </w:tc>
              <w:tc>
                <w:tcPr>
                  <w:tcW w:w="498" w:type="pct"/>
                  <w:tcBorders>
                    <w:tl2br w:val="nil"/>
                    <w:tr2bl w:val="nil"/>
                  </w:tcBorders>
                  <w:vAlign w:val="center"/>
                </w:tcPr>
                <w:p>
                  <w:pPr>
                    <w:spacing w:line="360" w:lineRule="auto"/>
                    <w:jc w:val="center"/>
                    <w:rPr>
                      <w:sz w:val="22"/>
                      <w:szCs w:val="22"/>
                    </w:rPr>
                  </w:pPr>
                  <w:r>
                    <w:rPr>
                      <w:rFonts w:hint="eastAsia"/>
                      <w:sz w:val="22"/>
                      <w:szCs w:val="22"/>
                    </w:rPr>
                    <w:t>达标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61" w:type="pct"/>
                  <w:vMerge w:val="continue"/>
                  <w:tcBorders>
                    <w:tl2br w:val="nil"/>
                    <w:tr2bl w:val="nil"/>
                  </w:tcBorders>
                  <w:vAlign w:val="center"/>
                </w:tcPr>
                <w:p>
                  <w:pPr>
                    <w:spacing w:line="360" w:lineRule="auto"/>
                    <w:jc w:val="center"/>
                    <w:rPr>
                      <w:sz w:val="22"/>
                      <w:szCs w:val="22"/>
                    </w:rPr>
                  </w:pPr>
                </w:p>
              </w:tc>
              <w:tc>
                <w:tcPr>
                  <w:tcW w:w="1055" w:type="pct"/>
                  <w:tcBorders>
                    <w:tl2br w:val="nil"/>
                    <w:tr2bl w:val="nil"/>
                  </w:tcBorders>
                  <w:vAlign w:val="center"/>
                </w:tcPr>
                <w:p>
                  <w:pPr>
                    <w:spacing w:line="360" w:lineRule="auto"/>
                    <w:jc w:val="center"/>
                    <w:rPr>
                      <w:sz w:val="22"/>
                      <w:szCs w:val="22"/>
                    </w:rPr>
                  </w:pPr>
                  <w:r>
                    <w:rPr>
                      <w:rFonts w:hint="eastAsia"/>
                      <w:sz w:val="22"/>
                      <w:szCs w:val="22"/>
                    </w:rPr>
                    <w:t>挥发酚</w:t>
                  </w:r>
                </w:p>
              </w:tc>
              <w:tc>
                <w:tcPr>
                  <w:tcW w:w="1009" w:type="pct"/>
                  <w:tcBorders>
                    <w:tl2br w:val="nil"/>
                    <w:tr2bl w:val="nil"/>
                  </w:tcBorders>
                  <w:vAlign w:val="center"/>
                </w:tcPr>
                <w:p>
                  <w:pPr>
                    <w:spacing w:line="360" w:lineRule="auto"/>
                    <w:jc w:val="center"/>
                    <w:rPr>
                      <w:sz w:val="22"/>
                      <w:szCs w:val="22"/>
                    </w:rPr>
                  </w:pPr>
                  <w:r>
                    <w:rPr>
                      <w:rFonts w:hint="eastAsia"/>
                      <w:sz w:val="22"/>
                      <w:szCs w:val="22"/>
                    </w:rPr>
                    <w:t>0.0003ND</w:t>
                  </w:r>
                </w:p>
              </w:tc>
              <w:tc>
                <w:tcPr>
                  <w:tcW w:w="551" w:type="pct"/>
                  <w:tcBorders>
                    <w:tl2br w:val="nil"/>
                    <w:tr2bl w:val="nil"/>
                  </w:tcBorders>
                  <w:vAlign w:val="center"/>
                </w:tcPr>
                <w:p>
                  <w:pPr>
                    <w:spacing w:line="360" w:lineRule="auto"/>
                    <w:jc w:val="center"/>
                    <w:rPr>
                      <w:sz w:val="22"/>
                      <w:szCs w:val="22"/>
                    </w:rPr>
                  </w:pPr>
                  <w:r>
                    <w:rPr>
                      <w:rFonts w:hint="eastAsia"/>
                      <w:sz w:val="22"/>
                      <w:szCs w:val="22"/>
                    </w:rPr>
                    <w:t>0</w:t>
                  </w:r>
                </w:p>
              </w:tc>
              <w:tc>
                <w:tcPr>
                  <w:tcW w:w="728" w:type="pct"/>
                  <w:tcBorders>
                    <w:tl2br w:val="nil"/>
                    <w:tr2bl w:val="nil"/>
                  </w:tcBorders>
                  <w:vAlign w:val="center"/>
                </w:tcPr>
                <w:p>
                  <w:pPr>
                    <w:spacing w:line="360" w:lineRule="auto"/>
                    <w:jc w:val="center"/>
                    <w:rPr>
                      <w:sz w:val="22"/>
                      <w:szCs w:val="22"/>
                    </w:rPr>
                  </w:pPr>
                  <w:r>
                    <w:rPr>
                      <w:rFonts w:hint="eastAsia"/>
                      <w:sz w:val="22"/>
                      <w:szCs w:val="22"/>
                    </w:rPr>
                    <w:t>0</w:t>
                  </w:r>
                </w:p>
              </w:tc>
              <w:tc>
                <w:tcPr>
                  <w:tcW w:w="595" w:type="pct"/>
                  <w:tcBorders>
                    <w:tl2br w:val="nil"/>
                    <w:tr2bl w:val="nil"/>
                  </w:tcBorders>
                  <w:vAlign w:val="center"/>
                </w:tcPr>
                <w:p>
                  <w:pPr>
                    <w:spacing w:line="360" w:lineRule="auto"/>
                    <w:jc w:val="center"/>
                    <w:rPr>
                      <w:sz w:val="22"/>
                      <w:szCs w:val="22"/>
                    </w:rPr>
                  </w:pPr>
                  <w:r>
                    <w:rPr>
                      <w:rFonts w:hint="eastAsia"/>
                      <w:sz w:val="22"/>
                      <w:szCs w:val="22"/>
                    </w:rPr>
                    <w:t>0.005</w:t>
                  </w:r>
                </w:p>
              </w:tc>
              <w:tc>
                <w:tcPr>
                  <w:tcW w:w="498" w:type="pct"/>
                  <w:tcBorders>
                    <w:tl2br w:val="nil"/>
                    <w:tr2bl w:val="nil"/>
                  </w:tcBorders>
                  <w:vAlign w:val="center"/>
                </w:tcPr>
                <w:p>
                  <w:pPr>
                    <w:spacing w:line="360" w:lineRule="auto"/>
                    <w:jc w:val="center"/>
                    <w:rPr>
                      <w:sz w:val="22"/>
                      <w:szCs w:val="22"/>
                    </w:rPr>
                  </w:pPr>
                  <w:r>
                    <w:rPr>
                      <w:rFonts w:hint="eastAsia"/>
                      <w:sz w:val="22"/>
                      <w:szCs w:val="22"/>
                    </w:rPr>
                    <w:t>达标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61" w:type="pct"/>
                  <w:vMerge w:val="continue"/>
                  <w:tcBorders>
                    <w:tl2br w:val="nil"/>
                    <w:tr2bl w:val="nil"/>
                  </w:tcBorders>
                  <w:vAlign w:val="center"/>
                </w:tcPr>
                <w:p>
                  <w:pPr>
                    <w:spacing w:line="360" w:lineRule="auto"/>
                    <w:jc w:val="center"/>
                    <w:rPr>
                      <w:sz w:val="22"/>
                      <w:szCs w:val="22"/>
                    </w:rPr>
                  </w:pPr>
                </w:p>
              </w:tc>
              <w:tc>
                <w:tcPr>
                  <w:tcW w:w="1055" w:type="pct"/>
                  <w:tcBorders>
                    <w:tl2br w:val="nil"/>
                    <w:tr2bl w:val="nil"/>
                  </w:tcBorders>
                  <w:vAlign w:val="center"/>
                </w:tcPr>
                <w:p>
                  <w:pPr>
                    <w:spacing w:line="360" w:lineRule="auto"/>
                    <w:jc w:val="center"/>
                    <w:rPr>
                      <w:sz w:val="22"/>
                      <w:szCs w:val="22"/>
                    </w:rPr>
                  </w:pPr>
                  <w:r>
                    <w:rPr>
                      <w:rFonts w:hint="eastAsia"/>
                      <w:sz w:val="22"/>
                      <w:szCs w:val="22"/>
                    </w:rPr>
                    <w:t>石油类</w:t>
                  </w:r>
                </w:p>
              </w:tc>
              <w:tc>
                <w:tcPr>
                  <w:tcW w:w="1009" w:type="pct"/>
                  <w:tcBorders>
                    <w:tl2br w:val="nil"/>
                    <w:tr2bl w:val="nil"/>
                  </w:tcBorders>
                  <w:vAlign w:val="center"/>
                </w:tcPr>
                <w:p>
                  <w:pPr>
                    <w:spacing w:line="360" w:lineRule="auto"/>
                    <w:jc w:val="center"/>
                    <w:rPr>
                      <w:sz w:val="22"/>
                      <w:szCs w:val="22"/>
                    </w:rPr>
                  </w:pPr>
                  <w:r>
                    <w:rPr>
                      <w:rFonts w:hint="eastAsia"/>
                      <w:sz w:val="22"/>
                      <w:szCs w:val="22"/>
                    </w:rPr>
                    <w:t>0.01-0.02</w:t>
                  </w:r>
                </w:p>
              </w:tc>
              <w:tc>
                <w:tcPr>
                  <w:tcW w:w="551" w:type="pct"/>
                  <w:tcBorders>
                    <w:tl2br w:val="nil"/>
                    <w:tr2bl w:val="nil"/>
                  </w:tcBorders>
                  <w:vAlign w:val="center"/>
                </w:tcPr>
                <w:p>
                  <w:pPr>
                    <w:spacing w:line="360" w:lineRule="auto"/>
                    <w:jc w:val="center"/>
                    <w:rPr>
                      <w:sz w:val="22"/>
                      <w:szCs w:val="22"/>
                    </w:rPr>
                  </w:pPr>
                  <w:r>
                    <w:rPr>
                      <w:rFonts w:hint="eastAsia"/>
                      <w:sz w:val="22"/>
                      <w:szCs w:val="22"/>
                    </w:rPr>
                    <w:t>0</w:t>
                  </w:r>
                </w:p>
              </w:tc>
              <w:tc>
                <w:tcPr>
                  <w:tcW w:w="728" w:type="pct"/>
                  <w:tcBorders>
                    <w:tl2br w:val="nil"/>
                    <w:tr2bl w:val="nil"/>
                  </w:tcBorders>
                  <w:vAlign w:val="center"/>
                </w:tcPr>
                <w:p>
                  <w:pPr>
                    <w:spacing w:line="360" w:lineRule="auto"/>
                    <w:jc w:val="center"/>
                    <w:rPr>
                      <w:sz w:val="22"/>
                      <w:szCs w:val="22"/>
                    </w:rPr>
                  </w:pPr>
                  <w:r>
                    <w:rPr>
                      <w:rFonts w:hint="eastAsia"/>
                      <w:sz w:val="22"/>
                      <w:szCs w:val="22"/>
                    </w:rPr>
                    <w:t>0</w:t>
                  </w:r>
                </w:p>
              </w:tc>
              <w:tc>
                <w:tcPr>
                  <w:tcW w:w="595" w:type="pct"/>
                  <w:tcBorders>
                    <w:tl2br w:val="nil"/>
                    <w:tr2bl w:val="nil"/>
                  </w:tcBorders>
                  <w:vAlign w:val="center"/>
                </w:tcPr>
                <w:p>
                  <w:pPr>
                    <w:spacing w:line="360" w:lineRule="auto"/>
                    <w:jc w:val="center"/>
                    <w:rPr>
                      <w:sz w:val="22"/>
                      <w:szCs w:val="22"/>
                    </w:rPr>
                  </w:pPr>
                  <w:r>
                    <w:rPr>
                      <w:rFonts w:hint="eastAsia"/>
                      <w:sz w:val="22"/>
                      <w:szCs w:val="22"/>
                    </w:rPr>
                    <w:t>0.05</w:t>
                  </w:r>
                </w:p>
              </w:tc>
              <w:tc>
                <w:tcPr>
                  <w:tcW w:w="498" w:type="pct"/>
                  <w:tcBorders>
                    <w:tl2br w:val="nil"/>
                    <w:tr2bl w:val="nil"/>
                  </w:tcBorders>
                  <w:vAlign w:val="center"/>
                </w:tcPr>
                <w:p>
                  <w:pPr>
                    <w:spacing w:line="360" w:lineRule="auto"/>
                    <w:jc w:val="center"/>
                    <w:rPr>
                      <w:sz w:val="22"/>
                      <w:szCs w:val="22"/>
                    </w:rPr>
                  </w:pPr>
                  <w:r>
                    <w:rPr>
                      <w:rFonts w:hint="eastAsia"/>
                      <w:sz w:val="22"/>
                      <w:szCs w:val="22"/>
                    </w:rPr>
                    <w:t>达标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61" w:type="pct"/>
                  <w:vMerge w:val="continue"/>
                  <w:tcBorders>
                    <w:tl2br w:val="nil"/>
                    <w:tr2bl w:val="nil"/>
                  </w:tcBorders>
                  <w:vAlign w:val="center"/>
                </w:tcPr>
                <w:p>
                  <w:pPr>
                    <w:spacing w:line="360" w:lineRule="auto"/>
                    <w:jc w:val="center"/>
                    <w:rPr>
                      <w:sz w:val="22"/>
                      <w:szCs w:val="22"/>
                    </w:rPr>
                  </w:pPr>
                </w:p>
              </w:tc>
              <w:tc>
                <w:tcPr>
                  <w:tcW w:w="1055" w:type="pct"/>
                  <w:tcBorders>
                    <w:tl2br w:val="nil"/>
                    <w:tr2bl w:val="nil"/>
                  </w:tcBorders>
                  <w:vAlign w:val="center"/>
                </w:tcPr>
                <w:p>
                  <w:pPr>
                    <w:spacing w:line="360" w:lineRule="auto"/>
                    <w:jc w:val="center"/>
                    <w:rPr>
                      <w:sz w:val="22"/>
                      <w:szCs w:val="22"/>
                    </w:rPr>
                  </w:pPr>
                  <w:r>
                    <w:rPr>
                      <w:rFonts w:hint="eastAsia"/>
                      <w:sz w:val="22"/>
                      <w:szCs w:val="22"/>
                    </w:rPr>
                    <w:t>LAS</w:t>
                  </w:r>
                </w:p>
              </w:tc>
              <w:tc>
                <w:tcPr>
                  <w:tcW w:w="1009" w:type="pct"/>
                  <w:tcBorders>
                    <w:tl2br w:val="nil"/>
                    <w:tr2bl w:val="nil"/>
                  </w:tcBorders>
                  <w:vAlign w:val="center"/>
                </w:tcPr>
                <w:p>
                  <w:pPr>
                    <w:spacing w:line="360" w:lineRule="auto"/>
                    <w:jc w:val="center"/>
                    <w:rPr>
                      <w:sz w:val="22"/>
                      <w:szCs w:val="22"/>
                    </w:rPr>
                  </w:pPr>
                  <w:r>
                    <w:rPr>
                      <w:rFonts w:hint="eastAsia"/>
                      <w:sz w:val="22"/>
                      <w:szCs w:val="22"/>
                    </w:rPr>
                    <w:t>0.05ND</w:t>
                  </w:r>
                </w:p>
              </w:tc>
              <w:tc>
                <w:tcPr>
                  <w:tcW w:w="551" w:type="pct"/>
                  <w:tcBorders>
                    <w:tl2br w:val="nil"/>
                    <w:tr2bl w:val="nil"/>
                  </w:tcBorders>
                  <w:vAlign w:val="center"/>
                </w:tcPr>
                <w:p>
                  <w:pPr>
                    <w:spacing w:line="360" w:lineRule="auto"/>
                    <w:jc w:val="center"/>
                    <w:rPr>
                      <w:sz w:val="22"/>
                      <w:szCs w:val="22"/>
                    </w:rPr>
                  </w:pPr>
                  <w:r>
                    <w:rPr>
                      <w:rFonts w:hint="eastAsia"/>
                      <w:sz w:val="22"/>
                      <w:szCs w:val="22"/>
                    </w:rPr>
                    <w:t>0</w:t>
                  </w:r>
                </w:p>
              </w:tc>
              <w:tc>
                <w:tcPr>
                  <w:tcW w:w="728" w:type="pct"/>
                  <w:tcBorders>
                    <w:tl2br w:val="nil"/>
                    <w:tr2bl w:val="nil"/>
                  </w:tcBorders>
                  <w:vAlign w:val="center"/>
                </w:tcPr>
                <w:p>
                  <w:pPr>
                    <w:spacing w:line="360" w:lineRule="auto"/>
                    <w:jc w:val="center"/>
                    <w:rPr>
                      <w:sz w:val="22"/>
                      <w:szCs w:val="22"/>
                    </w:rPr>
                  </w:pPr>
                  <w:r>
                    <w:rPr>
                      <w:rFonts w:hint="eastAsia"/>
                      <w:sz w:val="22"/>
                      <w:szCs w:val="22"/>
                    </w:rPr>
                    <w:t>0</w:t>
                  </w:r>
                </w:p>
              </w:tc>
              <w:tc>
                <w:tcPr>
                  <w:tcW w:w="595" w:type="pct"/>
                  <w:tcBorders>
                    <w:tl2br w:val="nil"/>
                    <w:tr2bl w:val="nil"/>
                  </w:tcBorders>
                  <w:vAlign w:val="center"/>
                </w:tcPr>
                <w:p>
                  <w:pPr>
                    <w:spacing w:line="360" w:lineRule="auto"/>
                    <w:jc w:val="center"/>
                    <w:rPr>
                      <w:sz w:val="22"/>
                      <w:szCs w:val="22"/>
                    </w:rPr>
                  </w:pPr>
                  <w:r>
                    <w:rPr>
                      <w:rFonts w:hint="eastAsia"/>
                      <w:sz w:val="22"/>
                      <w:szCs w:val="22"/>
                    </w:rPr>
                    <w:t>0.2</w:t>
                  </w:r>
                </w:p>
              </w:tc>
              <w:tc>
                <w:tcPr>
                  <w:tcW w:w="498" w:type="pct"/>
                  <w:tcBorders>
                    <w:tl2br w:val="nil"/>
                    <w:tr2bl w:val="nil"/>
                  </w:tcBorders>
                  <w:vAlign w:val="center"/>
                </w:tcPr>
                <w:p>
                  <w:pPr>
                    <w:spacing w:line="360" w:lineRule="auto"/>
                    <w:jc w:val="center"/>
                    <w:rPr>
                      <w:sz w:val="22"/>
                      <w:szCs w:val="22"/>
                    </w:rPr>
                  </w:pPr>
                  <w:r>
                    <w:rPr>
                      <w:rFonts w:hint="eastAsia"/>
                      <w:sz w:val="22"/>
                      <w:szCs w:val="22"/>
                    </w:rPr>
                    <w:t>达标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61" w:type="pct"/>
                  <w:vMerge w:val="continue"/>
                  <w:tcBorders>
                    <w:tl2br w:val="nil"/>
                    <w:tr2bl w:val="nil"/>
                  </w:tcBorders>
                  <w:vAlign w:val="center"/>
                </w:tcPr>
                <w:p>
                  <w:pPr>
                    <w:spacing w:line="360" w:lineRule="auto"/>
                    <w:jc w:val="center"/>
                    <w:rPr>
                      <w:sz w:val="22"/>
                      <w:szCs w:val="22"/>
                    </w:rPr>
                  </w:pPr>
                </w:p>
              </w:tc>
              <w:tc>
                <w:tcPr>
                  <w:tcW w:w="1055" w:type="pct"/>
                  <w:tcBorders>
                    <w:tl2br w:val="nil"/>
                    <w:tr2bl w:val="nil"/>
                  </w:tcBorders>
                  <w:vAlign w:val="center"/>
                </w:tcPr>
                <w:p>
                  <w:pPr>
                    <w:spacing w:line="360" w:lineRule="auto"/>
                    <w:jc w:val="center"/>
                    <w:rPr>
                      <w:sz w:val="22"/>
                      <w:szCs w:val="22"/>
                    </w:rPr>
                  </w:pPr>
                  <w:r>
                    <w:rPr>
                      <w:rFonts w:hint="eastAsia"/>
                      <w:sz w:val="22"/>
                      <w:szCs w:val="22"/>
                    </w:rPr>
                    <w:t>粪大肠菌群</w:t>
                  </w:r>
                </w:p>
              </w:tc>
              <w:tc>
                <w:tcPr>
                  <w:tcW w:w="1009" w:type="pct"/>
                  <w:tcBorders>
                    <w:tl2br w:val="nil"/>
                    <w:tr2bl w:val="nil"/>
                  </w:tcBorders>
                  <w:vAlign w:val="center"/>
                </w:tcPr>
                <w:p>
                  <w:pPr>
                    <w:spacing w:line="360" w:lineRule="auto"/>
                    <w:jc w:val="center"/>
                    <w:rPr>
                      <w:sz w:val="22"/>
                      <w:szCs w:val="22"/>
                    </w:rPr>
                  </w:pPr>
                  <w:r>
                    <w:rPr>
                      <w:rFonts w:hint="eastAsia"/>
                      <w:sz w:val="22"/>
                      <w:szCs w:val="22"/>
                    </w:rPr>
                    <w:t>2833-9200</w:t>
                  </w:r>
                </w:p>
              </w:tc>
              <w:tc>
                <w:tcPr>
                  <w:tcW w:w="551" w:type="pct"/>
                  <w:tcBorders>
                    <w:tl2br w:val="nil"/>
                    <w:tr2bl w:val="nil"/>
                  </w:tcBorders>
                  <w:vAlign w:val="center"/>
                </w:tcPr>
                <w:p>
                  <w:pPr>
                    <w:spacing w:line="360" w:lineRule="auto"/>
                    <w:jc w:val="center"/>
                    <w:rPr>
                      <w:sz w:val="22"/>
                      <w:szCs w:val="22"/>
                    </w:rPr>
                  </w:pPr>
                  <w:r>
                    <w:rPr>
                      <w:rFonts w:hint="eastAsia"/>
                      <w:sz w:val="22"/>
                      <w:szCs w:val="22"/>
                    </w:rPr>
                    <w:t>0</w:t>
                  </w:r>
                </w:p>
              </w:tc>
              <w:tc>
                <w:tcPr>
                  <w:tcW w:w="728" w:type="pct"/>
                  <w:tcBorders>
                    <w:tl2br w:val="nil"/>
                    <w:tr2bl w:val="nil"/>
                  </w:tcBorders>
                  <w:vAlign w:val="center"/>
                </w:tcPr>
                <w:p>
                  <w:pPr>
                    <w:spacing w:line="360" w:lineRule="auto"/>
                    <w:jc w:val="center"/>
                    <w:rPr>
                      <w:sz w:val="22"/>
                      <w:szCs w:val="22"/>
                    </w:rPr>
                  </w:pPr>
                  <w:r>
                    <w:rPr>
                      <w:rFonts w:hint="eastAsia"/>
                      <w:sz w:val="22"/>
                      <w:szCs w:val="22"/>
                    </w:rPr>
                    <w:t>0</w:t>
                  </w:r>
                </w:p>
              </w:tc>
              <w:tc>
                <w:tcPr>
                  <w:tcW w:w="595" w:type="pct"/>
                  <w:tcBorders>
                    <w:tl2br w:val="nil"/>
                    <w:tr2bl w:val="nil"/>
                  </w:tcBorders>
                  <w:vAlign w:val="center"/>
                </w:tcPr>
                <w:p>
                  <w:pPr>
                    <w:spacing w:line="360" w:lineRule="auto"/>
                    <w:jc w:val="center"/>
                    <w:rPr>
                      <w:sz w:val="22"/>
                      <w:szCs w:val="22"/>
                    </w:rPr>
                  </w:pPr>
                  <w:r>
                    <w:rPr>
                      <w:rFonts w:hint="eastAsia"/>
                      <w:sz w:val="22"/>
                      <w:szCs w:val="22"/>
                    </w:rPr>
                    <w:t>10000</w:t>
                  </w:r>
                </w:p>
              </w:tc>
              <w:tc>
                <w:tcPr>
                  <w:tcW w:w="498" w:type="pct"/>
                  <w:tcBorders>
                    <w:tl2br w:val="nil"/>
                    <w:tr2bl w:val="nil"/>
                  </w:tcBorders>
                  <w:vAlign w:val="center"/>
                </w:tcPr>
                <w:p>
                  <w:pPr>
                    <w:spacing w:line="360" w:lineRule="auto"/>
                    <w:jc w:val="center"/>
                    <w:rPr>
                      <w:sz w:val="22"/>
                      <w:szCs w:val="22"/>
                    </w:rPr>
                  </w:pPr>
                  <w:r>
                    <w:rPr>
                      <w:rFonts w:hint="eastAsia"/>
                      <w:sz w:val="22"/>
                      <w:szCs w:val="22"/>
                    </w:rPr>
                    <w:t>达标</w:t>
                  </w:r>
                </w:p>
              </w:tc>
            </w:tr>
          </w:tbl>
          <w:p>
            <w:pPr>
              <w:pStyle w:val="85"/>
              <w:spacing w:line="360" w:lineRule="auto"/>
            </w:pPr>
            <w:r>
              <w:rPr>
                <w:bCs/>
              </w:rPr>
              <w:t>由表可知，湘江乌龙</w:t>
            </w:r>
            <w:r>
              <w:rPr>
                <w:rFonts w:hint="eastAsia"/>
                <w:bCs/>
              </w:rPr>
              <w:t>嘴</w:t>
            </w:r>
            <w:r>
              <w:rPr>
                <w:bCs/>
              </w:rPr>
              <w:t>断面水质各项指标均达到《地表水环境质量标准》（GB3838-2002）中Ⅲ类标准，区域水质状况良好</w:t>
            </w:r>
            <w:r>
              <w:rPr>
                <w:rFonts w:eastAsia="宋体"/>
              </w:rPr>
              <w:t>。</w:t>
            </w:r>
          </w:p>
          <w:p>
            <w:pPr>
              <w:numPr>
                <w:ilvl w:val="0"/>
                <w:numId w:val="1"/>
              </w:numPr>
              <w:spacing w:line="360" w:lineRule="auto"/>
              <w:ind w:firstLine="482" w:firstLineChars="200"/>
              <w:rPr>
                <w:b/>
              </w:rPr>
            </w:pPr>
            <w:r>
              <w:rPr>
                <w:b/>
                <w:sz w:val="24"/>
              </w:rPr>
              <w:t>声环境质量现状</w:t>
            </w:r>
          </w:p>
          <w:p>
            <w:pPr>
              <w:spacing w:line="360" w:lineRule="auto"/>
              <w:ind w:firstLine="480" w:firstLineChars="200"/>
              <w:rPr>
                <w:sz w:val="24"/>
              </w:rPr>
            </w:pPr>
            <w:r>
              <w:rPr>
                <w:rFonts w:hint="eastAsia"/>
                <w:sz w:val="24"/>
              </w:rPr>
              <w:t>引用湖南九鼎环保科技有限公司2021年3月26日对项</w:t>
            </w:r>
            <w:r>
              <w:rPr>
                <w:rFonts w:hint="eastAsia"/>
                <w:color w:val="auto"/>
                <w:sz w:val="24"/>
              </w:rPr>
              <w:t>目上岸码头所</w:t>
            </w:r>
            <w:r>
              <w:rPr>
                <w:rFonts w:hint="eastAsia"/>
                <w:sz w:val="24"/>
              </w:rPr>
              <w:t>在地居民点进行监测，监测结果如下：</w:t>
            </w:r>
          </w:p>
          <w:p>
            <w:pPr>
              <w:spacing w:line="360" w:lineRule="auto"/>
              <w:ind w:firstLine="480" w:firstLineChars="200"/>
              <w:jc w:val="left"/>
              <w:rPr>
                <w:sz w:val="24"/>
              </w:rPr>
            </w:pPr>
            <w:r>
              <w:rPr>
                <w:sz w:val="24"/>
              </w:rPr>
              <w:t>（1）监测点设置：</w:t>
            </w:r>
          </w:p>
          <w:p>
            <w:pPr>
              <w:spacing w:line="360" w:lineRule="auto"/>
              <w:ind w:firstLine="480" w:firstLineChars="200"/>
              <w:rPr>
                <w:sz w:val="24"/>
              </w:rPr>
            </w:pPr>
            <w:r>
              <w:rPr>
                <w:sz w:val="24"/>
              </w:rPr>
              <w:t>Z1——</w:t>
            </w:r>
            <w:r>
              <w:rPr>
                <w:rFonts w:hint="eastAsia"/>
                <w:sz w:val="24"/>
              </w:rPr>
              <w:t>项目所在地附近渔业新村；</w:t>
            </w:r>
          </w:p>
          <w:p>
            <w:pPr>
              <w:spacing w:line="360" w:lineRule="auto"/>
              <w:ind w:firstLine="480" w:firstLineChars="200"/>
              <w:rPr>
                <w:sz w:val="24"/>
                <w:vertAlign w:val="subscript"/>
              </w:rPr>
            </w:pPr>
            <w:r>
              <w:rPr>
                <w:sz w:val="24"/>
              </w:rPr>
              <w:t>（2）监测因子：</w:t>
            </w:r>
            <w:r>
              <w:rPr>
                <w:rFonts w:hAnsi="Arial Narrow"/>
                <w:sz w:val="24"/>
              </w:rPr>
              <w:t>等效连续</w:t>
            </w:r>
            <w:r>
              <w:rPr>
                <w:sz w:val="24"/>
              </w:rPr>
              <w:t>A</w:t>
            </w:r>
            <w:r>
              <w:rPr>
                <w:rFonts w:hAnsi="Arial Narrow"/>
                <w:sz w:val="24"/>
              </w:rPr>
              <w:t>声级</w:t>
            </w:r>
            <w:r>
              <w:rPr>
                <w:sz w:val="24"/>
              </w:rPr>
              <w:t>L</w:t>
            </w:r>
            <w:r>
              <w:rPr>
                <w:sz w:val="24"/>
                <w:vertAlign w:val="subscript"/>
              </w:rPr>
              <w:t xml:space="preserve">Aeq </w:t>
            </w:r>
          </w:p>
          <w:p>
            <w:pPr>
              <w:spacing w:line="360" w:lineRule="auto"/>
              <w:ind w:firstLine="480" w:firstLineChars="200"/>
              <w:jc w:val="left"/>
              <w:rPr>
                <w:sz w:val="24"/>
              </w:rPr>
            </w:pPr>
            <w:r>
              <w:rPr>
                <w:sz w:val="24"/>
              </w:rPr>
              <w:t>（3）监测时间：20</w:t>
            </w:r>
            <w:r>
              <w:rPr>
                <w:rFonts w:hint="eastAsia"/>
                <w:sz w:val="24"/>
              </w:rPr>
              <w:t>21</w:t>
            </w:r>
            <w:r>
              <w:rPr>
                <w:sz w:val="24"/>
              </w:rPr>
              <w:t>年</w:t>
            </w:r>
            <w:r>
              <w:rPr>
                <w:rFonts w:hint="eastAsia"/>
                <w:sz w:val="24"/>
              </w:rPr>
              <w:t>3</w:t>
            </w:r>
            <w:r>
              <w:rPr>
                <w:sz w:val="24"/>
              </w:rPr>
              <w:t>月</w:t>
            </w:r>
            <w:r>
              <w:rPr>
                <w:rFonts w:hint="eastAsia"/>
                <w:sz w:val="24"/>
              </w:rPr>
              <w:t>26</w:t>
            </w:r>
            <w:r>
              <w:rPr>
                <w:sz w:val="24"/>
              </w:rPr>
              <w:t>日</w:t>
            </w:r>
          </w:p>
          <w:p>
            <w:pPr>
              <w:spacing w:line="360" w:lineRule="auto"/>
              <w:ind w:firstLine="480" w:firstLineChars="200"/>
              <w:jc w:val="left"/>
              <w:rPr>
                <w:b/>
                <w:szCs w:val="21"/>
              </w:rPr>
            </w:pPr>
            <w:r>
              <w:rPr>
                <w:sz w:val="24"/>
              </w:rPr>
              <w:t>（4）监测结果见</w:t>
            </w:r>
            <w:r>
              <w:rPr>
                <w:rFonts w:hint="eastAsia"/>
                <w:sz w:val="24"/>
              </w:rPr>
              <w:t>下表</w:t>
            </w:r>
          </w:p>
          <w:p>
            <w:pPr>
              <w:ind w:firstLine="422" w:firstLineChars="200"/>
              <w:jc w:val="center"/>
              <w:rPr>
                <w:b/>
                <w:szCs w:val="21"/>
              </w:rPr>
            </w:pPr>
            <w:r>
              <w:rPr>
                <w:rFonts w:hint="eastAsia"/>
                <w:b/>
                <w:szCs w:val="21"/>
              </w:rPr>
              <w:t>表3-</w:t>
            </w:r>
            <w:r>
              <w:rPr>
                <w:rFonts w:hint="eastAsia"/>
                <w:b/>
                <w:szCs w:val="21"/>
                <w:lang w:val="en-US" w:eastAsia="zh-CN"/>
              </w:rPr>
              <w:t>6</w:t>
            </w:r>
            <w:r>
              <w:rPr>
                <w:b/>
                <w:szCs w:val="21"/>
              </w:rPr>
              <w:t>声环境质量现状监测</w:t>
            </w:r>
            <w:r>
              <w:rPr>
                <w:rFonts w:hint="eastAsia"/>
                <w:b/>
                <w:szCs w:val="21"/>
              </w:rPr>
              <w:t>和</w:t>
            </w:r>
            <w:r>
              <w:rPr>
                <w:b/>
                <w:szCs w:val="21"/>
              </w:rPr>
              <w:t>评价结果</w:t>
            </w:r>
          </w:p>
          <w:tbl>
            <w:tblPr>
              <w:tblStyle w:val="24"/>
              <w:tblW w:w="805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01"/>
              <w:gridCol w:w="1289"/>
              <w:gridCol w:w="878"/>
              <w:gridCol w:w="1019"/>
              <w:gridCol w:w="1019"/>
              <w:gridCol w:w="1020"/>
              <w:gridCol w:w="1019"/>
              <w:gridCol w:w="101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18" w:hRule="atLeast"/>
                <w:jc w:val="center"/>
              </w:trPr>
              <w:tc>
                <w:tcPr>
                  <w:tcW w:w="801" w:type="dxa"/>
                  <w:vMerge w:val="restart"/>
                  <w:tcBorders>
                    <w:tl2br w:val="nil"/>
                    <w:tr2bl w:val="nil"/>
                  </w:tcBorders>
                  <w:noWrap/>
                  <w:vAlign w:val="center"/>
                </w:tcPr>
                <w:p>
                  <w:r>
                    <w:t>监测</w:t>
                  </w:r>
                </w:p>
                <w:p>
                  <w:r>
                    <w:t>点位</w:t>
                  </w:r>
                </w:p>
              </w:tc>
              <w:tc>
                <w:tcPr>
                  <w:tcW w:w="1289" w:type="dxa"/>
                  <w:vMerge w:val="restart"/>
                  <w:tcBorders>
                    <w:tl2br w:val="nil"/>
                    <w:tr2bl w:val="nil"/>
                  </w:tcBorders>
                  <w:noWrap/>
                  <w:vAlign w:val="center"/>
                </w:tcPr>
                <w:p>
                  <w:pPr>
                    <w:jc w:val="center"/>
                  </w:pPr>
                  <w:r>
                    <w:t>监测时间</w:t>
                  </w:r>
                </w:p>
              </w:tc>
              <w:tc>
                <w:tcPr>
                  <w:tcW w:w="1897" w:type="dxa"/>
                  <w:gridSpan w:val="2"/>
                  <w:tcBorders>
                    <w:tl2br w:val="nil"/>
                    <w:tr2bl w:val="nil"/>
                  </w:tcBorders>
                  <w:noWrap/>
                  <w:vAlign w:val="center"/>
                </w:tcPr>
                <w:p>
                  <w:pPr>
                    <w:jc w:val="center"/>
                  </w:pPr>
                  <w:r>
                    <w:t>监测点结果</w:t>
                  </w:r>
                </w:p>
              </w:tc>
              <w:tc>
                <w:tcPr>
                  <w:tcW w:w="2039" w:type="dxa"/>
                  <w:gridSpan w:val="2"/>
                  <w:tcBorders>
                    <w:tl2br w:val="nil"/>
                    <w:tr2bl w:val="nil"/>
                  </w:tcBorders>
                  <w:noWrap/>
                  <w:vAlign w:val="center"/>
                </w:tcPr>
                <w:p>
                  <w:pPr>
                    <w:jc w:val="center"/>
                  </w:pPr>
                  <w:r>
                    <w:t>标准值</w:t>
                  </w:r>
                </w:p>
              </w:tc>
              <w:tc>
                <w:tcPr>
                  <w:tcW w:w="2032" w:type="dxa"/>
                  <w:gridSpan w:val="2"/>
                  <w:tcBorders>
                    <w:tl2br w:val="nil"/>
                    <w:tr2bl w:val="nil"/>
                  </w:tcBorders>
                  <w:noWrap/>
                  <w:vAlign w:val="center"/>
                </w:tcPr>
                <w:p>
                  <w:pPr>
                    <w:jc w:val="center"/>
                  </w:pPr>
                  <w:r>
                    <w:t>评价结果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91" w:hRule="atLeast"/>
                <w:jc w:val="center"/>
              </w:trPr>
              <w:tc>
                <w:tcPr>
                  <w:tcW w:w="801" w:type="dxa"/>
                  <w:vMerge w:val="continue"/>
                  <w:tcBorders>
                    <w:tl2br w:val="nil"/>
                    <w:tr2bl w:val="nil"/>
                  </w:tcBorders>
                  <w:noWrap/>
                  <w:vAlign w:val="center"/>
                </w:tcPr>
                <w:p>
                  <w:pPr>
                    <w:jc w:val="center"/>
                  </w:pPr>
                </w:p>
              </w:tc>
              <w:tc>
                <w:tcPr>
                  <w:tcW w:w="1289" w:type="dxa"/>
                  <w:vMerge w:val="continue"/>
                  <w:tcBorders>
                    <w:tl2br w:val="nil"/>
                    <w:tr2bl w:val="nil"/>
                  </w:tcBorders>
                  <w:noWrap/>
                  <w:vAlign w:val="center"/>
                </w:tcPr>
                <w:p>
                  <w:pPr>
                    <w:jc w:val="center"/>
                  </w:pPr>
                </w:p>
              </w:tc>
              <w:tc>
                <w:tcPr>
                  <w:tcW w:w="878" w:type="dxa"/>
                  <w:tcBorders>
                    <w:tl2br w:val="nil"/>
                    <w:tr2bl w:val="nil"/>
                  </w:tcBorders>
                  <w:noWrap/>
                  <w:vAlign w:val="center"/>
                </w:tcPr>
                <w:p>
                  <w:pPr>
                    <w:jc w:val="center"/>
                  </w:pPr>
                  <w:r>
                    <w:t>昼间</w:t>
                  </w:r>
                </w:p>
              </w:tc>
              <w:tc>
                <w:tcPr>
                  <w:tcW w:w="1019" w:type="dxa"/>
                  <w:tcBorders>
                    <w:tl2br w:val="nil"/>
                    <w:tr2bl w:val="nil"/>
                  </w:tcBorders>
                  <w:noWrap/>
                  <w:vAlign w:val="center"/>
                </w:tcPr>
                <w:p>
                  <w:pPr>
                    <w:jc w:val="center"/>
                  </w:pPr>
                  <w:r>
                    <w:t>夜间</w:t>
                  </w:r>
                </w:p>
              </w:tc>
              <w:tc>
                <w:tcPr>
                  <w:tcW w:w="1019" w:type="dxa"/>
                  <w:tcBorders>
                    <w:tl2br w:val="nil"/>
                    <w:tr2bl w:val="nil"/>
                  </w:tcBorders>
                  <w:noWrap/>
                  <w:vAlign w:val="center"/>
                </w:tcPr>
                <w:p>
                  <w:pPr>
                    <w:jc w:val="center"/>
                  </w:pPr>
                  <w:r>
                    <w:t>昼间</w:t>
                  </w:r>
                </w:p>
              </w:tc>
              <w:tc>
                <w:tcPr>
                  <w:tcW w:w="1020" w:type="dxa"/>
                  <w:tcBorders>
                    <w:tl2br w:val="nil"/>
                    <w:tr2bl w:val="nil"/>
                  </w:tcBorders>
                  <w:noWrap/>
                  <w:vAlign w:val="center"/>
                </w:tcPr>
                <w:p>
                  <w:pPr>
                    <w:jc w:val="center"/>
                  </w:pPr>
                  <w:r>
                    <w:t>夜间</w:t>
                  </w:r>
                </w:p>
              </w:tc>
              <w:tc>
                <w:tcPr>
                  <w:tcW w:w="1019" w:type="dxa"/>
                  <w:tcBorders>
                    <w:tl2br w:val="nil"/>
                    <w:tr2bl w:val="nil"/>
                  </w:tcBorders>
                  <w:noWrap/>
                  <w:vAlign w:val="center"/>
                </w:tcPr>
                <w:p>
                  <w:pPr>
                    <w:jc w:val="center"/>
                  </w:pPr>
                  <w:r>
                    <w:t>昼间</w:t>
                  </w:r>
                </w:p>
              </w:tc>
              <w:tc>
                <w:tcPr>
                  <w:tcW w:w="1013" w:type="dxa"/>
                  <w:tcBorders>
                    <w:tl2br w:val="nil"/>
                    <w:tr2bl w:val="nil"/>
                  </w:tcBorders>
                  <w:noWrap/>
                  <w:vAlign w:val="center"/>
                </w:tcPr>
                <w:p>
                  <w:pPr>
                    <w:jc w:val="center"/>
                  </w:pPr>
                  <w:r>
                    <w:t>夜间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801" w:type="dxa"/>
                  <w:tcBorders>
                    <w:tl2br w:val="nil"/>
                    <w:tr2bl w:val="nil"/>
                  </w:tcBorders>
                  <w:noWrap/>
                  <w:vAlign w:val="center"/>
                </w:tcPr>
                <w:p>
                  <w:pPr>
                    <w:jc w:val="center"/>
                  </w:pPr>
                  <w:r>
                    <w:rPr>
                      <w:rFonts w:hint="eastAsia"/>
                    </w:rPr>
                    <w:t>渔业新村</w:t>
                  </w:r>
                </w:p>
              </w:tc>
              <w:tc>
                <w:tcPr>
                  <w:tcW w:w="1289" w:type="dxa"/>
                  <w:tcBorders>
                    <w:tl2br w:val="nil"/>
                    <w:tr2bl w:val="nil"/>
                  </w:tcBorders>
                  <w:noWrap/>
                  <w:vAlign w:val="center"/>
                </w:tcPr>
                <w:p>
                  <w:pPr>
                    <w:jc w:val="center"/>
                  </w:pPr>
                  <w:r>
                    <w:rPr>
                      <w:rFonts w:hint="eastAsia"/>
                    </w:rPr>
                    <w:t>2021.3.26</w:t>
                  </w:r>
                </w:p>
              </w:tc>
              <w:tc>
                <w:tcPr>
                  <w:tcW w:w="878" w:type="dxa"/>
                  <w:tcBorders>
                    <w:tl2br w:val="nil"/>
                    <w:tr2bl w:val="nil"/>
                  </w:tcBorders>
                  <w:noWrap/>
                  <w:vAlign w:val="center"/>
                </w:tcPr>
                <w:p>
                  <w:pPr>
                    <w:jc w:val="center"/>
                  </w:pPr>
                  <w:r>
                    <w:rPr>
                      <w:rFonts w:hint="eastAsia"/>
                    </w:rPr>
                    <w:t>58.1</w:t>
                  </w:r>
                </w:p>
              </w:tc>
              <w:tc>
                <w:tcPr>
                  <w:tcW w:w="1019" w:type="dxa"/>
                  <w:tcBorders>
                    <w:tl2br w:val="nil"/>
                    <w:tr2bl w:val="nil"/>
                  </w:tcBorders>
                  <w:noWrap/>
                  <w:vAlign w:val="center"/>
                </w:tcPr>
                <w:p>
                  <w:pPr>
                    <w:pStyle w:val="43"/>
                    <w:adjustRightInd w:val="0"/>
                    <w:snapToGrid w:val="0"/>
                    <w:spacing w:line="260" w:lineRule="exact"/>
                  </w:pPr>
                  <w:r>
                    <w:rPr>
                      <w:rFonts w:hint="eastAsia"/>
                    </w:rPr>
                    <w:t>48.2</w:t>
                  </w:r>
                </w:p>
              </w:tc>
              <w:tc>
                <w:tcPr>
                  <w:tcW w:w="1019" w:type="dxa"/>
                  <w:tcBorders>
                    <w:tl2br w:val="nil"/>
                    <w:tr2bl w:val="nil"/>
                  </w:tcBorders>
                  <w:noWrap/>
                  <w:vAlign w:val="center"/>
                </w:tcPr>
                <w:p>
                  <w:pPr>
                    <w:jc w:val="center"/>
                  </w:pPr>
                  <w:r>
                    <w:rPr>
                      <w:rFonts w:hint="eastAsia"/>
                    </w:rPr>
                    <w:t>60</w:t>
                  </w:r>
                </w:p>
              </w:tc>
              <w:tc>
                <w:tcPr>
                  <w:tcW w:w="1020" w:type="dxa"/>
                  <w:tcBorders>
                    <w:tl2br w:val="nil"/>
                    <w:tr2bl w:val="nil"/>
                  </w:tcBorders>
                  <w:noWrap/>
                  <w:vAlign w:val="center"/>
                </w:tcPr>
                <w:p>
                  <w:pPr>
                    <w:jc w:val="center"/>
                  </w:pPr>
                  <w:r>
                    <w:rPr>
                      <w:rFonts w:hint="eastAsia"/>
                    </w:rPr>
                    <w:t>50</w:t>
                  </w:r>
                </w:p>
              </w:tc>
              <w:tc>
                <w:tcPr>
                  <w:tcW w:w="1019" w:type="dxa"/>
                  <w:tcBorders>
                    <w:tl2br w:val="nil"/>
                    <w:tr2bl w:val="nil"/>
                  </w:tcBorders>
                  <w:noWrap/>
                  <w:vAlign w:val="center"/>
                </w:tcPr>
                <w:p>
                  <w:pPr>
                    <w:jc w:val="center"/>
                  </w:pPr>
                  <w:r>
                    <w:t>达标</w:t>
                  </w:r>
                </w:p>
              </w:tc>
              <w:tc>
                <w:tcPr>
                  <w:tcW w:w="1013" w:type="dxa"/>
                  <w:tcBorders>
                    <w:tl2br w:val="nil"/>
                    <w:tr2bl w:val="nil"/>
                  </w:tcBorders>
                  <w:noWrap/>
                  <w:vAlign w:val="center"/>
                </w:tcPr>
                <w:p>
                  <w:pPr>
                    <w:jc w:val="center"/>
                  </w:pPr>
                  <w:r>
                    <w:t>达标</w:t>
                  </w:r>
                </w:p>
              </w:tc>
            </w:tr>
          </w:tbl>
          <w:p>
            <w:pPr>
              <w:spacing w:before="120" w:beforeLines="50" w:line="360" w:lineRule="auto"/>
              <w:ind w:firstLine="480" w:firstLineChars="200"/>
              <w:rPr>
                <w:rFonts w:ascii="宋体" w:hAnsi="宋体" w:cs="宋体"/>
                <w:kern w:val="0"/>
                <w:szCs w:val="21"/>
              </w:rPr>
            </w:pPr>
            <w:r>
              <w:rPr>
                <w:sz w:val="24"/>
              </w:rPr>
              <w:t>从上表分析可知，项目</w:t>
            </w:r>
            <w:r>
              <w:rPr>
                <w:rFonts w:hint="eastAsia"/>
                <w:sz w:val="24"/>
              </w:rPr>
              <w:t>监测点位昼间和夜间声环境监测结果</w:t>
            </w:r>
            <w:r>
              <w:rPr>
                <w:sz w:val="24"/>
              </w:rPr>
              <w:t>均</w:t>
            </w:r>
            <w:r>
              <w:rPr>
                <w:rFonts w:hint="eastAsia"/>
                <w:sz w:val="24"/>
              </w:rPr>
              <w:t>满足</w:t>
            </w:r>
            <w:r>
              <w:rPr>
                <w:sz w:val="24"/>
              </w:rPr>
              <w:t>《声环境质量标准》（GB3096- 2008）中2类标准要求</w:t>
            </w:r>
            <w:r>
              <w:rPr>
                <w:rFonts w:hint="eastAsia"/>
                <w:sz w:val="24"/>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800" w:type="dxa"/>
            <w:tcBorders>
              <w:tl2br w:val="nil"/>
              <w:tr2bl w:val="nil"/>
            </w:tcBorders>
            <w:noWrap/>
            <w:vAlign w:val="center"/>
          </w:tcPr>
          <w:p>
            <w:pPr>
              <w:adjustRightInd w:val="0"/>
              <w:snapToGrid w:val="0"/>
              <w:jc w:val="center"/>
              <w:rPr>
                <w:rFonts w:ascii="宋体" w:hAnsi="宋体" w:cs="宋体"/>
                <w:kern w:val="0"/>
                <w:szCs w:val="21"/>
              </w:rPr>
            </w:pPr>
            <w:r>
              <w:rPr>
                <w:rFonts w:hint="eastAsia" w:ascii="宋体" w:hAnsi="宋体" w:cs="宋体"/>
                <w:kern w:val="0"/>
                <w:szCs w:val="21"/>
              </w:rPr>
              <w:t>环境</w:t>
            </w:r>
          </w:p>
          <w:p>
            <w:pPr>
              <w:adjustRightInd w:val="0"/>
              <w:snapToGrid w:val="0"/>
              <w:jc w:val="center"/>
              <w:rPr>
                <w:rFonts w:ascii="宋体" w:hAnsi="宋体" w:cs="宋体"/>
                <w:kern w:val="0"/>
                <w:szCs w:val="21"/>
              </w:rPr>
            </w:pPr>
            <w:r>
              <w:rPr>
                <w:rFonts w:hint="eastAsia" w:ascii="宋体" w:hAnsi="宋体" w:cs="宋体"/>
                <w:kern w:val="0"/>
                <w:szCs w:val="21"/>
              </w:rPr>
              <w:t>保护</w:t>
            </w:r>
          </w:p>
          <w:p>
            <w:pPr>
              <w:adjustRightInd w:val="0"/>
              <w:snapToGrid w:val="0"/>
              <w:jc w:val="center"/>
              <w:rPr>
                <w:rFonts w:ascii="宋体" w:hAnsi="宋体" w:cs="宋体"/>
                <w:kern w:val="0"/>
                <w:szCs w:val="21"/>
              </w:rPr>
            </w:pPr>
            <w:r>
              <w:rPr>
                <w:rFonts w:hint="eastAsia" w:ascii="宋体" w:hAnsi="宋体" w:cs="宋体"/>
                <w:kern w:val="0"/>
                <w:szCs w:val="21"/>
              </w:rPr>
              <w:t>目标</w:t>
            </w:r>
          </w:p>
        </w:tc>
        <w:tc>
          <w:tcPr>
            <w:tcW w:w="8190" w:type="dxa"/>
            <w:tcBorders>
              <w:tl2br w:val="nil"/>
              <w:tr2bl w:val="nil"/>
            </w:tcBorders>
            <w:noWrap/>
            <w:vAlign w:val="center"/>
          </w:tcPr>
          <w:p>
            <w:pPr>
              <w:spacing w:line="360" w:lineRule="auto"/>
              <w:rPr>
                <w:b/>
                <w:bCs/>
                <w:sz w:val="28"/>
                <w:szCs w:val="28"/>
              </w:rPr>
            </w:pPr>
            <w:r>
              <w:rPr>
                <w:b/>
                <w:bCs/>
                <w:sz w:val="28"/>
                <w:szCs w:val="28"/>
              </w:rPr>
              <w:t>主要环境保护目标</w:t>
            </w:r>
            <w:r>
              <w:rPr>
                <w:rFonts w:hint="eastAsia"/>
                <w:b/>
                <w:bCs/>
                <w:sz w:val="28"/>
                <w:szCs w:val="28"/>
              </w:rPr>
              <w:t>（</w:t>
            </w:r>
            <w:r>
              <w:rPr>
                <w:b/>
                <w:bCs/>
                <w:sz w:val="28"/>
                <w:szCs w:val="28"/>
              </w:rPr>
              <w:t>列出名单及保护级别</w:t>
            </w:r>
            <w:r>
              <w:rPr>
                <w:rFonts w:hint="eastAsia"/>
                <w:b/>
                <w:bCs/>
                <w:sz w:val="28"/>
                <w:szCs w:val="28"/>
              </w:rPr>
              <w:t>）</w:t>
            </w:r>
            <w:r>
              <w:rPr>
                <w:b/>
                <w:bCs/>
                <w:sz w:val="28"/>
                <w:szCs w:val="28"/>
              </w:rPr>
              <w:t>：</w:t>
            </w:r>
          </w:p>
          <w:p>
            <w:pPr>
              <w:spacing w:line="360" w:lineRule="auto"/>
              <w:ind w:firstLine="465"/>
              <w:rPr>
                <w:sz w:val="24"/>
                <w:u w:val="single"/>
              </w:rPr>
            </w:pPr>
            <w:r>
              <w:rPr>
                <w:sz w:val="24"/>
                <w:u w:val="single"/>
              </w:rPr>
              <w:t>本项目主要环境保护目标见下表，环境保护目标见附图。</w:t>
            </w:r>
          </w:p>
          <w:p>
            <w:pPr>
              <w:snapToGrid w:val="0"/>
              <w:spacing w:line="520" w:lineRule="exact"/>
              <w:contextualSpacing/>
              <w:jc w:val="center"/>
              <w:rPr>
                <w:b/>
                <w:szCs w:val="21"/>
                <w:u w:val="single"/>
              </w:rPr>
            </w:pPr>
            <w:r>
              <w:rPr>
                <w:b/>
                <w:szCs w:val="21"/>
                <w:u w:val="single"/>
              </w:rPr>
              <w:t>表</w:t>
            </w:r>
            <w:r>
              <w:rPr>
                <w:rFonts w:hint="eastAsia"/>
                <w:b/>
                <w:szCs w:val="21"/>
                <w:u w:val="single"/>
              </w:rPr>
              <w:t>3-</w:t>
            </w:r>
            <w:r>
              <w:rPr>
                <w:rFonts w:hint="eastAsia"/>
                <w:b/>
                <w:szCs w:val="21"/>
                <w:u w:val="single"/>
                <w:lang w:val="en-US" w:eastAsia="zh-CN"/>
              </w:rPr>
              <w:t>7</w:t>
            </w:r>
            <w:r>
              <w:rPr>
                <w:rFonts w:hint="eastAsia"/>
                <w:b/>
                <w:szCs w:val="21"/>
                <w:u w:val="single"/>
              </w:rPr>
              <w:t xml:space="preserve"> 主要环境保护目标一览表</w:t>
            </w:r>
          </w:p>
          <w:tbl>
            <w:tblPr>
              <w:tblStyle w:val="24"/>
              <w:tblW w:w="787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80"/>
              <w:gridCol w:w="720"/>
              <w:gridCol w:w="1187"/>
              <w:gridCol w:w="10"/>
              <w:gridCol w:w="854"/>
              <w:gridCol w:w="1072"/>
              <w:gridCol w:w="398"/>
              <w:gridCol w:w="254"/>
              <w:gridCol w:w="1489"/>
              <w:gridCol w:w="121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37" w:hRule="atLeast"/>
                <w:jc w:val="center"/>
              </w:trPr>
              <w:tc>
                <w:tcPr>
                  <w:tcW w:w="680" w:type="dxa"/>
                  <w:tcBorders>
                    <w:top w:val="single" w:color="auto" w:sz="12" w:space="0"/>
                    <w:left w:val="single" w:color="auto" w:sz="12" w:space="0"/>
                    <w:bottom w:val="single" w:color="auto" w:sz="4" w:space="0"/>
                    <w:right w:val="single" w:color="auto" w:sz="4" w:space="0"/>
                  </w:tcBorders>
                  <w:noWrap/>
                  <w:vAlign w:val="center"/>
                </w:tcPr>
                <w:p>
                  <w:pPr>
                    <w:jc w:val="center"/>
                    <w:rPr>
                      <w:szCs w:val="21"/>
                      <w:u w:val="single"/>
                    </w:rPr>
                  </w:pPr>
                  <w:r>
                    <w:rPr>
                      <w:szCs w:val="21"/>
                      <w:u w:val="single"/>
                    </w:rPr>
                    <w:t>环境要素</w:t>
                  </w:r>
                </w:p>
              </w:tc>
              <w:tc>
                <w:tcPr>
                  <w:tcW w:w="720" w:type="dxa"/>
                  <w:tcBorders>
                    <w:top w:val="single" w:color="auto" w:sz="12" w:space="0"/>
                    <w:left w:val="single" w:color="auto" w:sz="4" w:space="0"/>
                    <w:bottom w:val="single" w:color="auto" w:sz="4" w:space="0"/>
                    <w:right w:val="single" w:color="auto" w:sz="4" w:space="0"/>
                  </w:tcBorders>
                  <w:noWrap/>
                  <w:vAlign w:val="center"/>
                </w:tcPr>
                <w:p>
                  <w:pPr>
                    <w:jc w:val="center"/>
                    <w:rPr>
                      <w:szCs w:val="21"/>
                      <w:u w:val="single"/>
                    </w:rPr>
                  </w:pPr>
                  <w:r>
                    <w:rPr>
                      <w:szCs w:val="21"/>
                      <w:u w:val="single"/>
                    </w:rPr>
                    <w:t>敏感目标</w:t>
                  </w:r>
                </w:p>
              </w:tc>
              <w:tc>
                <w:tcPr>
                  <w:tcW w:w="1187" w:type="dxa"/>
                  <w:tcBorders>
                    <w:top w:val="single" w:color="auto" w:sz="12" w:space="0"/>
                    <w:left w:val="single" w:color="auto" w:sz="4" w:space="0"/>
                    <w:bottom w:val="single" w:color="auto" w:sz="4" w:space="0"/>
                    <w:right w:val="single" w:color="auto" w:sz="4" w:space="0"/>
                  </w:tcBorders>
                  <w:noWrap/>
                  <w:vAlign w:val="center"/>
                </w:tcPr>
                <w:p>
                  <w:pPr>
                    <w:jc w:val="center"/>
                    <w:rPr>
                      <w:szCs w:val="21"/>
                      <w:u w:val="single"/>
                    </w:rPr>
                  </w:pPr>
                  <w:r>
                    <w:rPr>
                      <w:szCs w:val="21"/>
                      <w:u w:val="single"/>
                    </w:rPr>
                    <w:t>坐标</w:t>
                  </w:r>
                </w:p>
              </w:tc>
              <w:tc>
                <w:tcPr>
                  <w:tcW w:w="864" w:type="dxa"/>
                  <w:gridSpan w:val="2"/>
                  <w:tcBorders>
                    <w:top w:val="single" w:color="auto" w:sz="12" w:space="0"/>
                    <w:left w:val="single" w:color="auto" w:sz="4" w:space="0"/>
                    <w:bottom w:val="single" w:color="auto" w:sz="4" w:space="0"/>
                    <w:right w:val="single" w:color="auto" w:sz="4" w:space="0"/>
                  </w:tcBorders>
                  <w:noWrap/>
                  <w:vAlign w:val="center"/>
                </w:tcPr>
                <w:p>
                  <w:pPr>
                    <w:jc w:val="center"/>
                    <w:rPr>
                      <w:szCs w:val="21"/>
                      <w:u w:val="single"/>
                    </w:rPr>
                  </w:pPr>
                  <w:r>
                    <w:rPr>
                      <w:szCs w:val="21"/>
                      <w:u w:val="single"/>
                    </w:rPr>
                    <w:t>方位</w:t>
                  </w:r>
                </w:p>
              </w:tc>
              <w:tc>
                <w:tcPr>
                  <w:tcW w:w="1072" w:type="dxa"/>
                  <w:tcBorders>
                    <w:top w:val="single" w:color="auto" w:sz="12" w:space="0"/>
                    <w:left w:val="single" w:color="auto" w:sz="4" w:space="0"/>
                    <w:bottom w:val="single" w:color="auto" w:sz="4" w:space="0"/>
                    <w:right w:val="single" w:color="auto" w:sz="4" w:space="0"/>
                  </w:tcBorders>
                  <w:noWrap/>
                  <w:vAlign w:val="center"/>
                </w:tcPr>
                <w:p>
                  <w:pPr>
                    <w:jc w:val="center"/>
                    <w:rPr>
                      <w:szCs w:val="21"/>
                      <w:u w:val="single"/>
                    </w:rPr>
                  </w:pPr>
                  <w:r>
                    <w:rPr>
                      <w:szCs w:val="21"/>
                      <w:u w:val="single"/>
                    </w:rPr>
                    <w:t>与船舶停泊位置的最近距离（m）</w:t>
                  </w:r>
                </w:p>
              </w:tc>
              <w:tc>
                <w:tcPr>
                  <w:tcW w:w="652" w:type="dxa"/>
                  <w:gridSpan w:val="2"/>
                  <w:tcBorders>
                    <w:top w:val="single" w:color="auto" w:sz="12" w:space="0"/>
                    <w:left w:val="single" w:color="auto" w:sz="4" w:space="0"/>
                    <w:bottom w:val="single" w:color="auto" w:sz="4" w:space="0"/>
                    <w:right w:val="single" w:color="auto" w:sz="4" w:space="0"/>
                  </w:tcBorders>
                  <w:noWrap/>
                  <w:vAlign w:val="center"/>
                </w:tcPr>
                <w:p>
                  <w:pPr>
                    <w:jc w:val="center"/>
                    <w:rPr>
                      <w:szCs w:val="21"/>
                      <w:u w:val="single"/>
                    </w:rPr>
                  </w:pPr>
                  <w:r>
                    <w:rPr>
                      <w:szCs w:val="21"/>
                      <w:u w:val="single"/>
                    </w:rPr>
                    <w:t>功能</w:t>
                  </w:r>
                </w:p>
              </w:tc>
              <w:tc>
                <w:tcPr>
                  <w:tcW w:w="1489" w:type="dxa"/>
                  <w:tcBorders>
                    <w:top w:val="single" w:color="auto" w:sz="12" w:space="0"/>
                    <w:left w:val="single" w:color="auto" w:sz="4" w:space="0"/>
                    <w:bottom w:val="single" w:color="auto" w:sz="4" w:space="0"/>
                    <w:right w:val="single" w:color="auto" w:sz="4" w:space="0"/>
                  </w:tcBorders>
                  <w:noWrap/>
                  <w:vAlign w:val="center"/>
                </w:tcPr>
                <w:p>
                  <w:pPr>
                    <w:jc w:val="center"/>
                    <w:rPr>
                      <w:szCs w:val="21"/>
                      <w:u w:val="single"/>
                    </w:rPr>
                  </w:pPr>
                  <w:r>
                    <w:rPr>
                      <w:szCs w:val="21"/>
                      <w:u w:val="single"/>
                    </w:rPr>
                    <w:t>规模</w:t>
                  </w:r>
                </w:p>
              </w:tc>
              <w:tc>
                <w:tcPr>
                  <w:tcW w:w="1213" w:type="dxa"/>
                  <w:tcBorders>
                    <w:top w:val="single" w:color="auto" w:sz="12" w:space="0"/>
                    <w:left w:val="single" w:color="auto" w:sz="4" w:space="0"/>
                    <w:bottom w:val="single" w:color="auto" w:sz="4" w:space="0"/>
                    <w:right w:val="single" w:color="auto" w:sz="12" w:space="0"/>
                  </w:tcBorders>
                  <w:noWrap/>
                  <w:vAlign w:val="center"/>
                </w:tcPr>
                <w:p>
                  <w:pPr>
                    <w:jc w:val="center"/>
                    <w:rPr>
                      <w:szCs w:val="21"/>
                      <w:u w:val="single"/>
                    </w:rPr>
                  </w:pPr>
                  <w:r>
                    <w:rPr>
                      <w:szCs w:val="21"/>
                      <w:u w:val="single"/>
                    </w:rPr>
                    <w:t>保护级别</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61" w:hRule="atLeast"/>
                <w:jc w:val="center"/>
              </w:trPr>
              <w:tc>
                <w:tcPr>
                  <w:tcW w:w="680" w:type="dxa"/>
                  <w:tcBorders>
                    <w:top w:val="single" w:color="auto" w:sz="4" w:space="0"/>
                    <w:left w:val="single" w:color="auto" w:sz="12" w:space="0"/>
                    <w:right w:val="single" w:color="auto" w:sz="4" w:space="0"/>
                  </w:tcBorders>
                  <w:noWrap/>
                  <w:vAlign w:val="center"/>
                </w:tcPr>
                <w:p>
                  <w:pPr>
                    <w:jc w:val="center"/>
                    <w:rPr>
                      <w:szCs w:val="21"/>
                      <w:u w:val="single"/>
                    </w:rPr>
                  </w:pPr>
                  <w:r>
                    <w:rPr>
                      <w:szCs w:val="21"/>
                      <w:u w:val="single"/>
                    </w:rPr>
                    <w:t>大气环境</w:t>
                  </w:r>
                </w:p>
              </w:tc>
              <w:tc>
                <w:tcPr>
                  <w:tcW w:w="720" w:type="dxa"/>
                  <w:tcBorders>
                    <w:top w:val="single" w:color="auto" w:sz="4" w:space="0"/>
                    <w:left w:val="single" w:color="auto" w:sz="4" w:space="0"/>
                    <w:bottom w:val="single" w:color="auto" w:sz="4" w:space="0"/>
                    <w:right w:val="single" w:color="auto" w:sz="4" w:space="0"/>
                  </w:tcBorders>
                  <w:noWrap/>
                  <w:vAlign w:val="center"/>
                </w:tcPr>
                <w:p>
                  <w:pPr>
                    <w:jc w:val="center"/>
                    <w:rPr>
                      <w:szCs w:val="21"/>
                      <w:u w:val="single"/>
                    </w:rPr>
                  </w:pPr>
                  <w:r>
                    <w:rPr>
                      <w:szCs w:val="21"/>
                      <w:u w:val="single"/>
                    </w:rPr>
                    <w:t>鹿角镇渔业新村居民</w:t>
                  </w:r>
                </w:p>
              </w:tc>
              <w:tc>
                <w:tcPr>
                  <w:tcW w:w="1187" w:type="dxa"/>
                  <w:tcBorders>
                    <w:top w:val="single" w:color="auto" w:sz="4" w:space="0"/>
                    <w:left w:val="single" w:color="auto" w:sz="4" w:space="0"/>
                    <w:bottom w:val="single" w:color="auto" w:sz="4" w:space="0"/>
                    <w:right w:val="single" w:color="auto" w:sz="4" w:space="0"/>
                  </w:tcBorders>
                  <w:noWrap/>
                  <w:vAlign w:val="center"/>
                </w:tcPr>
                <w:p>
                  <w:pPr>
                    <w:jc w:val="center"/>
                    <w:rPr>
                      <w:szCs w:val="21"/>
                      <w:u w:val="single"/>
                    </w:rPr>
                  </w:pPr>
                  <w:r>
                    <w:rPr>
                      <w:szCs w:val="21"/>
                      <w:u w:val="single"/>
                    </w:rPr>
                    <w:t>经度：113.003701268</w:t>
                  </w:r>
                </w:p>
                <w:p>
                  <w:pPr>
                    <w:pStyle w:val="60"/>
                    <w:rPr>
                      <w:rFonts w:ascii="Times New Roman" w:hAnsi="Times New Roman" w:eastAsia="宋体"/>
                      <w:szCs w:val="21"/>
                      <w:u w:val="single"/>
                    </w:rPr>
                  </w:pPr>
                  <w:r>
                    <w:rPr>
                      <w:rFonts w:ascii="Times New Roman" w:hAnsi="Times New Roman" w:eastAsia="宋体"/>
                      <w:szCs w:val="21"/>
                      <w:u w:val="single"/>
                    </w:rPr>
                    <w:t>纬度：29.158135879</w:t>
                  </w:r>
                </w:p>
              </w:tc>
              <w:tc>
                <w:tcPr>
                  <w:tcW w:w="864" w:type="dxa"/>
                  <w:gridSpan w:val="2"/>
                  <w:tcBorders>
                    <w:top w:val="single" w:color="auto" w:sz="4" w:space="0"/>
                    <w:left w:val="single" w:color="auto" w:sz="4" w:space="0"/>
                    <w:bottom w:val="single" w:color="auto" w:sz="4" w:space="0"/>
                    <w:right w:val="single" w:color="auto" w:sz="4" w:space="0"/>
                  </w:tcBorders>
                  <w:noWrap/>
                  <w:vAlign w:val="center"/>
                </w:tcPr>
                <w:p>
                  <w:pPr>
                    <w:jc w:val="center"/>
                    <w:rPr>
                      <w:szCs w:val="21"/>
                      <w:u w:val="single"/>
                    </w:rPr>
                  </w:pPr>
                  <w:r>
                    <w:rPr>
                      <w:szCs w:val="21"/>
                      <w:u w:val="single"/>
                    </w:rPr>
                    <w:t>E</w:t>
                  </w:r>
                </w:p>
              </w:tc>
              <w:tc>
                <w:tcPr>
                  <w:tcW w:w="1072" w:type="dxa"/>
                  <w:tcBorders>
                    <w:top w:val="single" w:color="auto" w:sz="4" w:space="0"/>
                    <w:left w:val="single" w:color="auto" w:sz="4" w:space="0"/>
                    <w:bottom w:val="single" w:color="auto" w:sz="4" w:space="0"/>
                    <w:right w:val="single" w:color="auto" w:sz="4" w:space="0"/>
                  </w:tcBorders>
                  <w:noWrap/>
                  <w:vAlign w:val="center"/>
                </w:tcPr>
                <w:p>
                  <w:pPr>
                    <w:jc w:val="center"/>
                    <w:rPr>
                      <w:szCs w:val="21"/>
                      <w:u w:val="single"/>
                    </w:rPr>
                  </w:pPr>
                  <w:r>
                    <w:rPr>
                      <w:szCs w:val="21"/>
                      <w:u w:val="single"/>
                    </w:rPr>
                    <w:t>352</w:t>
                  </w:r>
                </w:p>
              </w:tc>
              <w:tc>
                <w:tcPr>
                  <w:tcW w:w="652" w:type="dxa"/>
                  <w:gridSpan w:val="2"/>
                  <w:tcBorders>
                    <w:top w:val="single" w:color="auto" w:sz="4" w:space="0"/>
                    <w:left w:val="single" w:color="auto" w:sz="4" w:space="0"/>
                    <w:bottom w:val="single" w:color="auto" w:sz="4" w:space="0"/>
                    <w:right w:val="single" w:color="auto" w:sz="4" w:space="0"/>
                  </w:tcBorders>
                  <w:noWrap/>
                  <w:vAlign w:val="center"/>
                </w:tcPr>
                <w:p>
                  <w:pPr>
                    <w:jc w:val="center"/>
                    <w:rPr>
                      <w:szCs w:val="21"/>
                      <w:u w:val="single"/>
                    </w:rPr>
                  </w:pPr>
                  <w:r>
                    <w:rPr>
                      <w:szCs w:val="21"/>
                      <w:u w:val="single"/>
                    </w:rPr>
                    <w:t>居住</w:t>
                  </w:r>
                </w:p>
              </w:tc>
              <w:tc>
                <w:tcPr>
                  <w:tcW w:w="1489" w:type="dxa"/>
                  <w:tcBorders>
                    <w:top w:val="single" w:color="auto" w:sz="4" w:space="0"/>
                    <w:left w:val="single" w:color="auto" w:sz="4" w:space="0"/>
                    <w:bottom w:val="single" w:color="auto" w:sz="4" w:space="0"/>
                    <w:right w:val="single" w:color="auto" w:sz="4" w:space="0"/>
                  </w:tcBorders>
                  <w:noWrap/>
                  <w:vAlign w:val="center"/>
                </w:tcPr>
                <w:p>
                  <w:pPr>
                    <w:jc w:val="center"/>
                    <w:rPr>
                      <w:szCs w:val="21"/>
                      <w:u w:val="single"/>
                    </w:rPr>
                  </w:pPr>
                  <w:r>
                    <w:rPr>
                      <w:szCs w:val="21"/>
                      <w:u w:val="single"/>
                    </w:rPr>
                    <w:t>150户（600人）</w:t>
                  </w:r>
                </w:p>
              </w:tc>
              <w:tc>
                <w:tcPr>
                  <w:tcW w:w="1213" w:type="dxa"/>
                  <w:tcBorders>
                    <w:top w:val="single" w:color="auto" w:sz="4" w:space="0"/>
                    <w:left w:val="single" w:color="auto" w:sz="4" w:space="0"/>
                    <w:right w:val="single" w:color="auto" w:sz="12" w:space="0"/>
                  </w:tcBorders>
                  <w:noWrap/>
                  <w:vAlign w:val="center"/>
                </w:tcPr>
                <w:p>
                  <w:pPr>
                    <w:jc w:val="center"/>
                    <w:rPr>
                      <w:szCs w:val="21"/>
                      <w:u w:val="single"/>
                    </w:rPr>
                  </w:pPr>
                  <w:r>
                    <w:rPr>
                      <w:szCs w:val="21"/>
                      <w:u w:val="single"/>
                    </w:rPr>
                    <w:t>（GB3095-</w:t>
                  </w:r>
                  <w:r>
                    <w:rPr>
                      <w:rFonts w:hint="eastAsia"/>
                      <w:szCs w:val="21"/>
                      <w:u w:val="single"/>
                    </w:rPr>
                    <w:t>2012</w:t>
                  </w:r>
                  <w:r>
                    <w:rPr>
                      <w:szCs w:val="21"/>
                      <w:u w:val="single"/>
                    </w:rPr>
                    <w:t>）中的二级标准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680" w:type="dxa"/>
                  <w:tcBorders>
                    <w:top w:val="single" w:color="auto" w:sz="4" w:space="0"/>
                    <w:left w:val="single" w:color="auto" w:sz="12" w:space="0"/>
                    <w:right w:val="single" w:color="auto" w:sz="4" w:space="0"/>
                  </w:tcBorders>
                  <w:noWrap/>
                  <w:vAlign w:val="center"/>
                </w:tcPr>
                <w:p>
                  <w:pPr>
                    <w:jc w:val="center"/>
                    <w:rPr>
                      <w:szCs w:val="21"/>
                      <w:u w:val="single"/>
                    </w:rPr>
                  </w:pPr>
                  <w:r>
                    <w:rPr>
                      <w:rFonts w:hint="eastAsia"/>
                      <w:szCs w:val="21"/>
                      <w:u w:val="single"/>
                    </w:rPr>
                    <w:t>声环境</w:t>
                  </w:r>
                </w:p>
              </w:tc>
              <w:tc>
                <w:tcPr>
                  <w:tcW w:w="7197" w:type="dxa"/>
                  <w:gridSpan w:val="9"/>
                  <w:tcBorders>
                    <w:top w:val="single" w:color="auto" w:sz="4" w:space="0"/>
                    <w:left w:val="single" w:color="auto" w:sz="4" w:space="0"/>
                    <w:bottom w:val="single" w:color="auto" w:sz="4" w:space="0"/>
                    <w:right w:val="single" w:color="auto" w:sz="12" w:space="0"/>
                  </w:tcBorders>
                  <w:noWrap/>
                  <w:vAlign w:val="center"/>
                </w:tcPr>
                <w:p>
                  <w:pPr>
                    <w:jc w:val="center"/>
                    <w:rPr>
                      <w:rFonts w:hint="default" w:eastAsia="宋体"/>
                      <w:szCs w:val="21"/>
                      <w:u w:val="single"/>
                      <w:lang w:val="en-US" w:eastAsia="zh-CN"/>
                    </w:rPr>
                  </w:pPr>
                  <w:r>
                    <w:rPr>
                      <w:rStyle w:val="30"/>
                      <w:rFonts w:hint="eastAsia"/>
                      <w:lang w:eastAsia="zh-CN"/>
                    </w:rPr>
                    <w:t>本项目收集范围中</w:t>
                  </w:r>
                  <w:r>
                    <w:rPr>
                      <w:rStyle w:val="30"/>
                      <w:rFonts w:hint="eastAsia"/>
                      <w:lang w:val="en-US" w:eastAsia="zh-CN"/>
                    </w:rPr>
                    <w:t>50m范围没有居民点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680" w:type="dxa"/>
                  <w:vMerge w:val="restart"/>
                  <w:tcBorders>
                    <w:top w:val="single" w:color="auto" w:sz="4" w:space="0"/>
                    <w:left w:val="single" w:color="auto" w:sz="12" w:space="0"/>
                    <w:right w:val="single" w:color="auto" w:sz="4" w:space="0"/>
                  </w:tcBorders>
                  <w:noWrap/>
                  <w:vAlign w:val="center"/>
                </w:tcPr>
                <w:p>
                  <w:pPr>
                    <w:jc w:val="center"/>
                    <w:rPr>
                      <w:szCs w:val="21"/>
                      <w:u w:val="single"/>
                    </w:rPr>
                  </w:pPr>
                  <w:r>
                    <w:rPr>
                      <w:szCs w:val="21"/>
                      <w:u w:val="single"/>
                    </w:rPr>
                    <w:t>水</w:t>
                  </w:r>
                </w:p>
                <w:p>
                  <w:pPr>
                    <w:jc w:val="center"/>
                    <w:rPr>
                      <w:szCs w:val="21"/>
                      <w:u w:val="single"/>
                    </w:rPr>
                  </w:pPr>
                  <w:r>
                    <w:rPr>
                      <w:szCs w:val="21"/>
                      <w:u w:val="single"/>
                    </w:rPr>
                    <w:t>环</w:t>
                  </w:r>
                </w:p>
                <w:p>
                  <w:pPr>
                    <w:jc w:val="center"/>
                    <w:rPr>
                      <w:szCs w:val="21"/>
                      <w:u w:val="single"/>
                    </w:rPr>
                  </w:pPr>
                  <w:r>
                    <w:rPr>
                      <w:szCs w:val="21"/>
                      <w:u w:val="single"/>
                    </w:rPr>
                    <w:t>境</w:t>
                  </w:r>
                </w:p>
              </w:tc>
              <w:tc>
                <w:tcPr>
                  <w:tcW w:w="1907" w:type="dxa"/>
                  <w:gridSpan w:val="2"/>
                  <w:vMerge w:val="restart"/>
                  <w:tcBorders>
                    <w:top w:val="single" w:color="auto" w:sz="4" w:space="0"/>
                    <w:left w:val="single" w:color="auto" w:sz="4" w:space="0"/>
                    <w:bottom w:val="single" w:color="auto" w:sz="4" w:space="0"/>
                    <w:right w:val="single" w:color="auto" w:sz="4" w:space="0"/>
                  </w:tcBorders>
                  <w:noWrap/>
                  <w:vAlign w:val="center"/>
                </w:tcPr>
                <w:p>
                  <w:pPr>
                    <w:pStyle w:val="43"/>
                    <w:rPr>
                      <w:szCs w:val="21"/>
                      <w:u w:val="single"/>
                    </w:rPr>
                  </w:pPr>
                  <w:r>
                    <w:rPr>
                      <w:rFonts w:hint="eastAsia"/>
                      <w:szCs w:val="21"/>
                      <w:u w:val="single"/>
                    </w:rPr>
                    <w:t>湘江（一级、二级饮用水源区除外）</w:t>
                  </w:r>
                </w:p>
              </w:tc>
              <w:tc>
                <w:tcPr>
                  <w:tcW w:w="4077" w:type="dxa"/>
                  <w:gridSpan w:val="6"/>
                  <w:tcBorders>
                    <w:top w:val="single" w:color="auto" w:sz="4" w:space="0"/>
                    <w:left w:val="single" w:color="auto" w:sz="4" w:space="0"/>
                    <w:right w:val="single" w:color="auto" w:sz="4" w:space="0"/>
                  </w:tcBorders>
                  <w:noWrap/>
                  <w:vAlign w:val="center"/>
                </w:tcPr>
                <w:p>
                  <w:pPr>
                    <w:pStyle w:val="43"/>
                    <w:rPr>
                      <w:szCs w:val="21"/>
                      <w:u w:val="single"/>
                    </w:rPr>
                  </w:pPr>
                  <w:r>
                    <w:rPr>
                      <w:szCs w:val="21"/>
                      <w:u w:val="single"/>
                    </w:rPr>
                    <w:t>一般鱼</w:t>
                  </w:r>
                  <w:r>
                    <w:rPr>
                      <w:rFonts w:hint="eastAsia"/>
                      <w:szCs w:val="21"/>
                      <w:u w:val="single"/>
                    </w:rPr>
                    <w:t>业</w:t>
                  </w:r>
                  <w:r>
                    <w:rPr>
                      <w:szCs w:val="21"/>
                      <w:u w:val="single"/>
                    </w:rPr>
                    <w:t>用水区</w:t>
                  </w:r>
                </w:p>
              </w:tc>
              <w:tc>
                <w:tcPr>
                  <w:tcW w:w="1213" w:type="dxa"/>
                  <w:vMerge w:val="restart"/>
                  <w:tcBorders>
                    <w:top w:val="single" w:color="auto" w:sz="4" w:space="0"/>
                    <w:left w:val="single" w:color="auto" w:sz="4" w:space="0"/>
                    <w:right w:val="single" w:color="auto" w:sz="12" w:space="0"/>
                  </w:tcBorders>
                  <w:noWrap/>
                  <w:vAlign w:val="center"/>
                </w:tcPr>
                <w:p>
                  <w:pPr>
                    <w:pStyle w:val="43"/>
                    <w:rPr>
                      <w:szCs w:val="21"/>
                      <w:u w:val="single"/>
                    </w:rPr>
                  </w:pPr>
                  <w:r>
                    <w:rPr>
                      <w:szCs w:val="21"/>
                      <w:u w:val="single"/>
                    </w:rPr>
                    <w:t>（GB3838-2002）中Ⅲ类标准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680" w:type="dxa"/>
                  <w:vMerge w:val="continue"/>
                  <w:tcBorders>
                    <w:left w:val="single" w:color="auto" w:sz="12" w:space="0"/>
                    <w:right w:val="single" w:color="auto" w:sz="4" w:space="0"/>
                  </w:tcBorders>
                  <w:noWrap/>
                  <w:vAlign w:val="center"/>
                </w:tcPr>
                <w:p>
                  <w:pPr>
                    <w:jc w:val="center"/>
                    <w:rPr>
                      <w:szCs w:val="21"/>
                      <w:u w:val="single"/>
                    </w:rPr>
                  </w:pPr>
                </w:p>
              </w:tc>
              <w:tc>
                <w:tcPr>
                  <w:tcW w:w="1907" w:type="dxa"/>
                  <w:gridSpan w:val="2"/>
                  <w:vMerge w:val="restart"/>
                  <w:tcBorders>
                    <w:top w:val="single" w:color="auto" w:sz="4" w:space="0"/>
                    <w:left w:val="single" w:color="auto" w:sz="4" w:space="0"/>
                    <w:right w:val="single" w:color="auto" w:sz="4" w:space="0"/>
                  </w:tcBorders>
                  <w:noWrap/>
                  <w:vAlign w:val="center"/>
                </w:tcPr>
                <w:p>
                  <w:pPr>
                    <w:pStyle w:val="43"/>
                    <w:rPr>
                      <w:szCs w:val="21"/>
                      <w:u w:val="single"/>
                    </w:rPr>
                  </w:pPr>
                  <w:r>
                    <w:rPr>
                      <w:rFonts w:hint="eastAsia"/>
                      <w:szCs w:val="21"/>
                      <w:u w:val="single"/>
                    </w:rPr>
                    <w:t>湘江湘阴段</w:t>
                  </w:r>
                </w:p>
              </w:tc>
              <w:tc>
                <w:tcPr>
                  <w:tcW w:w="2334" w:type="dxa"/>
                  <w:gridSpan w:val="4"/>
                  <w:tcBorders>
                    <w:top w:val="single" w:color="auto" w:sz="4" w:space="0"/>
                    <w:left w:val="single" w:color="auto" w:sz="4" w:space="0"/>
                    <w:right w:val="single" w:color="auto" w:sz="4" w:space="0"/>
                  </w:tcBorders>
                  <w:noWrap/>
                  <w:vAlign w:val="center"/>
                </w:tcPr>
                <w:p>
                  <w:pPr>
                    <w:pStyle w:val="43"/>
                    <w:rPr>
                      <w:szCs w:val="21"/>
                      <w:u w:val="single"/>
                    </w:rPr>
                  </w:pPr>
                  <w:r>
                    <w:rPr>
                      <w:rFonts w:hint="eastAsia"/>
                      <w:szCs w:val="21"/>
                      <w:u w:val="single"/>
                    </w:rPr>
                    <w:t>取水口上游1000m至取水口下游100m</w:t>
                  </w:r>
                </w:p>
              </w:tc>
              <w:tc>
                <w:tcPr>
                  <w:tcW w:w="1743" w:type="dxa"/>
                  <w:gridSpan w:val="2"/>
                  <w:tcBorders>
                    <w:top w:val="single" w:color="auto" w:sz="4" w:space="0"/>
                    <w:left w:val="single" w:color="auto" w:sz="4" w:space="0"/>
                    <w:right w:val="single" w:color="auto" w:sz="4" w:space="0"/>
                  </w:tcBorders>
                  <w:noWrap/>
                  <w:vAlign w:val="center"/>
                </w:tcPr>
                <w:p>
                  <w:pPr>
                    <w:pStyle w:val="43"/>
                    <w:rPr>
                      <w:szCs w:val="21"/>
                      <w:u w:val="single"/>
                    </w:rPr>
                  </w:pPr>
                  <w:r>
                    <w:rPr>
                      <w:rFonts w:hint="eastAsia"/>
                      <w:szCs w:val="21"/>
                      <w:u w:val="single"/>
                    </w:rPr>
                    <w:t>一级饮用水源保护区</w:t>
                  </w:r>
                </w:p>
              </w:tc>
              <w:tc>
                <w:tcPr>
                  <w:tcW w:w="1213" w:type="dxa"/>
                  <w:tcBorders>
                    <w:top w:val="single" w:color="auto" w:sz="4" w:space="0"/>
                    <w:left w:val="single" w:color="auto" w:sz="4" w:space="0"/>
                    <w:right w:val="single" w:color="auto" w:sz="12" w:space="0"/>
                  </w:tcBorders>
                  <w:noWrap/>
                  <w:vAlign w:val="center"/>
                </w:tcPr>
                <w:p>
                  <w:pPr>
                    <w:pStyle w:val="43"/>
                    <w:rPr>
                      <w:szCs w:val="21"/>
                      <w:u w:val="single"/>
                    </w:rPr>
                  </w:pPr>
                  <w:r>
                    <w:rPr>
                      <w:szCs w:val="21"/>
                      <w:u w:val="single"/>
                    </w:rPr>
                    <w:t>（GB3838-2002）中Ⅱ类标准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680" w:type="dxa"/>
                  <w:vMerge w:val="continue"/>
                  <w:tcBorders>
                    <w:left w:val="single" w:color="auto" w:sz="12" w:space="0"/>
                    <w:right w:val="single" w:color="auto" w:sz="4" w:space="0"/>
                  </w:tcBorders>
                  <w:noWrap/>
                  <w:vAlign w:val="center"/>
                </w:tcPr>
                <w:p>
                  <w:pPr>
                    <w:jc w:val="center"/>
                    <w:rPr>
                      <w:szCs w:val="21"/>
                      <w:u w:val="single"/>
                    </w:rPr>
                  </w:pPr>
                </w:p>
              </w:tc>
              <w:tc>
                <w:tcPr>
                  <w:tcW w:w="1907" w:type="dxa"/>
                  <w:gridSpan w:val="2"/>
                  <w:vMerge w:val="continue"/>
                  <w:tcBorders>
                    <w:left w:val="single" w:color="auto" w:sz="4" w:space="0"/>
                    <w:bottom w:val="single" w:color="auto" w:sz="4" w:space="0"/>
                    <w:right w:val="single" w:color="auto" w:sz="4" w:space="0"/>
                  </w:tcBorders>
                  <w:noWrap/>
                  <w:vAlign w:val="center"/>
                </w:tcPr>
                <w:p>
                  <w:pPr>
                    <w:pStyle w:val="43"/>
                    <w:rPr>
                      <w:szCs w:val="21"/>
                      <w:u w:val="single"/>
                    </w:rPr>
                  </w:pPr>
                </w:p>
              </w:tc>
              <w:tc>
                <w:tcPr>
                  <w:tcW w:w="2334" w:type="dxa"/>
                  <w:gridSpan w:val="4"/>
                  <w:tcBorders>
                    <w:left w:val="single" w:color="auto" w:sz="4" w:space="0"/>
                    <w:right w:val="single" w:color="auto" w:sz="4" w:space="0"/>
                  </w:tcBorders>
                  <w:noWrap/>
                  <w:vAlign w:val="center"/>
                </w:tcPr>
                <w:p>
                  <w:pPr>
                    <w:pStyle w:val="43"/>
                    <w:rPr>
                      <w:szCs w:val="21"/>
                      <w:u w:val="single"/>
                    </w:rPr>
                  </w:pPr>
                  <w:r>
                    <w:rPr>
                      <w:rFonts w:hint="eastAsia"/>
                      <w:szCs w:val="21"/>
                      <w:u w:val="single"/>
                    </w:rPr>
                    <w:t>一级保护区水域边界上溯2000m至下边界下延200m之间</w:t>
                  </w:r>
                </w:p>
              </w:tc>
              <w:tc>
                <w:tcPr>
                  <w:tcW w:w="1743" w:type="dxa"/>
                  <w:gridSpan w:val="2"/>
                  <w:tcBorders>
                    <w:left w:val="single" w:color="auto" w:sz="4" w:space="0"/>
                    <w:right w:val="single" w:color="auto" w:sz="4" w:space="0"/>
                  </w:tcBorders>
                  <w:noWrap/>
                  <w:vAlign w:val="center"/>
                </w:tcPr>
                <w:p>
                  <w:pPr>
                    <w:pStyle w:val="43"/>
                    <w:rPr>
                      <w:szCs w:val="21"/>
                      <w:u w:val="single"/>
                    </w:rPr>
                  </w:pPr>
                  <w:r>
                    <w:rPr>
                      <w:rFonts w:hint="eastAsia"/>
                      <w:szCs w:val="21"/>
                      <w:u w:val="single"/>
                    </w:rPr>
                    <w:t>二级饮用水源保护区</w:t>
                  </w:r>
                </w:p>
              </w:tc>
              <w:tc>
                <w:tcPr>
                  <w:tcW w:w="1213" w:type="dxa"/>
                  <w:tcBorders>
                    <w:left w:val="single" w:color="auto" w:sz="4" w:space="0"/>
                    <w:right w:val="single" w:color="auto" w:sz="12" w:space="0"/>
                  </w:tcBorders>
                  <w:noWrap/>
                  <w:vAlign w:val="center"/>
                </w:tcPr>
                <w:p>
                  <w:pPr>
                    <w:pStyle w:val="43"/>
                    <w:rPr>
                      <w:szCs w:val="21"/>
                      <w:u w:val="single"/>
                    </w:rPr>
                  </w:pPr>
                  <w:r>
                    <w:rPr>
                      <w:szCs w:val="21"/>
                      <w:u w:val="single"/>
                    </w:rPr>
                    <w:t>（GB3838-2002）中Ⅲ类标准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680" w:type="dxa"/>
                  <w:vMerge w:val="continue"/>
                  <w:tcBorders>
                    <w:left w:val="single" w:color="auto" w:sz="12" w:space="0"/>
                    <w:right w:val="single" w:color="auto" w:sz="4" w:space="0"/>
                  </w:tcBorders>
                  <w:noWrap/>
                  <w:vAlign w:val="center"/>
                </w:tcPr>
                <w:p>
                  <w:pPr>
                    <w:jc w:val="center"/>
                    <w:rPr>
                      <w:szCs w:val="21"/>
                      <w:u w:val="single"/>
                    </w:rPr>
                  </w:pPr>
                </w:p>
              </w:tc>
              <w:tc>
                <w:tcPr>
                  <w:tcW w:w="1907" w:type="dxa"/>
                  <w:gridSpan w:val="2"/>
                  <w:vMerge w:val="restart"/>
                  <w:tcBorders>
                    <w:top w:val="single" w:color="auto" w:sz="4" w:space="0"/>
                    <w:left w:val="single" w:color="auto" w:sz="4" w:space="0"/>
                    <w:right w:val="single" w:color="auto" w:sz="4" w:space="0"/>
                  </w:tcBorders>
                  <w:noWrap/>
                  <w:vAlign w:val="center"/>
                </w:tcPr>
                <w:p>
                  <w:pPr>
                    <w:jc w:val="center"/>
                    <w:rPr>
                      <w:szCs w:val="21"/>
                      <w:u w:val="single"/>
                    </w:rPr>
                  </w:pPr>
                  <w:r>
                    <w:rPr>
                      <w:rFonts w:hint="eastAsia"/>
                      <w:szCs w:val="21"/>
                      <w:u w:val="single"/>
                    </w:rPr>
                    <w:t>湘江屈原段</w:t>
                  </w:r>
                </w:p>
              </w:tc>
              <w:tc>
                <w:tcPr>
                  <w:tcW w:w="2334" w:type="dxa"/>
                  <w:gridSpan w:val="4"/>
                  <w:tcBorders>
                    <w:left w:val="single" w:color="auto" w:sz="4" w:space="0"/>
                    <w:right w:val="single" w:color="auto" w:sz="4" w:space="0"/>
                  </w:tcBorders>
                  <w:noWrap/>
                  <w:vAlign w:val="center"/>
                </w:tcPr>
                <w:p>
                  <w:pPr>
                    <w:pStyle w:val="43"/>
                    <w:rPr>
                      <w:szCs w:val="21"/>
                      <w:u w:val="single"/>
                    </w:rPr>
                  </w:pPr>
                  <w:r>
                    <w:rPr>
                      <w:rFonts w:hint="eastAsia"/>
                      <w:szCs w:val="21"/>
                      <w:u w:val="single"/>
                    </w:rPr>
                    <w:t>取水口上游1000m至取水口下游100m（航道除外）</w:t>
                  </w:r>
                </w:p>
              </w:tc>
              <w:tc>
                <w:tcPr>
                  <w:tcW w:w="1743" w:type="dxa"/>
                  <w:gridSpan w:val="2"/>
                  <w:tcBorders>
                    <w:left w:val="single" w:color="auto" w:sz="4" w:space="0"/>
                    <w:right w:val="single" w:color="auto" w:sz="4" w:space="0"/>
                  </w:tcBorders>
                  <w:noWrap/>
                  <w:vAlign w:val="center"/>
                </w:tcPr>
                <w:p>
                  <w:pPr>
                    <w:pStyle w:val="43"/>
                    <w:rPr>
                      <w:szCs w:val="21"/>
                      <w:u w:val="single"/>
                    </w:rPr>
                  </w:pPr>
                  <w:r>
                    <w:rPr>
                      <w:rFonts w:hint="eastAsia"/>
                      <w:szCs w:val="21"/>
                      <w:u w:val="single"/>
                    </w:rPr>
                    <w:t>一级饮用水源保护区</w:t>
                  </w:r>
                </w:p>
              </w:tc>
              <w:tc>
                <w:tcPr>
                  <w:tcW w:w="1213" w:type="dxa"/>
                  <w:tcBorders>
                    <w:left w:val="single" w:color="auto" w:sz="4" w:space="0"/>
                    <w:right w:val="single" w:color="auto" w:sz="12" w:space="0"/>
                  </w:tcBorders>
                  <w:noWrap/>
                  <w:vAlign w:val="center"/>
                </w:tcPr>
                <w:p>
                  <w:pPr>
                    <w:pStyle w:val="43"/>
                    <w:rPr>
                      <w:szCs w:val="21"/>
                      <w:u w:val="single"/>
                    </w:rPr>
                  </w:pPr>
                  <w:r>
                    <w:rPr>
                      <w:szCs w:val="21"/>
                      <w:u w:val="single"/>
                    </w:rPr>
                    <w:t>（GB3838-2002）中Ⅱ类标准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680" w:type="dxa"/>
                  <w:vMerge w:val="continue"/>
                  <w:tcBorders>
                    <w:left w:val="single" w:color="auto" w:sz="12" w:space="0"/>
                    <w:right w:val="single" w:color="auto" w:sz="4" w:space="0"/>
                  </w:tcBorders>
                  <w:noWrap/>
                  <w:vAlign w:val="center"/>
                </w:tcPr>
                <w:p>
                  <w:pPr>
                    <w:jc w:val="center"/>
                    <w:rPr>
                      <w:szCs w:val="21"/>
                      <w:u w:val="single"/>
                    </w:rPr>
                  </w:pPr>
                </w:p>
              </w:tc>
              <w:tc>
                <w:tcPr>
                  <w:tcW w:w="1907" w:type="dxa"/>
                  <w:gridSpan w:val="2"/>
                  <w:vMerge w:val="continue"/>
                  <w:tcBorders>
                    <w:left w:val="single" w:color="auto" w:sz="4" w:space="0"/>
                    <w:bottom w:val="single" w:color="auto" w:sz="4" w:space="0"/>
                    <w:right w:val="single" w:color="auto" w:sz="4" w:space="0"/>
                  </w:tcBorders>
                  <w:noWrap/>
                  <w:vAlign w:val="center"/>
                </w:tcPr>
                <w:p>
                  <w:pPr>
                    <w:jc w:val="center"/>
                    <w:rPr>
                      <w:szCs w:val="21"/>
                      <w:u w:val="single"/>
                    </w:rPr>
                  </w:pPr>
                </w:p>
              </w:tc>
              <w:tc>
                <w:tcPr>
                  <w:tcW w:w="2334" w:type="dxa"/>
                  <w:gridSpan w:val="4"/>
                  <w:tcBorders>
                    <w:left w:val="single" w:color="auto" w:sz="4" w:space="0"/>
                    <w:bottom w:val="single" w:color="auto" w:sz="4" w:space="0"/>
                    <w:right w:val="single" w:color="auto" w:sz="4" w:space="0"/>
                  </w:tcBorders>
                  <w:noWrap/>
                  <w:vAlign w:val="center"/>
                </w:tcPr>
                <w:p>
                  <w:pPr>
                    <w:pStyle w:val="43"/>
                    <w:rPr>
                      <w:szCs w:val="21"/>
                      <w:u w:val="single"/>
                    </w:rPr>
                  </w:pPr>
                  <w:r>
                    <w:rPr>
                      <w:rFonts w:hint="eastAsia"/>
                      <w:szCs w:val="21"/>
                      <w:u w:val="single"/>
                    </w:rPr>
                    <w:t>一级保护区水域边界上溯2000m至下边界下延200m之间</w:t>
                  </w:r>
                </w:p>
              </w:tc>
              <w:tc>
                <w:tcPr>
                  <w:tcW w:w="1743" w:type="dxa"/>
                  <w:gridSpan w:val="2"/>
                  <w:tcBorders>
                    <w:left w:val="single" w:color="auto" w:sz="4" w:space="0"/>
                    <w:bottom w:val="single" w:color="auto" w:sz="4" w:space="0"/>
                    <w:right w:val="single" w:color="auto" w:sz="4" w:space="0"/>
                  </w:tcBorders>
                  <w:noWrap/>
                  <w:vAlign w:val="center"/>
                </w:tcPr>
                <w:p>
                  <w:pPr>
                    <w:pStyle w:val="43"/>
                    <w:rPr>
                      <w:szCs w:val="21"/>
                      <w:u w:val="single"/>
                    </w:rPr>
                  </w:pPr>
                  <w:r>
                    <w:rPr>
                      <w:rFonts w:hint="eastAsia"/>
                      <w:szCs w:val="21"/>
                      <w:u w:val="single"/>
                    </w:rPr>
                    <w:t>二级饮用水源保护区</w:t>
                  </w:r>
                </w:p>
              </w:tc>
              <w:tc>
                <w:tcPr>
                  <w:tcW w:w="1213" w:type="dxa"/>
                  <w:tcBorders>
                    <w:left w:val="single" w:color="auto" w:sz="4" w:space="0"/>
                    <w:right w:val="single" w:color="auto" w:sz="12" w:space="0"/>
                  </w:tcBorders>
                  <w:noWrap/>
                  <w:vAlign w:val="center"/>
                </w:tcPr>
                <w:p>
                  <w:pPr>
                    <w:pStyle w:val="43"/>
                    <w:rPr>
                      <w:szCs w:val="21"/>
                      <w:u w:val="single"/>
                    </w:rPr>
                  </w:pPr>
                  <w:r>
                    <w:rPr>
                      <w:szCs w:val="21"/>
                      <w:u w:val="single"/>
                    </w:rPr>
                    <w:t>（GB3838-2002）中Ⅲ类标准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24" w:hRule="atLeast"/>
                <w:jc w:val="center"/>
              </w:trPr>
              <w:tc>
                <w:tcPr>
                  <w:tcW w:w="680" w:type="dxa"/>
                  <w:vMerge w:val="continue"/>
                  <w:tcBorders>
                    <w:left w:val="single" w:color="auto" w:sz="12" w:space="0"/>
                    <w:bottom w:val="single" w:color="auto" w:sz="4" w:space="0"/>
                    <w:right w:val="single" w:color="auto" w:sz="4" w:space="0"/>
                  </w:tcBorders>
                  <w:noWrap/>
                  <w:vAlign w:val="center"/>
                </w:tcPr>
                <w:p>
                  <w:pPr>
                    <w:jc w:val="center"/>
                    <w:rPr>
                      <w:szCs w:val="21"/>
                      <w:u w:val="single"/>
                    </w:rPr>
                  </w:pPr>
                </w:p>
              </w:tc>
              <w:tc>
                <w:tcPr>
                  <w:tcW w:w="1907" w:type="dxa"/>
                  <w:gridSpan w:val="2"/>
                  <w:tcBorders>
                    <w:top w:val="single" w:color="auto" w:sz="4" w:space="0"/>
                    <w:left w:val="single" w:color="auto" w:sz="4" w:space="0"/>
                    <w:bottom w:val="single" w:color="auto" w:sz="4" w:space="0"/>
                    <w:right w:val="single" w:color="auto" w:sz="4" w:space="0"/>
                  </w:tcBorders>
                  <w:noWrap/>
                  <w:vAlign w:val="center"/>
                </w:tcPr>
                <w:p>
                  <w:pPr>
                    <w:pStyle w:val="43"/>
                    <w:rPr>
                      <w:szCs w:val="21"/>
                      <w:u w:val="single"/>
                    </w:rPr>
                  </w:pPr>
                  <w:r>
                    <w:rPr>
                      <w:szCs w:val="21"/>
                      <w:u w:val="single"/>
                    </w:rPr>
                    <w:t>东洞庭湖湖体（不包括北、西、南沿岸1000米宽水域）</w:t>
                  </w:r>
                </w:p>
              </w:tc>
              <w:tc>
                <w:tcPr>
                  <w:tcW w:w="4077" w:type="dxa"/>
                  <w:gridSpan w:val="6"/>
                  <w:tcBorders>
                    <w:top w:val="single" w:color="auto" w:sz="4" w:space="0"/>
                    <w:left w:val="single" w:color="auto" w:sz="4" w:space="0"/>
                    <w:bottom w:val="single" w:color="auto" w:sz="4" w:space="0"/>
                    <w:right w:val="single" w:color="auto" w:sz="4" w:space="0"/>
                  </w:tcBorders>
                  <w:noWrap/>
                  <w:vAlign w:val="center"/>
                </w:tcPr>
                <w:p>
                  <w:pPr>
                    <w:pStyle w:val="43"/>
                    <w:rPr>
                      <w:szCs w:val="21"/>
                      <w:u w:val="single"/>
                    </w:rPr>
                  </w:pPr>
                  <w:r>
                    <w:rPr>
                      <w:szCs w:val="21"/>
                      <w:u w:val="single"/>
                    </w:rPr>
                    <w:t>自然保护区</w:t>
                  </w:r>
                </w:p>
              </w:tc>
              <w:tc>
                <w:tcPr>
                  <w:tcW w:w="1213" w:type="dxa"/>
                  <w:tcBorders>
                    <w:left w:val="single" w:color="auto" w:sz="4" w:space="0"/>
                    <w:bottom w:val="single" w:color="auto" w:sz="4" w:space="0"/>
                    <w:right w:val="single" w:color="auto" w:sz="12" w:space="0"/>
                  </w:tcBorders>
                  <w:noWrap/>
                  <w:vAlign w:val="center"/>
                </w:tcPr>
                <w:p>
                  <w:pPr>
                    <w:jc w:val="center"/>
                    <w:rPr>
                      <w:szCs w:val="21"/>
                      <w:u w:val="single"/>
                    </w:rPr>
                  </w:pPr>
                  <w:r>
                    <w:rPr>
                      <w:szCs w:val="21"/>
                      <w:u w:val="single"/>
                    </w:rPr>
                    <w:t>（GB3838-2002）中Ⅲ类标准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680" w:type="dxa"/>
                  <w:vMerge w:val="restart"/>
                  <w:tcBorders>
                    <w:top w:val="single" w:color="auto" w:sz="4" w:space="0"/>
                    <w:left w:val="single" w:color="auto" w:sz="12" w:space="0"/>
                    <w:right w:val="single" w:color="auto" w:sz="4" w:space="0"/>
                  </w:tcBorders>
                  <w:noWrap/>
                  <w:vAlign w:val="center"/>
                </w:tcPr>
                <w:p>
                  <w:pPr>
                    <w:jc w:val="center"/>
                    <w:rPr>
                      <w:szCs w:val="21"/>
                      <w:u w:val="single"/>
                    </w:rPr>
                  </w:pPr>
                  <w:r>
                    <w:rPr>
                      <w:szCs w:val="21"/>
                      <w:u w:val="single"/>
                    </w:rPr>
                    <w:t>生态环境</w:t>
                  </w:r>
                </w:p>
              </w:tc>
              <w:tc>
                <w:tcPr>
                  <w:tcW w:w="7197" w:type="dxa"/>
                  <w:gridSpan w:val="9"/>
                  <w:tcBorders>
                    <w:top w:val="single" w:color="auto" w:sz="4" w:space="0"/>
                    <w:left w:val="single" w:color="auto" w:sz="4" w:space="0"/>
                    <w:bottom w:val="single" w:color="auto" w:sz="4" w:space="0"/>
                    <w:right w:val="single" w:color="auto" w:sz="12" w:space="0"/>
                  </w:tcBorders>
                  <w:noWrap/>
                  <w:vAlign w:val="center"/>
                </w:tcPr>
                <w:p>
                  <w:pPr>
                    <w:jc w:val="center"/>
                    <w:rPr>
                      <w:u w:val="single"/>
                    </w:rPr>
                  </w:pPr>
                  <w:r>
                    <w:rPr>
                      <w:u w:val="single"/>
                    </w:rPr>
                    <w:t>东洞庭湖自然保护区</w:t>
                  </w:r>
                  <w:r>
                    <w:rPr>
                      <w:rFonts w:hint="eastAsia"/>
                      <w:u w:val="single"/>
                    </w:rPr>
                    <w:t>，停靠点距离缓冲区1588m、停靠点距离核心区6756m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680" w:type="dxa"/>
                  <w:vMerge w:val="continue"/>
                  <w:tcBorders>
                    <w:left w:val="single" w:color="auto" w:sz="12" w:space="0"/>
                    <w:right w:val="single" w:color="auto" w:sz="4" w:space="0"/>
                  </w:tcBorders>
                  <w:noWrap/>
                  <w:vAlign w:val="center"/>
                </w:tcPr>
                <w:p>
                  <w:pPr>
                    <w:jc w:val="center"/>
                    <w:rPr>
                      <w:szCs w:val="21"/>
                      <w:u w:val="single"/>
                    </w:rPr>
                  </w:pPr>
                </w:p>
              </w:tc>
              <w:tc>
                <w:tcPr>
                  <w:tcW w:w="1917" w:type="dxa"/>
                  <w:gridSpan w:val="3"/>
                  <w:tcBorders>
                    <w:top w:val="single" w:color="auto" w:sz="4" w:space="0"/>
                    <w:left w:val="single" w:color="auto" w:sz="4" w:space="0"/>
                    <w:bottom w:val="single" w:color="auto" w:sz="4" w:space="0"/>
                    <w:right w:val="single" w:color="auto" w:sz="4" w:space="0"/>
                  </w:tcBorders>
                  <w:noWrap/>
                  <w:vAlign w:val="center"/>
                </w:tcPr>
                <w:p>
                  <w:pPr>
                    <w:jc w:val="center"/>
                    <w:rPr>
                      <w:u w:val="single"/>
                    </w:rPr>
                  </w:pPr>
                  <w:r>
                    <w:rPr>
                      <w:u w:val="single"/>
                    </w:rPr>
                    <w:t>东洞庭湖江豚自然保护区</w:t>
                  </w:r>
                </w:p>
              </w:tc>
              <w:tc>
                <w:tcPr>
                  <w:tcW w:w="5280" w:type="dxa"/>
                  <w:gridSpan w:val="6"/>
                  <w:tcBorders>
                    <w:top w:val="single" w:color="auto" w:sz="4" w:space="0"/>
                    <w:left w:val="single" w:color="auto" w:sz="4" w:space="0"/>
                    <w:bottom w:val="single" w:color="auto" w:sz="4" w:space="0"/>
                    <w:right w:val="single" w:color="auto" w:sz="12" w:space="0"/>
                  </w:tcBorders>
                  <w:noWrap/>
                  <w:vAlign w:val="center"/>
                </w:tcPr>
                <w:p>
                  <w:pPr>
                    <w:jc w:val="center"/>
                    <w:rPr>
                      <w:u w:val="single"/>
                    </w:rPr>
                  </w:pPr>
                  <w:r>
                    <w:rPr>
                      <w:u w:val="single"/>
                    </w:rPr>
                    <w:t>国家</w:t>
                  </w:r>
                  <w:ins w:id="4" w:author="易鸣" w:date="2021-11-22T23:08:00Z">
                    <w:r>
                      <w:rPr>
                        <w:rFonts w:hint="eastAsia"/>
                        <w:u w:val="single"/>
                      </w:rPr>
                      <w:t>一</w:t>
                    </w:r>
                  </w:ins>
                  <w:r>
                    <w:rPr>
                      <w:u w:val="single"/>
                    </w:rPr>
                    <w:t>级保护动物</w:t>
                  </w:r>
                  <w:r>
                    <w:rPr>
                      <w:rFonts w:hint="eastAsia"/>
                      <w:u w:val="single"/>
                    </w:rPr>
                    <w:t>，项目收集船航道在江豚自然 保护区范围内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680" w:type="dxa"/>
                  <w:vMerge w:val="continue"/>
                  <w:tcBorders>
                    <w:left w:val="single" w:color="auto" w:sz="12" w:space="0"/>
                    <w:bottom w:val="single" w:color="auto" w:sz="4" w:space="0"/>
                    <w:right w:val="single" w:color="auto" w:sz="4" w:space="0"/>
                  </w:tcBorders>
                  <w:noWrap/>
                  <w:vAlign w:val="center"/>
                </w:tcPr>
                <w:p>
                  <w:pPr>
                    <w:jc w:val="center"/>
                    <w:rPr>
                      <w:szCs w:val="21"/>
                      <w:u w:val="single"/>
                    </w:rPr>
                  </w:pPr>
                </w:p>
              </w:tc>
              <w:tc>
                <w:tcPr>
                  <w:tcW w:w="1917" w:type="dxa"/>
                  <w:gridSpan w:val="3"/>
                  <w:tcBorders>
                    <w:top w:val="single" w:color="auto" w:sz="4" w:space="0"/>
                    <w:left w:val="single" w:color="auto" w:sz="4" w:space="0"/>
                    <w:bottom w:val="single" w:color="auto" w:sz="4" w:space="0"/>
                    <w:right w:val="single" w:color="auto" w:sz="4" w:space="0"/>
                  </w:tcBorders>
                  <w:noWrap/>
                  <w:vAlign w:val="center"/>
                </w:tcPr>
                <w:p>
                  <w:pPr>
                    <w:jc w:val="center"/>
                    <w:rPr>
                      <w:u w:val="single"/>
                    </w:rPr>
                  </w:pPr>
                  <w:r>
                    <w:rPr>
                      <w:rFonts w:hint="eastAsia"/>
                      <w:u w:val="single"/>
                    </w:rPr>
                    <w:t>水产种质资源保护区</w:t>
                  </w:r>
                </w:p>
              </w:tc>
              <w:tc>
                <w:tcPr>
                  <w:tcW w:w="5280" w:type="dxa"/>
                  <w:gridSpan w:val="6"/>
                  <w:tcBorders>
                    <w:top w:val="single" w:color="auto" w:sz="4" w:space="0"/>
                    <w:left w:val="single" w:color="auto" w:sz="4" w:space="0"/>
                    <w:bottom w:val="single" w:color="auto" w:sz="4" w:space="0"/>
                    <w:right w:val="single" w:color="auto" w:sz="12" w:space="0"/>
                  </w:tcBorders>
                  <w:noWrap/>
                  <w:vAlign w:val="center"/>
                </w:tcPr>
                <w:p>
                  <w:pPr>
                    <w:jc w:val="center"/>
                    <w:rPr>
                      <w:u w:val="single"/>
                    </w:rPr>
                  </w:pPr>
                  <w:r>
                    <w:rPr>
                      <w:u w:val="single"/>
                    </w:rPr>
                    <w:t>鲤、鲫、黄</w:t>
                  </w:r>
                  <w:r>
                    <w:rPr>
                      <w:rFonts w:hint="eastAsia"/>
                      <w:u w:val="single"/>
                    </w:rPr>
                    <w:t>顙</w:t>
                  </w:r>
                  <w:r>
                    <w:rPr>
                      <w:u w:val="single"/>
                    </w:rPr>
                    <w:t>鱼、</w:t>
                  </w:r>
                  <w:r>
                    <w:rPr>
                      <w:rFonts w:hint="eastAsia"/>
                      <w:u w:val="single"/>
                    </w:rPr>
                    <w:t>鲶、</w:t>
                  </w:r>
                  <w:r>
                    <w:rPr>
                      <w:u w:val="single"/>
                    </w:rPr>
                    <w:t>短颌鲚水生生态系统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680" w:type="dxa"/>
                  <w:tcBorders>
                    <w:top w:val="single" w:color="auto" w:sz="4" w:space="0"/>
                    <w:left w:val="single" w:color="auto" w:sz="12" w:space="0"/>
                    <w:bottom w:val="single" w:color="auto" w:sz="4" w:space="0"/>
                    <w:right w:val="single" w:color="auto" w:sz="4" w:space="0"/>
                  </w:tcBorders>
                  <w:noWrap/>
                  <w:vAlign w:val="center"/>
                </w:tcPr>
                <w:p>
                  <w:pPr>
                    <w:jc w:val="center"/>
                    <w:rPr>
                      <w:szCs w:val="21"/>
                      <w:u w:val="single"/>
                    </w:rPr>
                  </w:pPr>
                  <w:r>
                    <w:rPr>
                      <w:szCs w:val="21"/>
                      <w:u w:val="single"/>
                    </w:rPr>
                    <w:t>环境风险</w:t>
                  </w:r>
                </w:p>
              </w:tc>
              <w:tc>
                <w:tcPr>
                  <w:tcW w:w="7197" w:type="dxa"/>
                  <w:gridSpan w:val="9"/>
                  <w:tcBorders>
                    <w:top w:val="single" w:color="auto" w:sz="4" w:space="0"/>
                    <w:left w:val="single" w:color="auto" w:sz="4" w:space="0"/>
                    <w:bottom w:val="single" w:color="auto" w:sz="4" w:space="0"/>
                    <w:right w:val="single" w:color="auto" w:sz="12" w:space="0"/>
                  </w:tcBorders>
                  <w:noWrap/>
                  <w:vAlign w:val="center"/>
                </w:tcPr>
                <w:p>
                  <w:pPr>
                    <w:jc w:val="center"/>
                    <w:rPr>
                      <w:szCs w:val="21"/>
                      <w:u w:val="single"/>
                    </w:rPr>
                  </w:pPr>
                  <w:r>
                    <w:rPr>
                      <w:szCs w:val="21"/>
                      <w:u w:val="single"/>
                    </w:rPr>
                    <w:t>码头及周边船舶</w:t>
                  </w:r>
                </w:p>
              </w:tc>
            </w:tr>
          </w:tbl>
          <w:p>
            <w:pPr>
              <w:adjustRightInd w:val="0"/>
              <w:snapToGrid w:val="0"/>
              <w:rPr>
                <w:rFonts w:ascii="宋体" w:hAnsi="宋体" w:cs="宋体"/>
                <w:kern w:val="0"/>
                <w:szCs w:val="21"/>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800" w:type="dxa"/>
            <w:tcBorders>
              <w:tl2br w:val="nil"/>
              <w:tr2bl w:val="nil"/>
            </w:tcBorders>
            <w:noWrap/>
            <w:tcMar>
              <w:left w:w="28" w:type="dxa"/>
              <w:right w:w="28" w:type="dxa"/>
            </w:tcMar>
            <w:vAlign w:val="center"/>
          </w:tcPr>
          <w:p>
            <w:pPr>
              <w:adjustRightInd w:val="0"/>
              <w:snapToGrid w:val="0"/>
              <w:jc w:val="center"/>
              <w:rPr>
                <w:rFonts w:ascii="宋体" w:hAnsi="宋体" w:cs="宋体"/>
                <w:kern w:val="0"/>
                <w:szCs w:val="21"/>
              </w:rPr>
            </w:pPr>
            <w:r>
              <w:rPr>
                <w:rFonts w:hint="eastAsia" w:ascii="宋体" w:hAnsi="宋体" w:cs="宋体"/>
                <w:kern w:val="0"/>
                <w:szCs w:val="21"/>
              </w:rPr>
              <w:t>污染</w:t>
            </w:r>
          </w:p>
          <w:p>
            <w:pPr>
              <w:adjustRightInd w:val="0"/>
              <w:snapToGrid w:val="0"/>
              <w:jc w:val="center"/>
              <w:rPr>
                <w:rFonts w:ascii="宋体" w:hAnsi="宋体" w:cs="宋体"/>
                <w:kern w:val="0"/>
                <w:szCs w:val="21"/>
              </w:rPr>
            </w:pPr>
            <w:r>
              <w:rPr>
                <w:rFonts w:hint="eastAsia" w:ascii="宋体" w:hAnsi="宋体" w:cs="宋体"/>
                <w:kern w:val="0"/>
                <w:szCs w:val="21"/>
              </w:rPr>
              <w:t>物排</w:t>
            </w:r>
          </w:p>
          <w:p>
            <w:pPr>
              <w:adjustRightInd w:val="0"/>
              <w:snapToGrid w:val="0"/>
              <w:jc w:val="center"/>
              <w:rPr>
                <w:rFonts w:ascii="宋体" w:hAnsi="宋体" w:cs="宋体"/>
                <w:kern w:val="0"/>
                <w:szCs w:val="21"/>
              </w:rPr>
            </w:pPr>
            <w:r>
              <w:rPr>
                <w:rFonts w:hint="eastAsia" w:ascii="宋体" w:hAnsi="宋体" w:cs="宋体"/>
                <w:kern w:val="0"/>
                <w:szCs w:val="21"/>
              </w:rPr>
              <w:t>放控</w:t>
            </w:r>
          </w:p>
          <w:p>
            <w:pPr>
              <w:adjustRightInd w:val="0"/>
              <w:snapToGrid w:val="0"/>
              <w:jc w:val="center"/>
              <w:rPr>
                <w:rFonts w:ascii="宋体" w:hAnsi="宋体" w:cs="宋体"/>
                <w:kern w:val="0"/>
                <w:szCs w:val="21"/>
              </w:rPr>
            </w:pPr>
            <w:r>
              <w:rPr>
                <w:rFonts w:hint="eastAsia" w:ascii="宋体" w:hAnsi="宋体" w:cs="宋体"/>
                <w:kern w:val="0"/>
                <w:szCs w:val="21"/>
              </w:rPr>
              <w:t>制标</w:t>
            </w:r>
          </w:p>
          <w:p>
            <w:pPr>
              <w:adjustRightInd w:val="0"/>
              <w:snapToGrid w:val="0"/>
              <w:jc w:val="center"/>
              <w:rPr>
                <w:rFonts w:ascii="宋体" w:hAnsi="宋体" w:cs="宋体"/>
                <w:kern w:val="0"/>
                <w:szCs w:val="21"/>
              </w:rPr>
            </w:pPr>
            <w:r>
              <w:rPr>
                <w:rFonts w:hint="eastAsia" w:ascii="宋体" w:hAnsi="宋体" w:cs="宋体"/>
                <w:kern w:val="0"/>
                <w:szCs w:val="21"/>
              </w:rPr>
              <w:t>准</w:t>
            </w:r>
          </w:p>
        </w:tc>
        <w:tc>
          <w:tcPr>
            <w:tcW w:w="8190" w:type="dxa"/>
            <w:tcBorders>
              <w:tl2br w:val="nil"/>
              <w:tr2bl w:val="nil"/>
            </w:tcBorders>
            <w:noWrap/>
            <w:vAlign w:val="center"/>
          </w:tcPr>
          <w:p>
            <w:pPr>
              <w:spacing w:line="360" w:lineRule="auto"/>
              <w:rPr>
                <w:b/>
                <w:sz w:val="24"/>
              </w:rPr>
            </w:pPr>
            <w:r>
              <w:rPr>
                <w:b/>
                <w:sz w:val="24"/>
              </w:rPr>
              <w:t>1</w:t>
            </w:r>
            <w:r>
              <w:rPr>
                <w:rFonts w:hint="eastAsia" w:cs="宋体"/>
                <w:b/>
                <w:sz w:val="24"/>
              </w:rPr>
              <w:t>、废气</w:t>
            </w:r>
          </w:p>
          <w:p>
            <w:pPr>
              <w:pStyle w:val="20"/>
              <w:spacing w:before="0" w:beforeAutospacing="0" w:after="0" w:afterAutospacing="0" w:line="360" w:lineRule="auto"/>
              <w:ind w:firstLine="480" w:firstLineChars="200"/>
              <w:jc w:val="center"/>
            </w:pPr>
            <w:r>
              <w:rPr>
                <w:rFonts w:hint="eastAsia"/>
              </w:rPr>
              <w:t>执行《大气污染物综合排放标准》（</w:t>
            </w:r>
            <w:r>
              <w:t>GB16297-1996</w:t>
            </w:r>
            <w:r>
              <w:rPr>
                <w:rFonts w:hint="eastAsia"/>
              </w:rPr>
              <w:t>）表2中的标准。</w:t>
            </w:r>
          </w:p>
          <w:p>
            <w:pPr>
              <w:pStyle w:val="20"/>
              <w:spacing w:before="0" w:beforeAutospacing="0" w:after="0" w:afterAutospacing="0" w:line="360" w:lineRule="auto"/>
              <w:ind w:firstLine="422" w:firstLineChars="200"/>
              <w:jc w:val="center"/>
              <w:rPr>
                <w:rFonts w:ascii="Times New Roman" w:hAnsi="Times New Roman" w:cs="Times New Roman"/>
                <w:b/>
                <w:bCs/>
                <w:sz w:val="21"/>
                <w:szCs w:val="21"/>
              </w:rPr>
            </w:pPr>
          </w:p>
          <w:p>
            <w:pPr>
              <w:pStyle w:val="20"/>
              <w:spacing w:before="0" w:beforeAutospacing="0" w:after="0" w:afterAutospacing="0" w:line="360" w:lineRule="auto"/>
              <w:ind w:firstLine="422" w:firstLineChars="200"/>
              <w:jc w:val="center"/>
              <w:rPr>
                <w:rFonts w:ascii="Times New Roman" w:hAnsi="Times New Roman" w:cs="Times New Roman"/>
                <w:b/>
                <w:bCs/>
                <w:sz w:val="21"/>
                <w:szCs w:val="21"/>
              </w:rPr>
            </w:pPr>
            <w:r>
              <w:rPr>
                <w:rFonts w:ascii="Times New Roman" w:hAnsi="Times New Roman" w:cs="Times New Roman"/>
                <w:b/>
                <w:bCs/>
                <w:sz w:val="21"/>
                <w:szCs w:val="21"/>
              </w:rPr>
              <w:t>表3-</w:t>
            </w:r>
            <w:r>
              <w:rPr>
                <w:rFonts w:hint="eastAsia" w:ascii="Times New Roman" w:hAnsi="Times New Roman" w:cs="Times New Roman"/>
                <w:b/>
                <w:bCs/>
                <w:sz w:val="21"/>
                <w:szCs w:val="21"/>
                <w:lang w:val="en-US" w:eastAsia="zh-CN"/>
              </w:rPr>
              <w:t>8</w:t>
            </w:r>
            <w:r>
              <w:rPr>
                <w:rFonts w:ascii="Times New Roman" w:hAnsi="Times New Roman" w:cs="Times New Roman"/>
                <w:b/>
                <w:bCs/>
                <w:sz w:val="21"/>
                <w:szCs w:val="21"/>
              </w:rPr>
              <w:t>《大气污染物综合排放标准》（GB16297-1996）</w:t>
            </w:r>
          </w:p>
          <w:tbl>
            <w:tblPr>
              <w:tblStyle w:val="24"/>
              <w:tblW w:w="811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966"/>
              <w:gridCol w:w="415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0" w:hRule="exact"/>
                <w:jc w:val="center"/>
              </w:trPr>
              <w:tc>
                <w:tcPr>
                  <w:tcW w:w="3966" w:type="dxa"/>
                  <w:tcBorders>
                    <w:tl2br w:val="nil"/>
                    <w:tr2bl w:val="nil"/>
                  </w:tcBorders>
                  <w:noWrap/>
                </w:tcPr>
                <w:p>
                  <w:pPr>
                    <w:jc w:val="center"/>
                    <w:rPr>
                      <w:szCs w:val="21"/>
                    </w:rPr>
                  </w:pPr>
                  <w:r>
                    <w:rPr>
                      <w:rFonts w:hint="eastAsia" w:cs="宋体"/>
                      <w:szCs w:val="21"/>
                    </w:rPr>
                    <w:t>评价标准</w:t>
                  </w:r>
                </w:p>
              </w:tc>
              <w:tc>
                <w:tcPr>
                  <w:tcW w:w="4153" w:type="dxa"/>
                  <w:tcBorders>
                    <w:tl2br w:val="nil"/>
                    <w:tr2bl w:val="nil"/>
                  </w:tcBorders>
                  <w:noWrap/>
                </w:tcPr>
                <w:p>
                  <w:pPr>
                    <w:jc w:val="center"/>
                    <w:rPr>
                      <w:szCs w:val="21"/>
                    </w:rPr>
                  </w:pPr>
                  <w:r>
                    <w:rPr>
                      <w:rFonts w:hint="eastAsia" w:cs="宋体"/>
                      <w:szCs w:val="21"/>
                    </w:rPr>
                    <w:t>无组织排放监控浓度限制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0" w:hRule="exact"/>
                <w:jc w:val="center"/>
              </w:trPr>
              <w:tc>
                <w:tcPr>
                  <w:tcW w:w="3966" w:type="dxa"/>
                  <w:tcBorders>
                    <w:tl2br w:val="nil"/>
                    <w:tr2bl w:val="nil"/>
                  </w:tcBorders>
                  <w:noWrap/>
                </w:tcPr>
                <w:p>
                  <w:pPr>
                    <w:jc w:val="center"/>
                    <w:rPr>
                      <w:rFonts w:cs="宋体"/>
                      <w:szCs w:val="21"/>
                    </w:rPr>
                  </w:pPr>
                  <w:r>
                    <w:rPr>
                      <w:rFonts w:hint="eastAsia" w:cs="宋体"/>
                      <w:szCs w:val="21"/>
                    </w:rPr>
                    <w:t>SO</w:t>
                  </w:r>
                  <w:r>
                    <w:rPr>
                      <w:rFonts w:hint="eastAsia" w:cs="宋体"/>
                      <w:szCs w:val="21"/>
                      <w:vertAlign w:val="subscript"/>
                    </w:rPr>
                    <w:t>2</w:t>
                  </w:r>
                </w:p>
              </w:tc>
              <w:tc>
                <w:tcPr>
                  <w:tcW w:w="4153" w:type="dxa"/>
                  <w:tcBorders>
                    <w:tl2br w:val="nil"/>
                    <w:tr2bl w:val="nil"/>
                  </w:tcBorders>
                  <w:noWrap/>
                </w:tcPr>
                <w:p>
                  <w:pPr>
                    <w:jc w:val="center"/>
                    <w:rPr>
                      <w:rFonts w:cs="宋体"/>
                      <w:szCs w:val="21"/>
                    </w:rPr>
                  </w:pPr>
                  <w:r>
                    <w:rPr>
                      <w:rFonts w:hint="eastAsia" w:cs="宋体"/>
                      <w:szCs w:val="21"/>
                    </w:rPr>
                    <w:t>0.5</w:t>
                  </w:r>
                  <w:r>
                    <w:rPr>
                      <w:szCs w:val="21"/>
                    </w:rPr>
                    <w:t>mg/m³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0" w:hRule="exact"/>
                <w:jc w:val="center"/>
              </w:trPr>
              <w:tc>
                <w:tcPr>
                  <w:tcW w:w="3966" w:type="dxa"/>
                  <w:tcBorders>
                    <w:tl2br w:val="nil"/>
                    <w:tr2bl w:val="nil"/>
                  </w:tcBorders>
                  <w:noWrap/>
                </w:tcPr>
                <w:p>
                  <w:pPr>
                    <w:jc w:val="center"/>
                    <w:rPr>
                      <w:rFonts w:cs="宋体"/>
                      <w:szCs w:val="21"/>
                    </w:rPr>
                  </w:pPr>
                  <w:r>
                    <w:rPr>
                      <w:rFonts w:hint="eastAsia" w:cs="宋体"/>
                      <w:szCs w:val="21"/>
                    </w:rPr>
                    <w:t>颗粒物</w:t>
                  </w:r>
                </w:p>
              </w:tc>
              <w:tc>
                <w:tcPr>
                  <w:tcW w:w="4153" w:type="dxa"/>
                  <w:tcBorders>
                    <w:tl2br w:val="nil"/>
                    <w:tr2bl w:val="nil"/>
                  </w:tcBorders>
                  <w:noWrap/>
                </w:tcPr>
                <w:p>
                  <w:pPr>
                    <w:jc w:val="center"/>
                    <w:rPr>
                      <w:rFonts w:cs="宋体"/>
                      <w:szCs w:val="21"/>
                    </w:rPr>
                  </w:pPr>
                  <w:r>
                    <w:rPr>
                      <w:rFonts w:hint="eastAsia" w:cs="宋体"/>
                      <w:szCs w:val="21"/>
                    </w:rPr>
                    <w:t>1.0</w:t>
                  </w:r>
                  <w:r>
                    <w:rPr>
                      <w:szCs w:val="21"/>
                    </w:rPr>
                    <w:t>mg/m³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0" w:hRule="exact"/>
                <w:jc w:val="center"/>
              </w:trPr>
              <w:tc>
                <w:tcPr>
                  <w:tcW w:w="3966" w:type="dxa"/>
                  <w:tcBorders>
                    <w:tl2br w:val="nil"/>
                    <w:tr2bl w:val="nil"/>
                  </w:tcBorders>
                  <w:noWrap/>
                </w:tcPr>
                <w:p>
                  <w:pPr>
                    <w:jc w:val="center"/>
                    <w:rPr>
                      <w:rFonts w:cs="宋体"/>
                      <w:szCs w:val="21"/>
                    </w:rPr>
                  </w:pPr>
                  <w:r>
                    <w:rPr>
                      <w:rFonts w:hint="eastAsia" w:cs="宋体"/>
                      <w:szCs w:val="21"/>
                    </w:rPr>
                    <w:t>NO</w:t>
                  </w:r>
                  <w:r>
                    <w:rPr>
                      <w:rFonts w:hint="eastAsia" w:cs="宋体"/>
                      <w:szCs w:val="21"/>
                      <w:vertAlign w:val="subscript"/>
                    </w:rPr>
                    <w:t>x</w:t>
                  </w:r>
                </w:p>
              </w:tc>
              <w:tc>
                <w:tcPr>
                  <w:tcW w:w="4153" w:type="dxa"/>
                  <w:tcBorders>
                    <w:tl2br w:val="nil"/>
                    <w:tr2bl w:val="nil"/>
                  </w:tcBorders>
                  <w:noWrap/>
                </w:tcPr>
                <w:p>
                  <w:pPr>
                    <w:jc w:val="center"/>
                    <w:rPr>
                      <w:rFonts w:cs="宋体"/>
                      <w:szCs w:val="21"/>
                    </w:rPr>
                  </w:pPr>
                  <w:r>
                    <w:rPr>
                      <w:rFonts w:hint="eastAsia" w:cs="宋体"/>
                      <w:szCs w:val="21"/>
                    </w:rPr>
                    <w:t>0.15</w:t>
                  </w:r>
                  <w:r>
                    <w:rPr>
                      <w:szCs w:val="21"/>
                    </w:rPr>
                    <w:t>mg/m³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exact"/>
                <w:jc w:val="center"/>
              </w:trPr>
              <w:tc>
                <w:tcPr>
                  <w:tcW w:w="3966" w:type="dxa"/>
                  <w:tcBorders>
                    <w:tl2br w:val="nil"/>
                    <w:tr2bl w:val="nil"/>
                  </w:tcBorders>
                  <w:noWrap/>
                </w:tcPr>
                <w:p>
                  <w:pPr>
                    <w:jc w:val="center"/>
                    <w:rPr>
                      <w:szCs w:val="21"/>
                    </w:rPr>
                  </w:pPr>
                  <w:r>
                    <w:rPr>
                      <w:rFonts w:hint="eastAsia" w:cs="宋体"/>
                      <w:szCs w:val="21"/>
                    </w:rPr>
                    <w:t>非甲烷总烃</w:t>
                  </w:r>
                </w:p>
              </w:tc>
              <w:tc>
                <w:tcPr>
                  <w:tcW w:w="4153" w:type="dxa"/>
                  <w:tcBorders>
                    <w:tl2br w:val="nil"/>
                    <w:tr2bl w:val="nil"/>
                  </w:tcBorders>
                  <w:noWrap/>
                </w:tcPr>
                <w:p>
                  <w:pPr>
                    <w:jc w:val="center"/>
                    <w:rPr>
                      <w:szCs w:val="21"/>
                    </w:rPr>
                  </w:pPr>
                  <w:r>
                    <w:rPr>
                      <w:rFonts w:hint="eastAsia"/>
                      <w:szCs w:val="21"/>
                    </w:rPr>
                    <w:t>4</w:t>
                  </w:r>
                  <w:r>
                    <w:rPr>
                      <w:szCs w:val="21"/>
                    </w:rPr>
                    <w:t>.0mg/m³</w:t>
                  </w:r>
                </w:p>
              </w:tc>
            </w:tr>
          </w:tbl>
          <w:p>
            <w:pPr>
              <w:spacing w:line="324" w:lineRule="auto"/>
              <w:rPr>
                <w:b/>
                <w:sz w:val="24"/>
              </w:rPr>
            </w:pPr>
            <w:r>
              <w:rPr>
                <w:b/>
                <w:sz w:val="24"/>
                <w:u w:val="single"/>
              </w:rPr>
              <w:t>2</w:t>
            </w:r>
            <w:r>
              <w:rPr>
                <w:rFonts w:hint="eastAsia" w:cs="宋体"/>
                <w:b/>
                <w:sz w:val="24"/>
              </w:rPr>
              <w:t>、废水</w:t>
            </w:r>
          </w:p>
          <w:p>
            <w:pPr>
              <w:spacing w:line="360" w:lineRule="auto"/>
              <w:ind w:firstLine="480" w:firstLineChars="200"/>
              <w:rPr>
                <w:rFonts w:cs="宋体"/>
                <w:kern w:val="0"/>
                <w:sz w:val="24"/>
              </w:rPr>
            </w:pPr>
            <w:r>
              <w:rPr>
                <w:rFonts w:hint="eastAsia" w:cs="宋体"/>
                <w:kern w:val="0"/>
                <w:sz w:val="24"/>
              </w:rPr>
              <w:t>项目收集的生活废水和分离处理后的废水暂存船舱，靠岸后通过污水运输车转运至岳阳县污水处理厂处理，处理后达到《城镇污水处理厂污染物排放标准》（GB18918-2002）排入新墙河。</w:t>
            </w:r>
          </w:p>
          <w:p>
            <w:pPr>
              <w:spacing w:line="360" w:lineRule="auto"/>
              <w:ind w:firstLine="422" w:firstLineChars="200"/>
              <w:jc w:val="center"/>
              <w:rPr>
                <w:b/>
                <w:szCs w:val="21"/>
              </w:rPr>
            </w:pPr>
            <w:r>
              <w:rPr>
                <w:rFonts w:hint="eastAsia"/>
                <w:b/>
                <w:szCs w:val="21"/>
              </w:rPr>
              <w:t>表3-</w:t>
            </w:r>
            <w:r>
              <w:rPr>
                <w:rFonts w:hint="eastAsia"/>
                <w:b/>
                <w:szCs w:val="21"/>
                <w:lang w:val="en-US" w:eastAsia="zh-CN"/>
              </w:rPr>
              <w:t>9</w:t>
            </w:r>
            <w:r>
              <w:rPr>
                <w:rFonts w:hint="eastAsia"/>
                <w:b/>
                <w:szCs w:val="21"/>
              </w:rPr>
              <w:t>《城镇污水处理厂污染物排放标准》（GB18918-2002）单位：mg/L（除pH外）</w:t>
            </w:r>
          </w:p>
          <w:tbl>
            <w:tblPr>
              <w:tblStyle w:val="24"/>
              <w:tblW w:w="733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924"/>
              <w:gridCol w:w="796"/>
              <w:gridCol w:w="816"/>
              <w:gridCol w:w="846"/>
              <w:gridCol w:w="865"/>
              <w:gridCol w:w="1061"/>
              <w:gridCol w:w="102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67" w:hRule="atLeast"/>
                <w:jc w:val="center"/>
              </w:trPr>
              <w:tc>
                <w:tcPr>
                  <w:tcW w:w="1924" w:type="dxa"/>
                  <w:noWrap/>
                  <w:vAlign w:val="center"/>
                </w:tcPr>
                <w:p>
                  <w:pPr>
                    <w:adjustRightInd w:val="0"/>
                    <w:snapToGrid w:val="0"/>
                    <w:jc w:val="center"/>
                    <w:rPr>
                      <w:szCs w:val="21"/>
                    </w:rPr>
                  </w:pPr>
                  <w:r>
                    <w:rPr>
                      <w:szCs w:val="21"/>
                    </w:rPr>
                    <w:t>污染因子</w:t>
                  </w:r>
                </w:p>
              </w:tc>
              <w:tc>
                <w:tcPr>
                  <w:tcW w:w="796" w:type="dxa"/>
                  <w:noWrap/>
                  <w:vAlign w:val="center"/>
                </w:tcPr>
                <w:p>
                  <w:pPr>
                    <w:adjustRightInd w:val="0"/>
                    <w:snapToGrid w:val="0"/>
                    <w:jc w:val="center"/>
                    <w:rPr>
                      <w:szCs w:val="21"/>
                    </w:rPr>
                  </w:pPr>
                  <w:r>
                    <w:rPr>
                      <w:szCs w:val="21"/>
                    </w:rPr>
                    <w:t>pH</w:t>
                  </w:r>
                </w:p>
              </w:tc>
              <w:tc>
                <w:tcPr>
                  <w:tcW w:w="816" w:type="dxa"/>
                  <w:noWrap/>
                  <w:vAlign w:val="center"/>
                </w:tcPr>
                <w:p>
                  <w:pPr>
                    <w:adjustRightInd w:val="0"/>
                    <w:snapToGrid w:val="0"/>
                    <w:jc w:val="center"/>
                    <w:rPr>
                      <w:szCs w:val="21"/>
                    </w:rPr>
                  </w:pPr>
                  <w:r>
                    <w:rPr>
                      <w:szCs w:val="21"/>
                    </w:rPr>
                    <w:t>COD</w:t>
                  </w:r>
                </w:p>
              </w:tc>
              <w:tc>
                <w:tcPr>
                  <w:tcW w:w="846" w:type="dxa"/>
                  <w:noWrap/>
                  <w:vAlign w:val="center"/>
                </w:tcPr>
                <w:p>
                  <w:pPr>
                    <w:adjustRightInd w:val="0"/>
                    <w:snapToGrid w:val="0"/>
                    <w:jc w:val="center"/>
                    <w:rPr>
                      <w:szCs w:val="21"/>
                    </w:rPr>
                  </w:pPr>
                  <w:r>
                    <w:rPr>
                      <w:szCs w:val="21"/>
                    </w:rPr>
                    <w:t>氨氮</w:t>
                  </w:r>
                </w:p>
              </w:tc>
              <w:tc>
                <w:tcPr>
                  <w:tcW w:w="865" w:type="dxa"/>
                  <w:noWrap/>
                  <w:vAlign w:val="center"/>
                </w:tcPr>
                <w:p>
                  <w:pPr>
                    <w:adjustRightInd w:val="0"/>
                    <w:snapToGrid w:val="0"/>
                    <w:jc w:val="center"/>
                    <w:rPr>
                      <w:szCs w:val="21"/>
                    </w:rPr>
                  </w:pPr>
                  <w:r>
                    <w:rPr>
                      <w:szCs w:val="21"/>
                    </w:rPr>
                    <w:t>BOD</w:t>
                  </w:r>
                  <w:r>
                    <w:rPr>
                      <w:szCs w:val="21"/>
                      <w:vertAlign w:val="subscript"/>
                    </w:rPr>
                    <w:t>5</w:t>
                  </w:r>
                </w:p>
              </w:tc>
              <w:tc>
                <w:tcPr>
                  <w:tcW w:w="1061" w:type="dxa"/>
                  <w:noWrap/>
                  <w:vAlign w:val="center"/>
                </w:tcPr>
                <w:p>
                  <w:pPr>
                    <w:adjustRightInd w:val="0"/>
                    <w:snapToGrid w:val="0"/>
                    <w:jc w:val="center"/>
                    <w:rPr>
                      <w:szCs w:val="21"/>
                    </w:rPr>
                  </w:pPr>
                  <w:r>
                    <w:rPr>
                      <w:szCs w:val="21"/>
                    </w:rPr>
                    <w:t>石油类</w:t>
                  </w:r>
                </w:p>
              </w:tc>
              <w:tc>
                <w:tcPr>
                  <w:tcW w:w="1029" w:type="dxa"/>
                  <w:noWrap/>
                  <w:vAlign w:val="center"/>
                </w:tcPr>
                <w:p>
                  <w:pPr>
                    <w:adjustRightInd w:val="0"/>
                    <w:snapToGrid w:val="0"/>
                    <w:jc w:val="center"/>
                    <w:rPr>
                      <w:szCs w:val="21"/>
                    </w:rPr>
                  </w:pPr>
                  <w:r>
                    <w:rPr>
                      <w:szCs w:val="21"/>
                    </w:rPr>
                    <w:t>SS</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1924" w:type="dxa"/>
                  <w:noWrap/>
                  <w:vAlign w:val="center"/>
                </w:tcPr>
                <w:p>
                  <w:pPr>
                    <w:adjustRightInd w:val="0"/>
                    <w:snapToGrid w:val="0"/>
                    <w:jc w:val="center"/>
                    <w:rPr>
                      <w:szCs w:val="21"/>
                    </w:rPr>
                  </w:pPr>
                  <w:r>
                    <w:rPr>
                      <w:rFonts w:hint="eastAsia"/>
                      <w:szCs w:val="21"/>
                    </w:rPr>
                    <w:t>污水处理厂进水水质</w:t>
                  </w:r>
                </w:p>
              </w:tc>
              <w:tc>
                <w:tcPr>
                  <w:tcW w:w="796" w:type="dxa"/>
                  <w:noWrap/>
                  <w:vAlign w:val="center"/>
                </w:tcPr>
                <w:p>
                  <w:pPr>
                    <w:adjustRightInd w:val="0"/>
                    <w:snapToGrid w:val="0"/>
                    <w:jc w:val="center"/>
                    <w:rPr>
                      <w:szCs w:val="21"/>
                    </w:rPr>
                  </w:pPr>
                  <w:r>
                    <w:rPr>
                      <w:rFonts w:hint="eastAsia"/>
                      <w:szCs w:val="21"/>
                    </w:rPr>
                    <w:t>6-9</w:t>
                  </w:r>
                </w:p>
              </w:tc>
              <w:tc>
                <w:tcPr>
                  <w:tcW w:w="816" w:type="dxa"/>
                  <w:noWrap/>
                  <w:vAlign w:val="center"/>
                </w:tcPr>
                <w:p>
                  <w:pPr>
                    <w:adjustRightInd w:val="0"/>
                    <w:snapToGrid w:val="0"/>
                    <w:jc w:val="center"/>
                    <w:rPr>
                      <w:szCs w:val="21"/>
                    </w:rPr>
                  </w:pPr>
                  <w:r>
                    <w:rPr>
                      <w:rFonts w:hint="eastAsia"/>
                      <w:szCs w:val="21"/>
                    </w:rPr>
                    <w:t>500</w:t>
                  </w:r>
                </w:p>
              </w:tc>
              <w:tc>
                <w:tcPr>
                  <w:tcW w:w="846" w:type="dxa"/>
                  <w:noWrap/>
                  <w:vAlign w:val="center"/>
                </w:tcPr>
                <w:p>
                  <w:pPr>
                    <w:adjustRightInd w:val="0"/>
                    <w:snapToGrid w:val="0"/>
                    <w:jc w:val="center"/>
                    <w:rPr>
                      <w:szCs w:val="21"/>
                    </w:rPr>
                  </w:pPr>
                  <w:r>
                    <w:rPr>
                      <w:rFonts w:hint="eastAsia"/>
                      <w:szCs w:val="21"/>
                    </w:rPr>
                    <w:t>-</w:t>
                  </w:r>
                </w:p>
              </w:tc>
              <w:tc>
                <w:tcPr>
                  <w:tcW w:w="865" w:type="dxa"/>
                  <w:noWrap/>
                  <w:vAlign w:val="center"/>
                </w:tcPr>
                <w:p>
                  <w:pPr>
                    <w:adjustRightInd w:val="0"/>
                    <w:snapToGrid w:val="0"/>
                    <w:jc w:val="center"/>
                    <w:rPr>
                      <w:szCs w:val="21"/>
                    </w:rPr>
                  </w:pPr>
                  <w:r>
                    <w:rPr>
                      <w:rFonts w:hint="eastAsia"/>
                      <w:szCs w:val="21"/>
                    </w:rPr>
                    <w:t>300</w:t>
                  </w:r>
                </w:p>
              </w:tc>
              <w:tc>
                <w:tcPr>
                  <w:tcW w:w="1061" w:type="dxa"/>
                  <w:noWrap/>
                  <w:vAlign w:val="center"/>
                </w:tcPr>
                <w:p>
                  <w:pPr>
                    <w:adjustRightInd w:val="0"/>
                    <w:snapToGrid w:val="0"/>
                    <w:jc w:val="center"/>
                    <w:rPr>
                      <w:szCs w:val="21"/>
                    </w:rPr>
                  </w:pPr>
                  <w:r>
                    <w:rPr>
                      <w:rFonts w:hint="eastAsia"/>
                      <w:szCs w:val="21"/>
                    </w:rPr>
                    <w:t>-</w:t>
                  </w:r>
                </w:p>
              </w:tc>
              <w:tc>
                <w:tcPr>
                  <w:tcW w:w="1029" w:type="dxa"/>
                  <w:noWrap/>
                  <w:vAlign w:val="center"/>
                </w:tcPr>
                <w:p>
                  <w:pPr>
                    <w:adjustRightInd w:val="0"/>
                    <w:snapToGrid w:val="0"/>
                    <w:jc w:val="center"/>
                    <w:rPr>
                      <w:szCs w:val="21"/>
                    </w:rPr>
                  </w:pPr>
                  <w:r>
                    <w:rPr>
                      <w:rFonts w:hint="eastAsia"/>
                      <w:szCs w:val="21"/>
                    </w:rPr>
                    <w:t>400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02" w:hRule="atLeast"/>
                <w:jc w:val="center"/>
              </w:trPr>
              <w:tc>
                <w:tcPr>
                  <w:tcW w:w="1924" w:type="dxa"/>
                  <w:noWrap/>
                  <w:vAlign w:val="center"/>
                </w:tcPr>
                <w:p>
                  <w:pPr>
                    <w:adjustRightInd w:val="0"/>
                    <w:snapToGrid w:val="0"/>
                    <w:jc w:val="center"/>
                    <w:rPr>
                      <w:szCs w:val="21"/>
                    </w:rPr>
                  </w:pPr>
                  <w:r>
                    <w:rPr>
                      <w:rFonts w:hint="eastAsia"/>
                      <w:szCs w:val="21"/>
                    </w:rPr>
                    <w:t>一级A标准</w:t>
                  </w:r>
                </w:p>
              </w:tc>
              <w:tc>
                <w:tcPr>
                  <w:tcW w:w="796" w:type="dxa"/>
                  <w:noWrap/>
                  <w:vAlign w:val="center"/>
                </w:tcPr>
                <w:p>
                  <w:pPr>
                    <w:adjustRightInd w:val="0"/>
                    <w:snapToGrid w:val="0"/>
                    <w:jc w:val="center"/>
                    <w:rPr>
                      <w:szCs w:val="21"/>
                    </w:rPr>
                  </w:pPr>
                  <w:r>
                    <w:rPr>
                      <w:rFonts w:hint="eastAsia"/>
                      <w:szCs w:val="21"/>
                    </w:rPr>
                    <w:t>6-9</w:t>
                  </w:r>
                </w:p>
              </w:tc>
              <w:tc>
                <w:tcPr>
                  <w:tcW w:w="816" w:type="dxa"/>
                  <w:noWrap/>
                  <w:vAlign w:val="center"/>
                </w:tcPr>
                <w:p>
                  <w:pPr>
                    <w:adjustRightInd w:val="0"/>
                    <w:snapToGrid w:val="0"/>
                    <w:jc w:val="center"/>
                    <w:rPr>
                      <w:szCs w:val="21"/>
                    </w:rPr>
                  </w:pPr>
                  <w:r>
                    <w:rPr>
                      <w:rFonts w:hint="eastAsia"/>
                      <w:szCs w:val="21"/>
                    </w:rPr>
                    <w:t>50</w:t>
                  </w:r>
                </w:p>
              </w:tc>
              <w:tc>
                <w:tcPr>
                  <w:tcW w:w="846" w:type="dxa"/>
                  <w:noWrap/>
                  <w:vAlign w:val="center"/>
                </w:tcPr>
                <w:p>
                  <w:pPr>
                    <w:adjustRightInd w:val="0"/>
                    <w:snapToGrid w:val="0"/>
                    <w:jc w:val="center"/>
                    <w:rPr>
                      <w:szCs w:val="21"/>
                    </w:rPr>
                  </w:pPr>
                  <w:r>
                    <w:rPr>
                      <w:rFonts w:hint="eastAsia"/>
                      <w:szCs w:val="21"/>
                    </w:rPr>
                    <w:t>5（8）</w:t>
                  </w:r>
                </w:p>
              </w:tc>
              <w:tc>
                <w:tcPr>
                  <w:tcW w:w="865" w:type="dxa"/>
                  <w:noWrap/>
                  <w:vAlign w:val="center"/>
                </w:tcPr>
                <w:p>
                  <w:pPr>
                    <w:adjustRightInd w:val="0"/>
                    <w:snapToGrid w:val="0"/>
                    <w:jc w:val="center"/>
                    <w:rPr>
                      <w:szCs w:val="21"/>
                    </w:rPr>
                  </w:pPr>
                  <w:r>
                    <w:rPr>
                      <w:rFonts w:hint="eastAsia"/>
                      <w:szCs w:val="21"/>
                    </w:rPr>
                    <w:t>10</w:t>
                  </w:r>
                </w:p>
              </w:tc>
              <w:tc>
                <w:tcPr>
                  <w:tcW w:w="1061" w:type="dxa"/>
                  <w:noWrap/>
                  <w:vAlign w:val="center"/>
                </w:tcPr>
                <w:p>
                  <w:pPr>
                    <w:adjustRightInd w:val="0"/>
                    <w:snapToGrid w:val="0"/>
                    <w:jc w:val="center"/>
                    <w:rPr>
                      <w:szCs w:val="21"/>
                    </w:rPr>
                  </w:pPr>
                  <w:r>
                    <w:rPr>
                      <w:rFonts w:hint="eastAsia"/>
                      <w:szCs w:val="21"/>
                    </w:rPr>
                    <w:t>1</w:t>
                  </w:r>
                </w:p>
              </w:tc>
              <w:tc>
                <w:tcPr>
                  <w:tcW w:w="1029" w:type="dxa"/>
                  <w:noWrap/>
                  <w:vAlign w:val="center"/>
                </w:tcPr>
                <w:p>
                  <w:pPr>
                    <w:adjustRightInd w:val="0"/>
                    <w:snapToGrid w:val="0"/>
                    <w:jc w:val="center"/>
                    <w:rPr>
                      <w:szCs w:val="21"/>
                    </w:rPr>
                  </w:pPr>
                  <w:r>
                    <w:rPr>
                      <w:rFonts w:hint="eastAsia"/>
                      <w:szCs w:val="21"/>
                    </w:rPr>
                    <w:t>10</w:t>
                  </w:r>
                </w:p>
              </w:tc>
            </w:tr>
          </w:tbl>
          <w:p>
            <w:pPr>
              <w:spacing w:line="360" w:lineRule="auto"/>
              <w:rPr>
                <w:rFonts w:cs="宋体"/>
                <w:b/>
                <w:sz w:val="24"/>
              </w:rPr>
            </w:pPr>
            <w:r>
              <w:rPr>
                <w:b/>
                <w:sz w:val="24"/>
              </w:rPr>
              <w:t>3</w:t>
            </w:r>
            <w:r>
              <w:rPr>
                <w:rFonts w:hint="eastAsia" w:cs="宋体"/>
                <w:b/>
                <w:sz w:val="24"/>
              </w:rPr>
              <w:t>、噪声</w:t>
            </w:r>
          </w:p>
          <w:p>
            <w:pPr>
              <w:spacing w:line="360" w:lineRule="auto"/>
              <w:ind w:firstLine="480" w:firstLineChars="200"/>
              <w:rPr>
                <w:kern w:val="0"/>
                <w:sz w:val="24"/>
              </w:rPr>
            </w:pPr>
            <w:r>
              <w:rPr>
                <w:rFonts w:hint="eastAsia"/>
                <w:kern w:val="0"/>
                <w:sz w:val="24"/>
              </w:rPr>
              <w:t>内河航道两侧区域执行《工业企业厂界环境噪声排放标准》（GB12348-2008）4类标准，内河航道两侧以外其他区域执行 2类标准。</w:t>
            </w:r>
          </w:p>
          <w:tbl>
            <w:tblPr>
              <w:tblStyle w:val="24"/>
              <w:tblW w:w="801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658"/>
              <w:gridCol w:w="3182"/>
              <w:gridCol w:w="317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658" w:type="dxa"/>
                  <w:tcBorders>
                    <w:tl2br w:val="nil"/>
                    <w:tr2bl w:val="nil"/>
                  </w:tcBorders>
                  <w:noWrap/>
                  <w:vAlign w:val="center"/>
                </w:tcPr>
                <w:p>
                  <w:pPr>
                    <w:jc w:val="center"/>
                    <w:rPr>
                      <w:szCs w:val="21"/>
                    </w:rPr>
                  </w:pPr>
                  <w:r>
                    <w:rPr>
                      <w:szCs w:val="21"/>
                    </w:rPr>
                    <w:t>类别</w:t>
                  </w:r>
                </w:p>
              </w:tc>
              <w:tc>
                <w:tcPr>
                  <w:tcW w:w="3182" w:type="dxa"/>
                  <w:tcBorders>
                    <w:tl2br w:val="nil"/>
                    <w:tr2bl w:val="nil"/>
                  </w:tcBorders>
                  <w:noWrap/>
                  <w:vAlign w:val="center"/>
                </w:tcPr>
                <w:p>
                  <w:pPr>
                    <w:jc w:val="center"/>
                    <w:rPr>
                      <w:szCs w:val="21"/>
                    </w:rPr>
                  </w:pPr>
                  <w:r>
                    <w:rPr>
                      <w:szCs w:val="21"/>
                    </w:rPr>
                    <w:t>昼间</w:t>
                  </w:r>
                </w:p>
              </w:tc>
              <w:tc>
                <w:tcPr>
                  <w:tcW w:w="3179" w:type="dxa"/>
                  <w:tcBorders>
                    <w:tl2br w:val="nil"/>
                    <w:tr2bl w:val="nil"/>
                  </w:tcBorders>
                  <w:noWrap/>
                  <w:vAlign w:val="center"/>
                </w:tcPr>
                <w:p>
                  <w:pPr>
                    <w:jc w:val="center"/>
                    <w:rPr>
                      <w:szCs w:val="21"/>
                    </w:rPr>
                  </w:pPr>
                  <w:r>
                    <w:rPr>
                      <w:szCs w:val="21"/>
                    </w:rPr>
                    <w:t>夜间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1658" w:type="dxa"/>
                  <w:tcBorders>
                    <w:tl2br w:val="nil"/>
                    <w:tr2bl w:val="nil"/>
                  </w:tcBorders>
                  <w:noWrap/>
                  <w:vAlign w:val="center"/>
                </w:tcPr>
                <w:p>
                  <w:pPr>
                    <w:jc w:val="center"/>
                    <w:rPr>
                      <w:szCs w:val="21"/>
                    </w:rPr>
                  </w:pPr>
                  <w:r>
                    <w:rPr>
                      <w:szCs w:val="21"/>
                    </w:rPr>
                    <w:t>2类</w:t>
                  </w:r>
                </w:p>
              </w:tc>
              <w:tc>
                <w:tcPr>
                  <w:tcW w:w="3182" w:type="dxa"/>
                  <w:tcBorders>
                    <w:tl2br w:val="nil"/>
                    <w:tr2bl w:val="nil"/>
                  </w:tcBorders>
                  <w:noWrap/>
                  <w:vAlign w:val="center"/>
                </w:tcPr>
                <w:p>
                  <w:pPr>
                    <w:jc w:val="center"/>
                    <w:rPr>
                      <w:szCs w:val="21"/>
                    </w:rPr>
                  </w:pPr>
                  <w:r>
                    <w:rPr>
                      <w:szCs w:val="21"/>
                    </w:rPr>
                    <w:t>60dB（A）</w:t>
                  </w:r>
                </w:p>
              </w:tc>
              <w:tc>
                <w:tcPr>
                  <w:tcW w:w="3179" w:type="dxa"/>
                  <w:tcBorders>
                    <w:tl2br w:val="nil"/>
                    <w:tr2bl w:val="nil"/>
                  </w:tcBorders>
                  <w:noWrap/>
                  <w:vAlign w:val="center"/>
                </w:tcPr>
                <w:p>
                  <w:pPr>
                    <w:jc w:val="center"/>
                    <w:rPr>
                      <w:szCs w:val="21"/>
                    </w:rPr>
                  </w:pPr>
                  <w:r>
                    <w:rPr>
                      <w:szCs w:val="21"/>
                    </w:rPr>
                    <w:t>50dB（A）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1658" w:type="dxa"/>
                  <w:tcBorders>
                    <w:tl2br w:val="nil"/>
                    <w:tr2bl w:val="nil"/>
                  </w:tcBorders>
                  <w:noWrap/>
                  <w:vAlign w:val="center"/>
                </w:tcPr>
                <w:p>
                  <w:pPr>
                    <w:jc w:val="center"/>
                    <w:rPr>
                      <w:szCs w:val="21"/>
                    </w:rPr>
                  </w:pPr>
                  <w:r>
                    <w:rPr>
                      <w:rFonts w:hint="eastAsia"/>
                      <w:szCs w:val="21"/>
                    </w:rPr>
                    <w:t>4类</w:t>
                  </w:r>
                </w:p>
              </w:tc>
              <w:tc>
                <w:tcPr>
                  <w:tcW w:w="3182" w:type="dxa"/>
                  <w:tcBorders>
                    <w:tl2br w:val="nil"/>
                    <w:tr2bl w:val="nil"/>
                  </w:tcBorders>
                  <w:noWrap/>
                  <w:vAlign w:val="center"/>
                </w:tcPr>
                <w:p>
                  <w:pPr>
                    <w:jc w:val="center"/>
                    <w:rPr>
                      <w:szCs w:val="21"/>
                    </w:rPr>
                  </w:pPr>
                  <w:r>
                    <w:rPr>
                      <w:rFonts w:hint="eastAsia"/>
                      <w:szCs w:val="21"/>
                    </w:rPr>
                    <w:t>70</w:t>
                  </w:r>
                  <w:r>
                    <w:rPr>
                      <w:szCs w:val="21"/>
                    </w:rPr>
                    <w:t>dB（A）</w:t>
                  </w:r>
                </w:p>
              </w:tc>
              <w:tc>
                <w:tcPr>
                  <w:tcW w:w="3179" w:type="dxa"/>
                  <w:tcBorders>
                    <w:tl2br w:val="nil"/>
                    <w:tr2bl w:val="nil"/>
                  </w:tcBorders>
                  <w:noWrap/>
                  <w:vAlign w:val="center"/>
                </w:tcPr>
                <w:p>
                  <w:pPr>
                    <w:jc w:val="center"/>
                    <w:rPr>
                      <w:szCs w:val="21"/>
                    </w:rPr>
                  </w:pPr>
                  <w:r>
                    <w:rPr>
                      <w:rFonts w:hint="eastAsia"/>
                      <w:szCs w:val="21"/>
                    </w:rPr>
                    <w:t>55</w:t>
                  </w:r>
                  <w:r>
                    <w:rPr>
                      <w:szCs w:val="21"/>
                    </w:rPr>
                    <w:t>dB（A）</w:t>
                  </w:r>
                </w:p>
              </w:tc>
            </w:tr>
          </w:tbl>
          <w:p>
            <w:pPr>
              <w:spacing w:line="360" w:lineRule="auto"/>
              <w:rPr>
                <w:sz w:val="24"/>
                <w:szCs w:val="24"/>
              </w:rPr>
            </w:pPr>
            <w:r>
              <w:rPr>
                <w:rFonts w:hint="eastAsia" w:cs="宋体"/>
                <w:b/>
                <w:sz w:val="24"/>
              </w:rPr>
              <w:t>4、固体废物</w:t>
            </w:r>
          </w:p>
          <w:p>
            <w:pPr>
              <w:spacing w:line="360" w:lineRule="auto"/>
              <w:ind w:firstLine="480" w:firstLineChars="200"/>
              <w:rPr>
                <w:rFonts w:ascii="宋体" w:hAnsi="宋体" w:cs="宋体"/>
                <w:kern w:val="0"/>
                <w:szCs w:val="21"/>
              </w:rPr>
            </w:pPr>
            <w:r>
              <w:rPr>
                <w:kern w:val="0"/>
                <w:sz w:val="24"/>
                <w:szCs w:val="24"/>
              </w:rPr>
              <w:t>船舶垃圾执行《船舶水污染物排放标准》（GB3552-2018）中“7.1 内河禁止倾倒船舶垃圾”的规定；危险废物执行《危险废物贮存污染控制标准》（GB18597-2001）及其2013 年修改单的要求。</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80" w:hRule="atLeast"/>
          <w:jc w:val="center"/>
        </w:trPr>
        <w:tc>
          <w:tcPr>
            <w:tcW w:w="800" w:type="dxa"/>
            <w:tcBorders>
              <w:tl2br w:val="nil"/>
              <w:tr2bl w:val="nil"/>
            </w:tcBorders>
            <w:noWrap/>
            <w:tcMar>
              <w:left w:w="28" w:type="dxa"/>
              <w:right w:w="28" w:type="dxa"/>
            </w:tcMar>
            <w:vAlign w:val="center"/>
          </w:tcPr>
          <w:p>
            <w:pPr>
              <w:adjustRightInd w:val="0"/>
              <w:snapToGrid w:val="0"/>
              <w:jc w:val="center"/>
              <w:rPr>
                <w:rFonts w:ascii="宋体" w:hAnsi="宋体" w:cs="宋体"/>
                <w:kern w:val="0"/>
                <w:szCs w:val="21"/>
              </w:rPr>
            </w:pPr>
            <w:r>
              <w:rPr>
                <w:rFonts w:hint="eastAsia" w:ascii="宋体" w:hAnsi="宋体" w:cs="宋体"/>
                <w:kern w:val="0"/>
                <w:szCs w:val="21"/>
              </w:rPr>
              <w:t>总量</w:t>
            </w:r>
          </w:p>
          <w:p>
            <w:pPr>
              <w:adjustRightInd w:val="0"/>
              <w:snapToGrid w:val="0"/>
              <w:jc w:val="center"/>
              <w:rPr>
                <w:rFonts w:ascii="宋体" w:hAnsi="宋体" w:cs="宋体"/>
                <w:kern w:val="0"/>
                <w:szCs w:val="21"/>
              </w:rPr>
            </w:pPr>
            <w:r>
              <w:rPr>
                <w:rFonts w:hint="eastAsia" w:ascii="宋体" w:hAnsi="宋体" w:cs="宋体"/>
                <w:kern w:val="0"/>
                <w:szCs w:val="21"/>
              </w:rPr>
              <w:t>控制</w:t>
            </w:r>
          </w:p>
          <w:p>
            <w:pPr>
              <w:adjustRightInd w:val="0"/>
              <w:snapToGrid w:val="0"/>
              <w:jc w:val="center"/>
              <w:rPr>
                <w:rFonts w:ascii="宋体" w:hAnsi="宋体" w:cs="宋体"/>
                <w:kern w:val="0"/>
                <w:szCs w:val="21"/>
              </w:rPr>
            </w:pPr>
            <w:r>
              <w:rPr>
                <w:rFonts w:hint="eastAsia" w:ascii="宋体" w:hAnsi="宋体" w:cs="宋体"/>
                <w:kern w:val="0"/>
                <w:szCs w:val="21"/>
              </w:rPr>
              <w:t>指标</w:t>
            </w:r>
          </w:p>
        </w:tc>
        <w:tc>
          <w:tcPr>
            <w:tcW w:w="8190" w:type="dxa"/>
            <w:tcBorders>
              <w:tl2br w:val="nil"/>
              <w:tr2bl w:val="nil"/>
            </w:tcBorders>
            <w:noWrap/>
            <w:vAlign w:val="center"/>
          </w:tcPr>
          <w:p>
            <w:pPr>
              <w:adjustRightInd w:val="0"/>
              <w:snapToGrid w:val="0"/>
              <w:spacing w:line="360" w:lineRule="auto"/>
              <w:jc w:val="center"/>
              <w:rPr>
                <w:rFonts w:ascii="宋体" w:hAnsi="宋体" w:cs="宋体"/>
                <w:kern w:val="0"/>
                <w:szCs w:val="21"/>
              </w:rPr>
            </w:pPr>
            <w:r>
              <w:rPr>
                <w:rFonts w:hint="eastAsia"/>
                <w:sz w:val="24"/>
                <w:u w:val="single"/>
              </w:rPr>
              <w:t>项目产生的污染物主要为船舶生活污水、油水分离废水，</w:t>
            </w:r>
            <w:r>
              <w:rPr>
                <w:sz w:val="24"/>
                <w:u w:val="single"/>
              </w:rPr>
              <w:t>项目废水经</w:t>
            </w:r>
            <w:r>
              <w:rPr>
                <w:rFonts w:hint="eastAsia"/>
                <w:sz w:val="24"/>
                <w:u w:val="single"/>
              </w:rPr>
              <w:t>岳阳县</w:t>
            </w:r>
            <w:r>
              <w:rPr>
                <w:sz w:val="24"/>
                <w:u w:val="single"/>
              </w:rPr>
              <w:t>污水处理厂处理达到《城镇污水处理厂污染物排放标准》（GB18918-2002）中一级</w:t>
            </w:r>
            <w:r>
              <w:rPr>
                <w:rFonts w:hint="eastAsia"/>
                <w:sz w:val="24"/>
                <w:u w:val="single"/>
              </w:rPr>
              <w:t>A</w:t>
            </w:r>
            <w:r>
              <w:rPr>
                <w:sz w:val="24"/>
                <w:u w:val="single"/>
              </w:rPr>
              <w:t>标准限值后外排至</w:t>
            </w:r>
            <w:r>
              <w:rPr>
                <w:rFonts w:hint="eastAsia"/>
                <w:sz w:val="24"/>
                <w:szCs w:val="24"/>
                <w:u w:val="single"/>
              </w:rPr>
              <w:t>新墙河</w:t>
            </w:r>
            <w:r>
              <w:rPr>
                <w:sz w:val="24"/>
                <w:u w:val="single"/>
              </w:rPr>
              <w:t>。</w:t>
            </w:r>
            <w:r>
              <w:rPr>
                <w:rFonts w:hint="eastAsia"/>
                <w:sz w:val="24"/>
                <w:u w:val="single"/>
              </w:rPr>
              <w:t>本项目不需要购买总量控制指标</w:t>
            </w:r>
            <w:r>
              <w:rPr>
                <w:rFonts w:hint="eastAsia" w:hAnsi="宋体"/>
                <w:sz w:val="24"/>
                <w:u w:val="single"/>
              </w:rPr>
              <w:br w:type="textWrapping"/>
            </w:r>
            <w:r>
              <w:rPr>
                <w:rFonts w:eastAsiaTheme="minorEastAsia"/>
                <w:sz w:val="24"/>
                <w:u w:val="single"/>
              </w:rPr>
              <w:t>本项目废气主要为</w:t>
            </w:r>
            <w:r>
              <w:rPr>
                <w:rFonts w:hint="eastAsia" w:eastAsiaTheme="minorEastAsia"/>
                <w:sz w:val="24"/>
                <w:u w:val="single"/>
              </w:rPr>
              <w:t>船舶</w:t>
            </w:r>
            <w:r>
              <w:rPr>
                <w:rFonts w:hint="eastAsia" w:eastAsiaTheme="minorEastAsia"/>
                <w:sz w:val="24"/>
                <w:u w:val="single"/>
                <w:lang w:val="fr-FR"/>
              </w:rPr>
              <w:t>尾气、备用柴油发电机燃油废气</w:t>
            </w:r>
            <w:r>
              <w:rPr>
                <w:rFonts w:eastAsiaTheme="minorEastAsia"/>
                <w:sz w:val="24"/>
                <w:u w:val="single"/>
              </w:rPr>
              <w:t>及</w:t>
            </w:r>
            <w:r>
              <w:rPr>
                <w:rFonts w:hint="eastAsia" w:eastAsiaTheme="minorEastAsia"/>
                <w:sz w:val="24"/>
                <w:u w:val="single"/>
              </w:rPr>
              <w:t>挥发性气体</w:t>
            </w:r>
            <w:r>
              <w:rPr>
                <w:rFonts w:eastAsiaTheme="minorEastAsia"/>
                <w:sz w:val="24"/>
                <w:u w:val="single"/>
              </w:rPr>
              <w:t>，作为日常考核量，</w:t>
            </w:r>
            <w:r>
              <w:rPr>
                <w:rFonts w:hint="eastAsia" w:eastAsiaTheme="minorEastAsia"/>
                <w:sz w:val="24"/>
                <w:u w:val="single"/>
              </w:rPr>
              <w:t>无须</w:t>
            </w:r>
            <w:r>
              <w:rPr>
                <w:rFonts w:eastAsiaTheme="minorEastAsia"/>
                <w:sz w:val="24"/>
                <w:u w:val="single"/>
              </w:rPr>
              <w:t>设置总量指标</w:t>
            </w:r>
          </w:p>
        </w:tc>
      </w:tr>
    </w:tbl>
    <w:p>
      <w:pPr>
        <w:pStyle w:val="20"/>
        <w:jc w:val="center"/>
        <w:outlineLvl w:val="0"/>
        <w:rPr>
          <w:rFonts w:ascii="黑体" w:hAnsi="黑体" w:eastAsia="黑体"/>
          <w:snapToGrid w:val="0"/>
          <w:sz w:val="30"/>
          <w:szCs w:val="30"/>
        </w:rPr>
      </w:pPr>
      <w:bookmarkStart w:id="44" w:name="_Toc16500"/>
      <w:r>
        <w:rPr>
          <w:rFonts w:ascii="黑体" w:hAnsi="黑体" w:eastAsia="黑体"/>
          <w:snapToGrid w:val="0"/>
          <w:sz w:val="36"/>
          <w:szCs w:val="36"/>
        </w:rPr>
        <w:br w:type="page"/>
      </w:r>
      <w:bookmarkStart w:id="45" w:name="_Toc14992"/>
      <w:r>
        <w:rPr>
          <w:rFonts w:hint="eastAsia" w:ascii="黑体" w:hAnsi="黑体" w:eastAsia="黑体"/>
          <w:snapToGrid w:val="0"/>
          <w:sz w:val="30"/>
          <w:szCs w:val="30"/>
        </w:rPr>
        <w:t>四、主要环境影响和保护措施</w:t>
      </w:r>
      <w:bookmarkEnd w:id="45"/>
    </w:p>
    <w:tbl>
      <w:tblPr>
        <w:tblStyle w:val="24"/>
        <w:tblW w:w="8908"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46"/>
        <w:gridCol w:w="816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217" w:hRule="atLeast"/>
          <w:jc w:val="center"/>
        </w:trPr>
        <w:tc>
          <w:tcPr>
            <w:tcW w:w="746" w:type="dxa"/>
            <w:tcBorders>
              <w:tl2br w:val="nil"/>
              <w:tr2bl w:val="nil"/>
            </w:tcBorders>
            <w:noWrap/>
            <w:tcMar>
              <w:left w:w="28" w:type="dxa"/>
              <w:right w:w="28" w:type="dxa"/>
            </w:tcMar>
            <w:vAlign w:val="center"/>
          </w:tcPr>
          <w:p>
            <w:pPr>
              <w:pStyle w:val="20"/>
              <w:adjustRightInd w:val="0"/>
              <w:snapToGrid w:val="0"/>
              <w:spacing w:before="0" w:beforeAutospacing="0" w:after="0" w:afterAutospacing="0"/>
              <w:jc w:val="center"/>
              <w:rPr>
                <w:kern w:val="2"/>
                <w:sz w:val="21"/>
                <w:szCs w:val="21"/>
              </w:rPr>
            </w:pPr>
            <w:r>
              <w:rPr>
                <w:rFonts w:hint="eastAsia"/>
                <w:kern w:val="2"/>
                <w:sz w:val="21"/>
                <w:szCs w:val="21"/>
              </w:rPr>
              <w:t>施工</w:t>
            </w:r>
          </w:p>
          <w:p>
            <w:pPr>
              <w:pStyle w:val="20"/>
              <w:adjustRightInd w:val="0"/>
              <w:snapToGrid w:val="0"/>
              <w:spacing w:before="0" w:beforeAutospacing="0" w:after="0" w:afterAutospacing="0"/>
              <w:jc w:val="center"/>
              <w:rPr>
                <w:kern w:val="2"/>
                <w:sz w:val="21"/>
                <w:szCs w:val="21"/>
              </w:rPr>
            </w:pPr>
            <w:r>
              <w:rPr>
                <w:rFonts w:hint="eastAsia"/>
                <w:kern w:val="2"/>
                <w:sz w:val="21"/>
                <w:szCs w:val="21"/>
              </w:rPr>
              <w:t>期环</w:t>
            </w:r>
          </w:p>
          <w:p>
            <w:pPr>
              <w:pStyle w:val="20"/>
              <w:adjustRightInd w:val="0"/>
              <w:snapToGrid w:val="0"/>
              <w:spacing w:before="0" w:beforeAutospacing="0" w:after="0" w:afterAutospacing="0"/>
              <w:jc w:val="center"/>
              <w:rPr>
                <w:kern w:val="2"/>
                <w:sz w:val="21"/>
                <w:szCs w:val="21"/>
              </w:rPr>
            </w:pPr>
            <w:r>
              <w:rPr>
                <w:rFonts w:hint="eastAsia"/>
                <w:kern w:val="2"/>
                <w:sz w:val="21"/>
                <w:szCs w:val="21"/>
              </w:rPr>
              <w:t>境保</w:t>
            </w:r>
          </w:p>
          <w:p>
            <w:pPr>
              <w:pStyle w:val="20"/>
              <w:adjustRightInd w:val="0"/>
              <w:snapToGrid w:val="0"/>
              <w:spacing w:before="0" w:beforeAutospacing="0" w:after="0" w:afterAutospacing="0"/>
              <w:jc w:val="center"/>
              <w:rPr>
                <w:kern w:val="2"/>
                <w:sz w:val="21"/>
                <w:szCs w:val="21"/>
              </w:rPr>
            </w:pPr>
            <w:r>
              <w:rPr>
                <w:rFonts w:hint="eastAsia"/>
                <w:kern w:val="2"/>
                <w:sz w:val="21"/>
                <w:szCs w:val="21"/>
              </w:rPr>
              <w:t>护措</w:t>
            </w:r>
          </w:p>
          <w:p>
            <w:pPr>
              <w:pStyle w:val="20"/>
              <w:adjustRightInd w:val="0"/>
              <w:snapToGrid w:val="0"/>
              <w:spacing w:before="0" w:beforeAutospacing="0" w:after="0" w:afterAutospacing="0"/>
              <w:jc w:val="center"/>
              <w:rPr>
                <w:bCs/>
                <w:kern w:val="2"/>
                <w:sz w:val="21"/>
                <w:szCs w:val="21"/>
              </w:rPr>
            </w:pPr>
            <w:r>
              <w:rPr>
                <w:rFonts w:hint="eastAsia"/>
                <w:kern w:val="2"/>
                <w:sz w:val="21"/>
                <w:szCs w:val="21"/>
              </w:rPr>
              <w:t>施</w:t>
            </w:r>
          </w:p>
        </w:tc>
        <w:tc>
          <w:tcPr>
            <w:tcW w:w="8162" w:type="dxa"/>
            <w:tcBorders>
              <w:tl2br w:val="nil"/>
              <w:tr2bl w:val="nil"/>
            </w:tcBorders>
            <w:noWrap/>
            <w:vAlign w:val="center"/>
          </w:tcPr>
          <w:p>
            <w:pPr>
              <w:spacing w:line="360" w:lineRule="auto"/>
              <w:ind w:firstLine="480" w:firstLineChars="200"/>
              <w:rPr>
                <w:rFonts w:ascii="宋体" w:hAnsi="宋体" w:cs="宋体"/>
                <w:bCs/>
                <w:spacing w:val="-10"/>
                <w:szCs w:val="21"/>
              </w:rPr>
            </w:pPr>
            <w:r>
              <w:rPr>
                <w:sz w:val="24"/>
                <w:szCs w:val="24"/>
              </w:rPr>
              <w:t>本项目是利用回收废机油专用船在船舶上回收废机油，不存在施工期环境影响，故不做分析。</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314" w:hRule="atLeast"/>
          <w:jc w:val="center"/>
        </w:trPr>
        <w:tc>
          <w:tcPr>
            <w:tcW w:w="746" w:type="dxa"/>
            <w:tcBorders>
              <w:tl2br w:val="nil"/>
              <w:tr2bl w:val="nil"/>
            </w:tcBorders>
            <w:noWrap/>
            <w:tcMar>
              <w:left w:w="28" w:type="dxa"/>
              <w:right w:w="28" w:type="dxa"/>
            </w:tcMar>
            <w:vAlign w:val="center"/>
          </w:tcPr>
          <w:p>
            <w:pPr>
              <w:adjustRightInd w:val="0"/>
              <w:snapToGrid w:val="0"/>
              <w:jc w:val="center"/>
              <w:rPr>
                <w:rFonts w:ascii="宋体" w:hAnsi="宋体" w:cs="宋体"/>
                <w:bCs/>
                <w:szCs w:val="21"/>
              </w:rPr>
            </w:pPr>
            <w:r>
              <w:rPr>
                <w:rFonts w:hint="eastAsia" w:ascii="宋体" w:hAnsi="宋体" w:cs="宋体"/>
                <w:bCs/>
                <w:szCs w:val="21"/>
              </w:rPr>
              <w:t>运营</w:t>
            </w:r>
          </w:p>
          <w:p>
            <w:pPr>
              <w:adjustRightInd w:val="0"/>
              <w:snapToGrid w:val="0"/>
              <w:jc w:val="center"/>
              <w:rPr>
                <w:rFonts w:ascii="宋体" w:hAnsi="宋体" w:cs="宋体"/>
                <w:bCs/>
                <w:szCs w:val="21"/>
              </w:rPr>
            </w:pPr>
            <w:r>
              <w:rPr>
                <w:rFonts w:hint="eastAsia" w:ascii="宋体" w:hAnsi="宋体" w:cs="宋体"/>
                <w:bCs/>
                <w:szCs w:val="21"/>
              </w:rPr>
              <w:t>期环</w:t>
            </w:r>
          </w:p>
          <w:p>
            <w:pPr>
              <w:adjustRightInd w:val="0"/>
              <w:snapToGrid w:val="0"/>
              <w:jc w:val="center"/>
              <w:rPr>
                <w:rFonts w:ascii="宋体" w:hAnsi="宋体" w:cs="宋体"/>
                <w:bCs/>
                <w:szCs w:val="21"/>
              </w:rPr>
            </w:pPr>
            <w:r>
              <w:rPr>
                <w:rFonts w:hint="eastAsia" w:ascii="宋体" w:hAnsi="宋体" w:cs="宋体"/>
                <w:bCs/>
                <w:szCs w:val="21"/>
              </w:rPr>
              <w:t>境影</w:t>
            </w:r>
          </w:p>
          <w:p>
            <w:pPr>
              <w:adjustRightInd w:val="0"/>
              <w:snapToGrid w:val="0"/>
              <w:jc w:val="center"/>
              <w:rPr>
                <w:rFonts w:ascii="宋体" w:hAnsi="宋体" w:cs="宋体"/>
                <w:bCs/>
                <w:szCs w:val="21"/>
              </w:rPr>
            </w:pPr>
            <w:r>
              <w:rPr>
                <w:rFonts w:hint="eastAsia" w:ascii="宋体" w:hAnsi="宋体" w:cs="宋体"/>
                <w:bCs/>
                <w:szCs w:val="21"/>
              </w:rPr>
              <w:t>响和</w:t>
            </w:r>
          </w:p>
          <w:p>
            <w:pPr>
              <w:adjustRightInd w:val="0"/>
              <w:snapToGrid w:val="0"/>
              <w:jc w:val="center"/>
              <w:rPr>
                <w:rFonts w:ascii="宋体" w:hAnsi="宋体" w:cs="宋体"/>
                <w:bCs/>
                <w:szCs w:val="21"/>
              </w:rPr>
            </w:pPr>
            <w:r>
              <w:rPr>
                <w:rFonts w:hint="eastAsia" w:ascii="宋体" w:hAnsi="宋体" w:cs="宋体"/>
                <w:bCs/>
                <w:szCs w:val="21"/>
              </w:rPr>
              <w:t>保护</w:t>
            </w:r>
          </w:p>
          <w:p>
            <w:pPr>
              <w:adjustRightInd w:val="0"/>
              <w:snapToGrid w:val="0"/>
              <w:jc w:val="center"/>
              <w:rPr>
                <w:rFonts w:ascii="宋体" w:hAnsi="宋体" w:cs="宋体"/>
                <w:bCs/>
                <w:szCs w:val="21"/>
              </w:rPr>
            </w:pPr>
            <w:r>
              <w:rPr>
                <w:rFonts w:hint="eastAsia" w:ascii="宋体" w:hAnsi="宋体" w:cs="宋体"/>
                <w:bCs/>
                <w:szCs w:val="21"/>
              </w:rPr>
              <w:t>措施</w:t>
            </w:r>
          </w:p>
        </w:tc>
        <w:tc>
          <w:tcPr>
            <w:tcW w:w="8162" w:type="dxa"/>
            <w:tcBorders>
              <w:tl2br w:val="nil"/>
              <w:tr2bl w:val="nil"/>
            </w:tcBorders>
            <w:noWrap/>
            <w:vAlign w:val="center"/>
          </w:tcPr>
          <w:p>
            <w:pPr>
              <w:spacing w:line="360" w:lineRule="auto"/>
              <w:rPr>
                <w:rFonts w:ascii="宋体" w:hAnsi="宋体"/>
                <w:b/>
                <w:sz w:val="24"/>
              </w:rPr>
            </w:pPr>
            <w:r>
              <w:rPr>
                <w:rFonts w:hint="eastAsia" w:ascii="宋体" w:hAnsi="宋体"/>
                <w:b/>
                <w:sz w:val="24"/>
              </w:rPr>
              <w:t>一、主要污染源分析</w:t>
            </w:r>
          </w:p>
          <w:p>
            <w:pPr>
              <w:spacing w:line="360" w:lineRule="auto"/>
              <w:ind w:firstLine="480" w:firstLineChars="200"/>
            </w:pPr>
            <w:r>
              <w:rPr>
                <w:rFonts w:hint="eastAsia" w:ascii="宋体" w:hAnsi="宋体"/>
                <w:bCs/>
                <w:sz w:val="24"/>
              </w:rPr>
              <w:t>主要分析</w:t>
            </w:r>
            <w:r>
              <w:rPr>
                <w:rFonts w:hint="eastAsia" w:ascii="宋体" w:hAnsi="宋体"/>
                <w:color w:val="000000"/>
                <w:sz w:val="24"/>
              </w:rPr>
              <w:t>营运期的污染源，本次污染源分析主要为项目两期建设完成后总体排放的污染物源强。</w:t>
            </w:r>
            <w:r>
              <w:rPr>
                <w:rFonts w:hint="eastAsia" w:ascii="宋体" w:hAnsi="宋体"/>
                <w:color w:val="000000"/>
                <w:sz w:val="24"/>
              </w:rPr>
              <w:br w:type="textWrapping"/>
            </w:r>
            <w:r>
              <w:rPr>
                <w:rFonts w:hint="eastAsia" w:ascii="宋体" w:hAnsi="宋体"/>
                <w:b/>
                <w:bCs/>
                <w:color w:val="000000"/>
                <w:sz w:val="24"/>
              </w:rPr>
              <w:t>二期建设完成后污染物情况：</w:t>
            </w:r>
          </w:p>
          <w:p>
            <w:pPr>
              <w:numPr>
                <w:ilvl w:val="0"/>
                <w:numId w:val="14"/>
              </w:numPr>
              <w:spacing w:line="360" w:lineRule="auto"/>
              <w:ind w:left="479" w:leftChars="228"/>
              <w:rPr>
                <w:rFonts w:ascii="宋体" w:hAnsi="宋体"/>
                <w:b/>
                <w:color w:val="000000"/>
                <w:sz w:val="24"/>
              </w:rPr>
            </w:pPr>
            <w:r>
              <w:rPr>
                <w:rFonts w:ascii="宋体" w:hAnsi="宋体"/>
                <w:b/>
                <w:color w:val="000000"/>
                <w:sz w:val="24"/>
              </w:rPr>
              <w:t>废气</w:t>
            </w:r>
          </w:p>
          <w:p>
            <w:pPr>
              <w:spacing w:line="360" w:lineRule="auto"/>
              <w:ind w:firstLine="480" w:firstLineChars="200"/>
              <w:rPr>
                <w:rFonts w:ascii="宋体" w:hAnsi="宋体"/>
                <w:b/>
                <w:color w:val="000000"/>
                <w:sz w:val="24"/>
              </w:rPr>
            </w:pPr>
            <w:r>
              <w:rPr>
                <w:rFonts w:hint="eastAsia" w:ascii="宋体" w:hAnsi="宋体"/>
                <w:bCs/>
                <w:color w:val="000000"/>
                <w:sz w:val="24"/>
              </w:rPr>
              <w:t>本项目柴油发电机扩建后主要为备用发电设备，不再持续使用，项目用电改为用岸电，本项目员工不在船上食宿。</w:t>
            </w:r>
            <w:r>
              <w:rPr>
                <w:rFonts w:ascii="宋体" w:hAnsi="宋体"/>
                <w:bCs/>
                <w:color w:val="000000"/>
                <w:sz w:val="24"/>
              </w:rPr>
              <w:br w:type="textWrapping"/>
            </w:r>
            <w:r>
              <w:rPr>
                <w:rFonts w:hint="eastAsia" w:ascii="宋体" w:hAnsi="宋体"/>
                <w:b/>
                <w:color w:val="000000"/>
                <w:sz w:val="24"/>
              </w:rPr>
              <w:t>（1）废气产生源强</w:t>
            </w:r>
          </w:p>
          <w:p>
            <w:pPr>
              <w:numPr>
                <w:ilvl w:val="0"/>
                <w:numId w:val="15"/>
              </w:numPr>
              <w:adjustRightInd w:val="0"/>
              <w:snapToGrid w:val="0"/>
              <w:spacing w:line="360" w:lineRule="auto"/>
              <w:ind w:left="420"/>
              <w:rPr>
                <w:rFonts w:ascii="宋体" w:hAnsi="宋体" w:cs="宋体"/>
                <w:spacing w:val="-10"/>
                <w:sz w:val="24"/>
                <w:szCs w:val="24"/>
              </w:rPr>
            </w:pPr>
            <w:r>
              <w:rPr>
                <w:rFonts w:hint="eastAsia" w:ascii="宋体" w:hAnsi="宋体" w:cs="宋体"/>
                <w:spacing w:val="-10"/>
                <w:sz w:val="24"/>
                <w:szCs w:val="24"/>
              </w:rPr>
              <w:t>船舶柴油机、柴油发电机废气</w:t>
            </w:r>
          </w:p>
          <w:p>
            <w:pPr>
              <w:pStyle w:val="76"/>
              <w:spacing w:line="360" w:lineRule="auto"/>
              <w:ind w:firstLine="460"/>
              <w:rPr>
                <w:rFonts w:ascii="Times New Roman" w:hAnsi="Times New Roman"/>
              </w:rPr>
            </w:pPr>
            <w:r>
              <w:rPr>
                <w:rFonts w:ascii="Times New Roman" w:hAnsi="Times New Roman"/>
              </w:rPr>
              <w:t>本项目污染物接收船动力由柴油机提供，</w:t>
            </w:r>
            <w:r>
              <w:rPr>
                <w:rFonts w:hint="eastAsia" w:ascii="Times New Roman" w:hAnsi="Times New Roman"/>
              </w:rPr>
              <w:t>油水分离器也采用了柴油发电机为备用发电机，</w:t>
            </w:r>
            <w:r>
              <w:rPr>
                <w:rFonts w:ascii="Times New Roman" w:hAnsi="Times New Roman"/>
              </w:rPr>
              <w:t>使用的柴油为0#柴油，根据建设单位提供，项目</w:t>
            </w:r>
            <w:r>
              <w:rPr>
                <w:rFonts w:hint="eastAsia" w:ascii="Times New Roman" w:hAnsi="Times New Roman"/>
              </w:rPr>
              <w:t>船舶柴油发电机、备用</w:t>
            </w:r>
            <w:r>
              <w:rPr>
                <w:rFonts w:hint="eastAsia" w:hAnsi="宋体" w:cs="宋体"/>
                <w:spacing w:val="-10"/>
              </w:rPr>
              <w:t>柴油发电机</w:t>
            </w:r>
            <w:r>
              <w:rPr>
                <w:rFonts w:ascii="Times New Roman" w:hAnsi="Times New Roman"/>
              </w:rPr>
              <w:t>年耗油量为</w:t>
            </w:r>
            <w:r>
              <w:rPr>
                <w:rFonts w:hint="eastAsia" w:ascii="Times New Roman" w:hAnsi="Times New Roman"/>
              </w:rPr>
              <w:t>150</w:t>
            </w:r>
            <w:r>
              <w:rPr>
                <w:rFonts w:ascii="Times New Roman" w:hAnsi="Times New Roman"/>
              </w:rPr>
              <w:t>t。</w:t>
            </w:r>
          </w:p>
          <w:p>
            <w:pPr>
              <w:pStyle w:val="76"/>
              <w:spacing w:line="360" w:lineRule="auto"/>
              <w:ind w:firstLine="460"/>
              <w:rPr>
                <w:rFonts w:ascii="Times New Roman" w:hAnsi="Times New Roman"/>
              </w:rPr>
            </w:pPr>
            <w:r>
              <w:rPr>
                <w:rFonts w:ascii="Times New Roman" w:hAnsi="Times New Roman"/>
              </w:rPr>
              <w:t>根据《环境统计手册》（方品贤等著），计算燃油发电机排放的主要大气污染物方法如下：参考燃料燃烧排放污染物物料衡算法计算：</w:t>
            </w:r>
          </w:p>
          <w:p>
            <w:pPr>
              <w:pStyle w:val="76"/>
              <w:spacing w:line="360" w:lineRule="auto"/>
              <w:ind w:firstLine="2040" w:firstLineChars="850"/>
              <w:rPr>
                <w:rFonts w:ascii="Times New Roman" w:hAnsi="Times New Roman"/>
              </w:rPr>
            </w:pPr>
            <w:r>
              <w:rPr>
                <w:rFonts w:ascii="Times New Roman" w:hAnsi="Times New Roman"/>
              </w:rPr>
              <w:t>SO</w:t>
            </w:r>
            <w:r>
              <w:rPr>
                <w:rFonts w:ascii="Times New Roman" w:hAnsi="Times New Roman"/>
                <w:vertAlign w:val="subscript"/>
              </w:rPr>
              <w:t>2</w:t>
            </w:r>
            <w:r>
              <w:rPr>
                <w:rFonts w:ascii="Times New Roman" w:hAnsi="Times New Roman"/>
              </w:rPr>
              <w:t>：C</w:t>
            </w:r>
            <w:r>
              <w:rPr>
                <w:rFonts w:ascii="Times New Roman" w:hAnsi="Times New Roman"/>
                <w:vertAlign w:val="subscript"/>
              </w:rPr>
              <w:t>SO2</w:t>
            </w:r>
            <w:r>
              <w:rPr>
                <w:rFonts w:ascii="Times New Roman" w:hAnsi="Times New Roman"/>
              </w:rPr>
              <w:t>=2×B×S</w:t>
            </w:r>
          </w:p>
          <w:p>
            <w:pPr>
              <w:pStyle w:val="76"/>
              <w:spacing w:line="360" w:lineRule="auto"/>
              <w:ind w:firstLine="480" w:firstLineChars="200"/>
              <w:rPr>
                <w:rFonts w:ascii="Times New Roman" w:hAnsi="Times New Roman"/>
              </w:rPr>
            </w:pPr>
            <w:r>
              <w:rPr>
                <w:rFonts w:ascii="Times New Roman" w:hAnsi="Times New Roman"/>
              </w:rPr>
              <w:t>C</w:t>
            </w:r>
            <w:r>
              <w:rPr>
                <w:rFonts w:ascii="Times New Roman" w:hAnsi="Times New Roman"/>
                <w:vertAlign w:val="subscript"/>
              </w:rPr>
              <w:t>SO2</w:t>
            </w:r>
            <w:r>
              <w:rPr>
                <w:rFonts w:ascii="Times New Roman" w:hAnsi="Times New Roman"/>
              </w:rPr>
              <w:t>—二氧化硫排放量，kg；</w:t>
            </w:r>
          </w:p>
          <w:p>
            <w:pPr>
              <w:pStyle w:val="76"/>
              <w:spacing w:line="360" w:lineRule="auto"/>
              <w:ind w:firstLine="600" w:firstLineChars="250"/>
              <w:rPr>
                <w:rFonts w:ascii="Times New Roman" w:hAnsi="Times New Roman"/>
              </w:rPr>
            </w:pPr>
            <w:r>
              <w:rPr>
                <w:rFonts w:ascii="Times New Roman" w:hAnsi="Times New Roman"/>
              </w:rPr>
              <w:t>B―消耗的燃料量，kg；</w:t>
            </w:r>
          </w:p>
          <w:p>
            <w:pPr>
              <w:pStyle w:val="76"/>
              <w:spacing w:line="360" w:lineRule="auto"/>
              <w:ind w:firstLine="600" w:firstLineChars="250"/>
              <w:rPr>
                <w:rFonts w:ascii="Times New Roman" w:hAnsi="Times New Roman"/>
              </w:rPr>
            </w:pPr>
            <w:r>
              <w:rPr>
                <w:rFonts w:ascii="Times New Roman" w:hAnsi="Times New Roman"/>
              </w:rPr>
              <w:t>S―燃料中的全</w:t>
            </w:r>
            <w:r>
              <w:rPr>
                <w:rFonts w:hint="eastAsia" w:ascii="Times New Roman" w:hAnsi="Times New Roman"/>
              </w:rPr>
              <w:t>硫分</w:t>
            </w:r>
            <w:r>
              <w:rPr>
                <w:rFonts w:ascii="Times New Roman" w:hAnsi="Times New Roman"/>
              </w:rPr>
              <w:t>含量，参考《车用柴油》（ GB19147-2016）中 0#车用柴油（Ⅳ）要求，含硫量不大于50mg/kg；</w:t>
            </w:r>
          </w:p>
          <w:p>
            <w:pPr>
              <w:pStyle w:val="76"/>
              <w:spacing w:line="360" w:lineRule="auto"/>
              <w:ind w:firstLine="1680" w:firstLineChars="700"/>
              <w:rPr>
                <w:rFonts w:ascii="Times New Roman" w:hAnsi="Times New Roman"/>
              </w:rPr>
            </w:pPr>
            <w:r>
              <w:rPr>
                <w:rFonts w:ascii="Times New Roman" w:hAnsi="Times New Roman"/>
              </w:rPr>
              <w:t>NOx：C</w:t>
            </w:r>
            <w:r>
              <w:rPr>
                <w:rFonts w:ascii="Times New Roman" w:hAnsi="Times New Roman"/>
                <w:vertAlign w:val="subscript"/>
              </w:rPr>
              <w:t>NOX</w:t>
            </w:r>
            <w:r>
              <w:rPr>
                <w:rFonts w:ascii="Times New Roman" w:hAnsi="Times New Roman"/>
              </w:rPr>
              <w:t>=1.63×B×(N×β+0.000938)</w:t>
            </w:r>
          </w:p>
          <w:p>
            <w:pPr>
              <w:pStyle w:val="76"/>
              <w:spacing w:line="360" w:lineRule="auto"/>
              <w:ind w:firstLine="480" w:firstLineChars="200"/>
              <w:rPr>
                <w:rFonts w:ascii="Times New Roman" w:hAnsi="Times New Roman"/>
              </w:rPr>
            </w:pPr>
            <w:r>
              <w:rPr>
                <w:rFonts w:ascii="Times New Roman" w:hAnsi="Times New Roman"/>
              </w:rPr>
              <w:t>C</w:t>
            </w:r>
            <w:r>
              <w:rPr>
                <w:rFonts w:ascii="Times New Roman" w:hAnsi="Times New Roman"/>
                <w:vertAlign w:val="subscript"/>
              </w:rPr>
              <w:t>NOx</w:t>
            </w:r>
            <w:r>
              <w:rPr>
                <w:rFonts w:ascii="Times New Roman" w:hAnsi="Times New Roman"/>
              </w:rPr>
              <w:t>―氮氧化物排放量，kg；</w:t>
            </w:r>
          </w:p>
          <w:p>
            <w:pPr>
              <w:pStyle w:val="76"/>
              <w:spacing w:line="360" w:lineRule="auto"/>
              <w:ind w:firstLine="480" w:firstLineChars="200"/>
              <w:rPr>
                <w:rFonts w:ascii="Times New Roman" w:hAnsi="Times New Roman"/>
              </w:rPr>
            </w:pPr>
            <w:r>
              <w:rPr>
                <w:rFonts w:ascii="Times New Roman" w:hAnsi="Times New Roman"/>
              </w:rPr>
              <w:t>B―消耗的燃料量，kg；</w:t>
            </w:r>
          </w:p>
          <w:p>
            <w:pPr>
              <w:pStyle w:val="76"/>
              <w:spacing w:line="360" w:lineRule="auto"/>
              <w:ind w:firstLine="480" w:firstLineChars="200"/>
              <w:rPr>
                <w:rFonts w:ascii="Times New Roman" w:hAnsi="Times New Roman"/>
              </w:rPr>
            </w:pPr>
            <w:r>
              <w:rPr>
                <w:rFonts w:ascii="Times New Roman" w:hAnsi="Times New Roman"/>
              </w:rPr>
              <w:t>N―燃料中的含氮量；本项目取值 0.02%；</w:t>
            </w:r>
          </w:p>
          <w:p>
            <w:pPr>
              <w:pStyle w:val="76"/>
              <w:spacing w:line="360" w:lineRule="auto"/>
              <w:ind w:firstLine="480" w:firstLineChars="200"/>
              <w:rPr>
                <w:rFonts w:ascii="Times New Roman" w:hAnsi="Times New Roman"/>
              </w:rPr>
            </w:pPr>
            <w:r>
              <w:rPr>
                <w:rFonts w:ascii="Times New Roman" w:hAnsi="Times New Roman"/>
              </w:rPr>
              <w:t>β―燃料中氮的转化率；本项目取值 40%。根据环评工程师注册培训教材《社会区域》给出的计算参数：柴油发电机运行烟尘的排放系数为0.714g/L，0#柴油的密度约0.86（kg/L）。</w:t>
            </w:r>
          </w:p>
          <w:p>
            <w:pPr>
              <w:pStyle w:val="76"/>
              <w:spacing w:line="360" w:lineRule="auto"/>
              <w:ind w:firstLine="480" w:firstLineChars="200"/>
              <w:rPr>
                <w:rFonts w:ascii="Times New Roman" w:hAnsi="Times New Roman"/>
              </w:rPr>
            </w:pPr>
            <w:r>
              <w:rPr>
                <w:rFonts w:ascii="Times New Roman" w:hAnsi="Times New Roman"/>
              </w:rPr>
              <w:t>经计算，本项目备用发电机的大气污染物产生量见下表。</w:t>
            </w:r>
          </w:p>
          <w:p>
            <w:pPr>
              <w:autoSpaceDE w:val="0"/>
              <w:autoSpaceDN w:val="0"/>
              <w:adjustRightInd w:val="0"/>
              <w:spacing w:line="360" w:lineRule="auto"/>
              <w:ind w:firstLine="843" w:firstLineChars="400"/>
              <w:rPr>
                <w:b/>
                <w:kern w:val="0"/>
                <w:szCs w:val="21"/>
              </w:rPr>
            </w:pPr>
            <w:r>
              <w:rPr>
                <w:b/>
                <w:kern w:val="0"/>
                <w:szCs w:val="21"/>
              </w:rPr>
              <w:t>表</w:t>
            </w:r>
            <w:r>
              <w:rPr>
                <w:rFonts w:hint="eastAsia"/>
                <w:b/>
                <w:bCs/>
                <w:kern w:val="0"/>
                <w:szCs w:val="21"/>
              </w:rPr>
              <w:t>4-1</w:t>
            </w:r>
            <w:r>
              <w:rPr>
                <w:b/>
                <w:bCs/>
                <w:kern w:val="0"/>
                <w:szCs w:val="21"/>
              </w:rPr>
              <w:t xml:space="preserve">    </w:t>
            </w:r>
            <w:r>
              <w:rPr>
                <w:b/>
                <w:kern w:val="0"/>
                <w:szCs w:val="21"/>
              </w:rPr>
              <w:t>项目柴油机燃烧柴油主要大气污染产生量</w:t>
            </w:r>
          </w:p>
          <w:tbl>
            <w:tblPr>
              <w:tblStyle w:val="24"/>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622"/>
              <w:gridCol w:w="1758"/>
              <w:gridCol w:w="1759"/>
              <w:gridCol w:w="175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650" w:hRule="atLeast"/>
              </w:trPr>
              <w:tc>
                <w:tcPr>
                  <w:tcW w:w="2622" w:type="dxa"/>
                  <w:tcBorders>
                    <w:tl2br w:val="nil"/>
                    <w:tr2bl w:val="nil"/>
                  </w:tcBorders>
                  <w:vAlign w:val="center"/>
                </w:tcPr>
                <w:p>
                  <w:pPr>
                    <w:jc w:val="center"/>
                  </w:pPr>
                  <w:r>
                    <w:t>污染物</w:t>
                  </w:r>
                </w:p>
              </w:tc>
              <w:tc>
                <w:tcPr>
                  <w:tcW w:w="1758" w:type="dxa"/>
                  <w:tcBorders>
                    <w:tl2br w:val="nil"/>
                    <w:tr2bl w:val="nil"/>
                  </w:tcBorders>
                  <w:vAlign w:val="center"/>
                </w:tcPr>
                <w:p>
                  <w:pPr>
                    <w:jc w:val="center"/>
                  </w:pPr>
                  <w:r>
                    <w:t>NOx</w:t>
                  </w:r>
                </w:p>
              </w:tc>
              <w:tc>
                <w:tcPr>
                  <w:tcW w:w="1759" w:type="dxa"/>
                  <w:tcBorders>
                    <w:tl2br w:val="nil"/>
                    <w:tr2bl w:val="nil"/>
                  </w:tcBorders>
                  <w:vAlign w:val="center"/>
                </w:tcPr>
                <w:p>
                  <w:pPr>
                    <w:jc w:val="center"/>
                  </w:pPr>
                  <w:r>
                    <w:t>SO</w:t>
                  </w:r>
                  <w:r>
                    <w:rPr>
                      <w:vertAlign w:val="subscript"/>
                    </w:rPr>
                    <w:t>2</w:t>
                  </w:r>
                  <w:r>
                    <w:t>（含硫0.005%）</w:t>
                  </w:r>
                </w:p>
              </w:tc>
              <w:tc>
                <w:tcPr>
                  <w:tcW w:w="1759" w:type="dxa"/>
                  <w:tcBorders>
                    <w:tl2br w:val="nil"/>
                    <w:tr2bl w:val="nil"/>
                  </w:tcBorders>
                  <w:vAlign w:val="center"/>
                </w:tcPr>
                <w:p>
                  <w:pPr>
                    <w:jc w:val="center"/>
                  </w:pPr>
                  <w:r>
                    <w:t>烟尘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2622" w:type="dxa"/>
                  <w:tcBorders>
                    <w:tl2br w:val="nil"/>
                    <w:tr2bl w:val="nil"/>
                  </w:tcBorders>
                  <w:vAlign w:val="center"/>
                </w:tcPr>
                <w:p>
                  <w:pPr>
                    <w:jc w:val="center"/>
                  </w:pPr>
                  <w:r>
                    <w:t>污染物产生量（kg/h）</w:t>
                  </w:r>
                </w:p>
              </w:tc>
              <w:tc>
                <w:tcPr>
                  <w:tcW w:w="1758" w:type="dxa"/>
                  <w:tcBorders>
                    <w:tl2br w:val="nil"/>
                    <w:tr2bl w:val="nil"/>
                  </w:tcBorders>
                  <w:vAlign w:val="center"/>
                </w:tcPr>
                <w:p>
                  <w:pPr>
                    <w:jc w:val="center"/>
                  </w:pPr>
                  <w:r>
                    <w:t>0.0</w:t>
                  </w:r>
                  <w:r>
                    <w:rPr>
                      <w:rFonts w:hint="eastAsia"/>
                    </w:rPr>
                    <w:t>95</w:t>
                  </w:r>
                </w:p>
              </w:tc>
              <w:tc>
                <w:tcPr>
                  <w:tcW w:w="1759" w:type="dxa"/>
                  <w:tcBorders>
                    <w:tl2br w:val="nil"/>
                    <w:tr2bl w:val="nil"/>
                  </w:tcBorders>
                  <w:vAlign w:val="center"/>
                </w:tcPr>
                <w:p>
                  <w:pPr>
                    <w:jc w:val="center"/>
                  </w:pPr>
                  <w:r>
                    <w:rPr>
                      <w:rFonts w:hint="eastAsia"/>
                    </w:rPr>
                    <w:t>0.0063</w:t>
                  </w:r>
                </w:p>
              </w:tc>
              <w:tc>
                <w:tcPr>
                  <w:tcW w:w="1759" w:type="dxa"/>
                  <w:tcBorders>
                    <w:tl2br w:val="nil"/>
                    <w:tr2bl w:val="nil"/>
                  </w:tcBorders>
                  <w:vAlign w:val="center"/>
                </w:tcPr>
                <w:p>
                  <w:pPr>
                    <w:jc w:val="center"/>
                  </w:pPr>
                  <w:r>
                    <w:t>0.0</w:t>
                  </w:r>
                  <w:r>
                    <w:rPr>
                      <w:rFonts w:hint="eastAsia"/>
                    </w:rPr>
                    <w:t>38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2622" w:type="dxa"/>
                  <w:tcBorders>
                    <w:tl2br w:val="nil"/>
                    <w:tr2bl w:val="nil"/>
                  </w:tcBorders>
                  <w:vAlign w:val="center"/>
                </w:tcPr>
                <w:p>
                  <w:pPr>
                    <w:jc w:val="center"/>
                  </w:pPr>
                  <w:r>
                    <w:t>年产生量（kg/a）</w:t>
                  </w:r>
                </w:p>
              </w:tc>
              <w:tc>
                <w:tcPr>
                  <w:tcW w:w="1758" w:type="dxa"/>
                  <w:tcBorders>
                    <w:tl2br w:val="nil"/>
                    <w:tr2bl w:val="nil"/>
                  </w:tcBorders>
                  <w:vAlign w:val="center"/>
                </w:tcPr>
                <w:p>
                  <w:pPr>
                    <w:jc w:val="center"/>
                  </w:pPr>
                  <w:r>
                    <w:rPr>
                      <w:rFonts w:hint="eastAsia"/>
                    </w:rPr>
                    <w:t>229.3</w:t>
                  </w:r>
                </w:p>
              </w:tc>
              <w:tc>
                <w:tcPr>
                  <w:tcW w:w="1759" w:type="dxa"/>
                  <w:tcBorders>
                    <w:tl2br w:val="nil"/>
                    <w:tr2bl w:val="nil"/>
                  </w:tcBorders>
                  <w:vAlign w:val="center"/>
                </w:tcPr>
                <w:p>
                  <w:pPr>
                    <w:jc w:val="center"/>
                  </w:pPr>
                  <w:r>
                    <w:rPr>
                      <w:rFonts w:hint="eastAsia"/>
                    </w:rPr>
                    <w:t>15</w:t>
                  </w:r>
                </w:p>
              </w:tc>
              <w:tc>
                <w:tcPr>
                  <w:tcW w:w="1759" w:type="dxa"/>
                  <w:tcBorders>
                    <w:tl2br w:val="nil"/>
                    <w:tr2bl w:val="nil"/>
                  </w:tcBorders>
                  <w:vAlign w:val="center"/>
                </w:tcPr>
                <w:p>
                  <w:pPr>
                    <w:jc w:val="center"/>
                  </w:pPr>
                  <w:r>
                    <w:rPr>
                      <w:rFonts w:hint="eastAsia"/>
                    </w:rPr>
                    <w:t>92.1</w:t>
                  </w:r>
                </w:p>
              </w:tc>
            </w:tr>
          </w:tbl>
          <w:p>
            <w:pPr>
              <w:spacing w:line="360" w:lineRule="auto"/>
              <w:ind w:firstLine="480" w:firstLineChars="200"/>
              <w:rPr>
                <w:bCs/>
                <w:color w:val="000000"/>
                <w:sz w:val="24"/>
                <w:szCs w:val="24"/>
              </w:rPr>
            </w:pPr>
            <w:r>
              <w:rPr>
                <w:rFonts w:hint="eastAsia"/>
                <w:sz w:val="24"/>
                <w:szCs w:val="24"/>
              </w:rPr>
              <w:t xml:space="preserve">   2）挥发性气体</w:t>
            </w:r>
            <w:r>
              <w:rPr>
                <w:rFonts w:hint="eastAsia"/>
                <w:sz w:val="24"/>
                <w:szCs w:val="24"/>
              </w:rPr>
              <w:br w:type="textWrapping"/>
            </w:r>
            <w:r>
              <w:rPr>
                <w:rFonts w:hint="eastAsia"/>
                <w:sz w:val="24"/>
                <w:szCs w:val="24"/>
              </w:rPr>
              <w:t xml:space="preserve">   本项目回收废机油过程中散发非甲烷总烃，本项目参考《工业源挥发性有机物通用源项核算系数手册》中使柴油系数，工作时损失排放系数为0.07463kg/吨·周转量，则项目每年需要收集回收废机油1000t（包含废机油、含油废水中废机油），则项目项目非甲烷总烃产生量为0.07463t/a，能够满足《大气污染物综合排放标准》（GB16297-1996）表1中的标准，不需要建设油气回收系统。</w:t>
            </w:r>
            <w:r>
              <w:rPr>
                <w:rFonts w:hint="eastAsia"/>
                <w:sz w:val="24"/>
                <w:szCs w:val="24"/>
              </w:rPr>
              <w:br w:type="textWrapping"/>
            </w:r>
            <w:r>
              <w:rPr>
                <w:rFonts w:hint="eastAsia"/>
                <w:sz w:val="24"/>
                <w:szCs w:val="24"/>
              </w:rPr>
              <w:t xml:space="preserve">   采取措施：</w:t>
            </w:r>
            <w:r>
              <w:rPr>
                <w:rFonts w:hint="eastAsia"/>
                <w:sz w:val="24"/>
                <w:szCs w:val="24"/>
              </w:rPr>
              <w:br w:type="textWrapping"/>
            </w:r>
            <w:r>
              <w:rPr>
                <w:rFonts w:hint="eastAsia"/>
                <w:sz w:val="24"/>
                <w:szCs w:val="24"/>
              </w:rPr>
              <w:t xml:space="preserve">   项目废机油收集、临时贮存和装卸采取全密闭、液下装载、负压操作等方式，能有效避免非甲烷总烃泄漏和散逸，同时在使用过程均加强对泵、阀门、法兰等泄漏检查与控制。对油舱暂存的废机油采取在输入操作时，尽量在降温时作业，同时加强油舱的日常管理，定期检查油舱的密封情况，发现漏洞及时修理。</w:t>
            </w:r>
            <w:r>
              <w:rPr>
                <w:rFonts w:hint="eastAsia"/>
                <w:sz w:val="24"/>
                <w:szCs w:val="24"/>
              </w:rPr>
              <w:br w:type="textWrapping"/>
            </w:r>
            <w:r>
              <w:rPr>
                <w:rFonts w:hint="eastAsia"/>
                <w:sz w:val="24"/>
                <w:szCs w:val="24"/>
              </w:rPr>
              <w:t xml:space="preserve">  </w:t>
            </w:r>
            <w:r>
              <w:rPr>
                <w:rFonts w:hint="eastAsia"/>
                <w:bCs/>
                <w:color w:val="000000"/>
                <w:sz w:val="24"/>
              </w:rPr>
              <w:t xml:space="preserve">  </w:t>
            </w:r>
            <w:r>
              <w:rPr>
                <w:bCs/>
                <w:color w:val="000000"/>
                <w:sz w:val="24"/>
                <w:szCs w:val="24"/>
              </w:rPr>
              <w:t xml:space="preserve"> </w:t>
            </w:r>
            <w:r>
              <w:rPr>
                <w:rFonts w:hint="eastAsia"/>
                <w:bCs/>
                <w:color w:val="000000"/>
                <w:sz w:val="24"/>
                <w:szCs w:val="24"/>
              </w:rPr>
              <w:t>3</w:t>
            </w:r>
            <w:r>
              <w:rPr>
                <w:bCs/>
                <w:color w:val="000000"/>
                <w:sz w:val="24"/>
                <w:szCs w:val="24"/>
              </w:rPr>
              <w:t>）恶臭</w:t>
            </w:r>
            <w:r>
              <w:rPr>
                <w:rFonts w:hint="eastAsia"/>
                <w:bCs/>
                <w:color w:val="000000"/>
                <w:sz w:val="24"/>
                <w:szCs w:val="24"/>
              </w:rPr>
              <w:t>废气</w:t>
            </w:r>
          </w:p>
          <w:p>
            <w:pPr>
              <w:spacing w:line="360" w:lineRule="auto"/>
              <w:ind w:firstLine="480" w:firstLineChars="200"/>
              <w:rPr>
                <w:sz w:val="24"/>
                <w:szCs w:val="24"/>
              </w:rPr>
            </w:pPr>
            <w:r>
              <w:rPr>
                <w:sz w:val="24"/>
                <w:szCs w:val="24"/>
              </w:rPr>
              <w:t>本项目收集来往船艘船员的生活垃圾</w:t>
            </w:r>
            <w:r>
              <w:rPr>
                <w:rFonts w:hint="eastAsia"/>
                <w:sz w:val="24"/>
                <w:szCs w:val="24"/>
              </w:rPr>
              <w:t>和生活污水</w:t>
            </w:r>
            <w:r>
              <w:rPr>
                <w:sz w:val="24"/>
                <w:szCs w:val="24"/>
              </w:rPr>
              <w:t>，生活垃圾用袋装收集好后暂存在专用生活垃圾桶中，部分易腐败的有机垃圾由于其分解会发出异味，滋生蚊蝇，对环境的影响主要表现为恶臭，恶臭气体的成分为甲硫醇、氨、硫化氢、三甲胺等，主要为氨、硫化氢。含量难以估算，且项目所用的专用生活垃圾桶为密闭型的活动式垃圾收集容器，</w:t>
            </w:r>
            <w:r>
              <w:rPr>
                <w:rFonts w:hint="eastAsia"/>
                <w:bCs/>
                <w:color w:val="000000"/>
                <w:sz w:val="24"/>
              </w:rPr>
              <w:t>生活污水暂存船舱为封闭式，</w:t>
            </w:r>
            <w:r>
              <w:rPr>
                <w:sz w:val="24"/>
                <w:szCs w:val="24"/>
              </w:rPr>
              <w:t>这里只作一般定性分析。</w:t>
            </w:r>
          </w:p>
          <w:p>
            <w:pPr>
              <w:spacing w:line="360" w:lineRule="auto"/>
              <w:ind w:firstLine="480" w:firstLineChars="200"/>
              <w:rPr>
                <w:sz w:val="24"/>
                <w:szCs w:val="24"/>
              </w:rPr>
            </w:pPr>
            <w:r>
              <w:rPr>
                <w:sz w:val="24"/>
                <w:szCs w:val="24"/>
              </w:rPr>
              <w:t>生活垃圾所产生的气体恶臭物质有两种途径：一种是垃圾成分中本身发出的异味，例如宰杀鱼类、家禽等后抛弃的内脏所产生的异味，但不是垃圾主要的恶臭来源，另一种是有机物腐败分解产生的恶臭气体，不同季节的垃圾内含有 40～70%的有机物，分为植物性（例如米饭、面食、面包、瓜皮果壳和蔬菜烂叶、根等）和动物性（例如鱼、肉、骨头等），其在微生物作用下的分解产生恶臭味是垃圾恶臭的主要来源，同时有机物腐败产生的恶臭程度与季节有很大的关系，在夏季气温较高时有机物较易腐败，此时从垃圾中散发的恶臭气体明显比冬季强烈。</w:t>
            </w:r>
          </w:p>
          <w:p>
            <w:pPr>
              <w:spacing w:line="360" w:lineRule="auto"/>
              <w:ind w:firstLine="720" w:firstLineChars="300"/>
              <w:rPr>
                <w:sz w:val="24"/>
                <w:szCs w:val="24"/>
              </w:rPr>
            </w:pPr>
            <w:r>
              <w:rPr>
                <w:sz w:val="24"/>
                <w:szCs w:val="24"/>
              </w:rPr>
              <w:t>本项目收集专用船收集的船舶垃圾要求做好分类收集，封闭暂存，</w:t>
            </w:r>
            <w:r>
              <w:rPr>
                <w:rFonts w:hint="eastAsia"/>
                <w:sz w:val="24"/>
                <w:szCs w:val="24"/>
              </w:rPr>
              <w:t>生活污水封闭暂存，</w:t>
            </w:r>
            <w:r>
              <w:rPr>
                <w:sz w:val="24"/>
                <w:szCs w:val="24"/>
              </w:rPr>
              <w:t>河岸仅进行交接，不会对河岸边居民产生影响，上岸后暂存于</w:t>
            </w:r>
            <w:r>
              <w:rPr>
                <w:rFonts w:hint="eastAsia"/>
                <w:color w:val="auto"/>
                <w:sz w:val="24"/>
                <w:szCs w:val="24"/>
                <w:lang w:eastAsia="zh-CN"/>
              </w:rPr>
              <w:t>鹿角站临时</w:t>
            </w:r>
            <w:r>
              <w:rPr>
                <w:color w:val="auto"/>
                <w:sz w:val="24"/>
                <w:szCs w:val="24"/>
              </w:rPr>
              <w:t>垃圾站</w:t>
            </w:r>
            <w:r>
              <w:rPr>
                <w:rFonts w:hint="eastAsia"/>
                <w:color w:val="auto"/>
                <w:sz w:val="24"/>
                <w:szCs w:val="24"/>
                <w:lang w:eastAsia="zh-CN"/>
              </w:rPr>
              <w:t>，</w:t>
            </w:r>
            <w:r>
              <w:rPr>
                <w:color w:val="auto"/>
                <w:sz w:val="24"/>
                <w:szCs w:val="24"/>
              </w:rPr>
              <w:t>过程中</w:t>
            </w:r>
            <w:r>
              <w:rPr>
                <w:sz w:val="24"/>
                <w:szCs w:val="24"/>
              </w:rPr>
              <w:t>采用双层专用垃圾箱，委托给环卫部门及时清运至垃圾中转站，</w:t>
            </w:r>
            <w:r>
              <w:rPr>
                <w:rFonts w:hint="eastAsia"/>
                <w:sz w:val="24"/>
                <w:szCs w:val="24"/>
              </w:rPr>
              <w:t>同时</w:t>
            </w:r>
            <w:r>
              <w:rPr>
                <w:rFonts w:hint="eastAsia"/>
                <w:bCs/>
                <w:color w:val="000000"/>
                <w:sz w:val="24"/>
              </w:rPr>
              <w:t>项目生活污水处理量多时，每条船存储量达到80%，就进行转运，处理量少时，每六天清运一次，</w:t>
            </w:r>
            <w:r>
              <w:rPr>
                <w:sz w:val="24"/>
                <w:szCs w:val="24"/>
              </w:rPr>
              <w:t>为减轻垃圾</w:t>
            </w:r>
            <w:r>
              <w:rPr>
                <w:rFonts w:hint="eastAsia"/>
                <w:sz w:val="24"/>
                <w:szCs w:val="24"/>
              </w:rPr>
              <w:t>、污水</w:t>
            </w:r>
            <w:r>
              <w:rPr>
                <w:sz w:val="24"/>
                <w:szCs w:val="24"/>
              </w:rPr>
              <w:t>转运过程产生的恶臭对沿线</w:t>
            </w:r>
            <w:r>
              <w:rPr>
                <w:rFonts w:hint="eastAsia"/>
                <w:sz w:val="24"/>
                <w:szCs w:val="24"/>
              </w:rPr>
              <w:t>途经</w:t>
            </w:r>
            <w:r>
              <w:rPr>
                <w:sz w:val="24"/>
                <w:szCs w:val="24"/>
              </w:rPr>
              <w:t>居民的影响，垃圾转运车辆采用环卫部门压缩式垃圾收集车，垃圾车为封闭式，</w:t>
            </w:r>
            <w:r>
              <w:rPr>
                <w:rFonts w:hint="eastAsia"/>
                <w:sz w:val="24"/>
                <w:szCs w:val="24"/>
              </w:rPr>
              <w:t>污水处理车为封闭式，</w:t>
            </w:r>
            <w:r>
              <w:rPr>
                <w:sz w:val="24"/>
                <w:szCs w:val="24"/>
              </w:rPr>
              <w:t>可有效避免垃圾恶臭对周边居民的影响。</w:t>
            </w:r>
          </w:p>
          <w:p>
            <w:pPr>
              <w:adjustRightInd w:val="0"/>
              <w:snapToGrid w:val="0"/>
              <w:spacing w:line="360" w:lineRule="auto"/>
              <w:ind w:firstLine="602" w:firstLineChars="250"/>
              <w:rPr>
                <w:rFonts w:hAnsi="宋体"/>
                <w:b/>
                <w:bCs/>
                <w:sz w:val="24"/>
              </w:rPr>
            </w:pPr>
            <w:r>
              <w:rPr>
                <w:rFonts w:hint="eastAsia" w:hAnsi="宋体"/>
                <w:b/>
                <w:bCs/>
                <w:sz w:val="24"/>
              </w:rPr>
              <w:t>2、废水</w:t>
            </w:r>
          </w:p>
          <w:p>
            <w:pPr>
              <w:spacing w:line="360" w:lineRule="auto"/>
              <w:ind w:firstLine="480" w:firstLineChars="200"/>
              <w:rPr>
                <w:rFonts w:cs="宋体"/>
                <w:sz w:val="24"/>
                <w:szCs w:val="24"/>
              </w:rPr>
            </w:pPr>
            <w:r>
              <w:rPr>
                <w:rFonts w:hint="eastAsia" w:cs="宋体"/>
                <w:sz w:val="24"/>
                <w:szCs w:val="24"/>
              </w:rPr>
              <w:t>本项目营运期废水主要为含油废水、生活污水。</w:t>
            </w:r>
          </w:p>
          <w:p>
            <w:pPr>
              <w:spacing w:line="360" w:lineRule="auto"/>
              <w:ind w:firstLine="480" w:firstLineChars="200"/>
              <w:rPr>
                <w:rFonts w:cs="宋体"/>
                <w:sz w:val="24"/>
                <w:szCs w:val="24"/>
              </w:rPr>
            </w:pPr>
            <w:r>
              <w:rPr>
                <w:rFonts w:hint="eastAsia" w:cs="宋体"/>
                <w:sz w:val="24"/>
                <w:szCs w:val="24"/>
              </w:rPr>
              <w:t>（1）含油废水</w:t>
            </w:r>
          </w:p>
          <w:p>
            <w:pPr>
              <w:spacing w:line="360" w:lineRule="auto"/>
              <w:ind w:firstLine="480" w:firstLineChars="200"/>
              <w:rPr>
                <w:sz w:val="24"/>
                <w:szCs w:val="24"/>
              </w:rPr>
            </w:pPr>
            <w:r>
              <w:rPr>
                <w:rFonts w:hint="eastAsia" w:cs="宋体"/>
                <w:sz w:val="24"/>
                <w:szCs w:val="24"/>
              </w:rPr>
              <w:t>本项目年回收10000吨含油废水，含油废水经沉淀后采用油水分离器处理收集后转运至岳阳县污水处理厂，处理后的废水量为9300t，含油废水产生浓度参考企业委托湖南九鼎环保科技有限公司对湖南清源环保船舶污染物接收有限公司常规检测，项目废水经岳阳县污水处理厂处理后排放。</w:t>
            </w:r>
          </w:p>
          <w:p>
            <w:pPr>
              <w:jc w:val="center"/>
              <w:rPr>
                <w:b/>
                <w:sz w:val="24"/>
              </w:rPr>
            </w:pPr>
            <w:r>
              <w:rPr>
                <w:rFonts w:hint="eastAsia" w:cs="宋体"/>
                <w:b/>
                <w:sz w:val="24"/>
              </w:rPr>
              <w:t>表</w:t>
            </w:r>
            <w:r>
              <w:rPr>
                <w:rFonts w:hint="eastAsia"/>
                <w:b/>
                <w:sz w:val="24"/>
              </w:rPr>
              <w:t>4-2回收含油废水的处理</w:t>
            </w:r>
            <w:r>
              <w:rPr>
                <w:rFonts w:hint="eastAsia" w:cs="宋体"/>
                <w:b/>
                <w:sz w:val="24"/>
              </w:rPr>
              <w:t>废水排放情况表</w:t>
            </w:r>
          </w:p>
          <w:tbl>
            <w:tblPr>
              <w:tblStyle w:val="24"/>
              <w:tblW w:w="789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68"/>
              <w:gridCol w:w="865"/>
              <w:gridCol w:w="1149"/>
              <w:gridCol w:w="1324"/>
              <w:gridCol w:w="1084"/>
              <w:gridCol w:w="1332"/>
              <w:gridCol w:w="107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74" w:hRule="atLeast"/>
              </w:trPr>
              <w:tc>
                <w:tcPr>
                  <w:tcW w:w="1068" w:type="dxa"/>
                  <w:vMerge w:val="restart"/>
                  <w:tcBorders>
                    <w:tl2br w:val="nil"/>
                    <w:tr2bl w:val="nil"/>
                  </w:tcBorders>
                  <w:noWrap/>
                  <w:vAlign w:val="center"/>
                </w:tcPr>
                <w:p>
                  <w:pPr>
                    <w:jc w:val="center"/>
                    <w:rPr>
                      <w:szCs w:val="21"/>
                    </w:rPr>
                  </w:pPr>
                  <w:r>
                    <w:rPr>
                      <w:rFonts w:hint="eastAsia" w:cs="宋体"/>
                      <w:szCs w:val="21"/>
                    </w:rPr>
                    <w:t>来源</w:t>
                  </w:r>
                </w:p>
              </w:tc>
              <w:tc>
                <w:tcPr>
                  <w:tcW w:w="865" w:type="dxa"/>
                  <w:vMerge w:val="restart"/>
                  <w:tcBorders>
                    <w:tl2br w:val="nil"/>
                    <w:tr2bl w:val="nil"/>
                  </w:tcBorders>
                  <w:noWrap/>
                  <w:vAlign w:val="center"/>
                </w:tcPr>
                <w:p>
                  <w:pPr>
                    <w:jc w:val="center"/>
                    <w:rPr>
                      <w:szCs w:val="21"/>
                    </w:rPr>
                  </w:pPr>
                  <w:r>
                    <w:rPr>
                      <w:rFonts w:hint="eastAsia" w:cs="宋体"/>
                      <w:szCs w:val="21"/>
                    </w:rPr>
                    <w:t>废水量</w:t>
                  </w:r>
                </w:p>
                <w:p>
                  <w:pPr>
                    <w:jc w:val="center"/>
                    <w:rPr>
                      <w:szCs w:val="21"/>
                    </w:rPr>
                  </w:pPr>
                  <w:r>
                    <w:rPr>
                      <w:szCs w:val="21"/>
                    </w:rPr>
                    <w:t>t/a</w:t>
                  </w:r>
                </w:p>
              </w:tc>
              <w:tc>
                <w:tcPr>
                  <w:tcW w:w="1149" w:type="dxa"/>
                  <w:vMerge w:val="restart"/>
                  <w:tcBorders>
                    <w:tl2br w:val="nil"/>
                    <w:tr2bl w:val="nil"/>
                  </w:tcBorders>
                  <w:noWrap/>
                  <w:vAlign w:val="center"/>
                </w:tcPr>
                <w:p>
                  <w:pPr>
                    <w:jc w:val="center"/>
                    <w:rPr>
                      <w:szCs w:val="21"/>
                    </w:rPr>
                  </w:pPr>
                  <w:r>
                    <w:rPr>
                      <w:rFonts w:hint="eastAsia" w:cs="宋体"/>
                      <w:szCs w:val="21"/>
                    </w:rPr>
                    <w:t>污染物</w:t>
                  </w:r>
                </w:p>
                <w:p>
                  <w:pPr>
                    <w:jc w:val="center"/>
                    <w:rPr>
                      <w:szCs w:val="21"/>
                    </w:rPr>
                  </w:pPr>
                  <w:r>
                    <w:rPr>
                      <w:rFonts w:hint="eastAsia" w:cs="宋体"/>
                      <w:szCs w:val="21"/>
                    </w:rPr>
                    <w:t>名称</w:t>
                  </w:r>
                </w:p>
              </w:tc>
              <w:tc>
                <w:tcPr>
                  <w:tcW w:w="2408" w:type="dxa"/>
                  <w:gridSpan w:val="2"/>
                  <w:tcBorders>
                    <w:tl2br w:val="nil"/>
                    <w:tr2bl w:val="nil"/>
                  </w:tcBorders>
                  <w:noWrap/>
                  <w:vAlign w:val="center"/>
                </w:tcPr>
                <w:p>
                  <w:pPr>
                    <w:jc w:val="center"/>
                    <w:rPr>
                      <w:szCs w:val="21"/>
                    </w:rPr>
                  </w:pPr>
                  <w:r>
                    <w:rPr>
                      <w:rFonts w:hint="eastAsia"/>
                      <w:szCs w:val="21"/>
                    </w:rPr>
                    <w:t>油水分离器处理后</w:t>
                  </w:r>
                </w:p>
              </w:tc>
              <w:tc>
                <w:tcPr>
                  <w:tcW w:w="2408" w:type="dxa"/>
                  <w:gridSpan w:val="2"/>
                  <w:tcBorders>
                    <w:tl2br w:val="nil"/>
                    <w:tr2bl w:val="nil"/>
                  </w:tcBorders>
                  <w:noWrap/>
                  <w:vAlign w:val="center"/>
                </w:tcPr>
                <w:p>
                  <w:pPr>
                    <w:jc w:val="center"/>
                    <w:rPr>
                      <w:szCs w:val="21"/>
                    </w:rPr>
                  </w:pPr>
                  <w:r>
                    <w:rPr>
                      <w:rFonts w:hint="eastAsia"/>
                      <w:szCs w:val="21"/>
                    </w:rPr>
                    <w:t>污水处理厂处理后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6" w:hRule="atLeast"/>
              </w:trPr>
              <w:tc>
                <w:tcPr>
                  <w:tcW w:w="1068" w:type="dxa"/>
                  <w:vMerge w:val="continue"/>
                  <w:tcBorders>
                    <w:tl2br w:val="nil"/>
                    <w:tr2bl w:val="nil"/>
                  </w:tcBorders>
                  <w:noWrap/>
                  <w:vAlign w:val="center"/>
                </w:tcPr>
                <w:p>
                  <w:pPr>
                    <w:rPr>
                      <w:sz w:val="20"/>
                    </w:rPr>
                  </w:pPr>
                </w:p>
              </w:tc>
              <w:tc>
                <w:tcPr>
                  <w:tcW w:w="865" w:type="dxa"/>
                  <w:vMerge w:val="continue"/>
                  <w:tcBorders>
                    <w:tl2br w:val="nil"/>
                    <w:tr2bl w:val="nil"/>
                  </w:tcBorders>
                  <w:noWrap/>
                  <w:vAlign w:val="center"/>
                </w:tcPr>
                <w:p>
                  <w:pPr>
                    <w:rPr>
                      <w:sz w:val="20"/>
                    </w:rPr>
                  </w:pPr>
                </w:p>
              </w:tc>
              <w:tc>
                <w:tcPr>
                  <w:tcW w:w="1149" w:type="dxa"/>
                  <w:vMerge w:val="continue"/>
                  <w:tcBorders>
                    <w:tl2br w:val="nil"/>
                    <w:tr2bl w:val="nil"/>
                  </w:tcBorders>
                  <w:noWrap/>
                  <w:vAlign w:val="center"/>
                </w:tcPr>
                <w:p>
                  <w:pPr>
                    <w:rPr>
                      <w:sz w:val="20"/>
                    </w:rPr>
                  </w:pPr>
                </w:p>
              </w:tc>
              <w:tc>
                <w:tcPr>
                  <w:tcW w:w="1324" w:type="dxa"/>
                  <w:tcBorders>
                    <w:tl2br w:val="nil"/>
                    <w:tr2bl w:val="nil"/>
                  </w:tcBorders>
                  <w:noWrap/>
                  <w:vAlign w:val="center"/>
                </w:tcPr>
                <w:p>
                  <w:pPr>
                    <w:jc w:val="center"/>
                    <w:rPr>
                      <w:szCs w:val="21"/>
                    </w:rPr>
                  </w:pPr>
                  <w:r>
                    <w:rPr>
                      <w:rFonts w:hint="eastAsia" w:cs="宋体"/>
                      <w:szCs w:val="21"/>
                    </w:rPr>
                    <w:t>浓度</w:t>
                  </w:r>
                  <w:r>
                    <w:rPr>
                      <w:szCs w:val="21"/>
                    </w:rPr>
                    <w:t>mg/l</w:t>
                  </w:r>
                </w:p>
              </w:tc>
              <w:tc>
                <w:tcPr>
                  <w:tcW w:w="1084" w:type="dxa"/>
                  <w:tcBorders>
                    <w:tl2br w:val="nil"/>
                    <w:tr2bl w:val="nil"/>
                  </w:tcBorders>
                  <w:noWrap/>
                  <w:vAlign w:val="center"/>
                </w:tcPr>
                <w:p>
                  <w:pPr>
                    <w:jc w:val="center"/>
                    <w:rPr>
                      <w:szCs w:val="21"/>
                    </w:rPr>
                  </w:pPr>
                  <w:r>
                    <w:rPr>
                      <w:rFonts w:hint="eastAsia" w:cs="宋体"/>
                      <w:szCs w:val="21"/>
                    </w:rPr>
                    <w:t>排放量</w:t>
                  </w:r>
                  <w:r>
                    <w:rPr>
                      <w:szCs w:val="21"/>
                    </w:rPr>
                    <w:t>t/a</w:t>
                  </w:r>
                </w:p>
              </w:tc>
              <w:tc>
                <w:tcPr>
                  <w:tcW w:w="1332" w:type="dxa"/>
                  <w:tcBorders>
                    <w:tl2br w:val="nil"/>
                    <w:tr2bl w:val="nil"/>
                  </w:tcBorders>
                  <w:noWrap/>
                  <w:vAlign w:val="center"/>
                </w:tcPr>
                <w:p>
                  <w:pPr>
                    <w:jc w:val="center"/>
                    <w:rPr>
                      <w:szCs w:val="21"/>
                    </w:rPr>
                  </w:pPr>
                  <w:r>
                    <w:rPr>
                      <w:rFonts w:hint="eastAsia" w:cs="宋体"/>
                      <w:szCs w:val="21"/>
                    </w:rPr>
                    <w:t>浓度</w:t>
                  </w:r>
                  <w:r>
                    <w:rPr>
                      <w:szCs w:val="21"/>
                    </w:rPr>
                    <w:t>mg/l</w:t>
                  </w:r>
                </w:p>
              </w:tc>
              <w:tc>
                <w:tcPr>
                  <w:tcW w:w="1076" w:type="dxa"/>
                  <w:tcBorders>
                    <w:tl2br w:val="nil"/>
                    <w:tr2bl w:val="nil"/>
                  </w:tcBorders>
                  <w:noWrap/>
                  <w:vAlign w:val="center"/>
                </w:tcPr>
                <w:p>
                  <w:pPr>
                    <w:jc w:val="center"/>
                    <w:rPr>
                      <w:szCs w:val="21"/>
                    </w:rPr>
                  </w:pPr>
                  <w:r>
                    <w:rPr>
                      <w:rFonts w:hint="eastAsia" w:cs="宋体"/>
                      <w:szCs w:val="21"/>
                    </w:rPr>
                    <w:t>排放量</w:t>
                  </w:r>
                  <w:r>
                    <w:rPr>
                      <w:szCs w:val="21"/>
                    </w:rPr>
                    <w:t>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52" w:hRule="atLeast"/>
              </w:trPr>
              <w:tc>
                <w:tcPr>
                  <w:tcW w:w="1068" w:type="dxa"/>
                  <w:vMerge w:val="restart"/>
                  <w:tcBorders>
                    <w:tl2br w:val="nil"/>
                    <w:tr2bl w:val="nil"/>
                  </w:tcBorders>
                  <w:noWrap/>
                  <w:vAlign w:val="center"/>
                </w:tcPr>
                <w:p>
                  <w:pPr>
                    <w:jc w:val="center"/>
                    <w:rPr>
                      <w:szCs w:val="21"/>
                    </w:rPr>
                  </w:pPr>
                  <w:r>
                    <w:rPr>
                      <w:rFonts w:hint="eastAsia" w:cs="宋体"/>
                    </w:rPr>
                    <w:t>处理后废水</w:t>
                  </w:r>
                </w:p>
              </w:tc>
              <w:tc>
                <w:tcPr>
                  <w:tcW w:w="865" w:type="dxa"/>
                  <w:vMerge w:val="restart"/>
                  <w:tcBorders>
                    <w:tl2br w:val="nil"/>
                    <w:tr2bl w:val="nil"/>
                  </w:tcBorders>
                  <w:noWrap/>
                  <w:vAlign w:val="center"/>
                </w:tcPr>
                <w:p>
                  <w:pPr>
                    <w:jc w:val="center"/>
                    <w:rPr>
                      <w:szCs w:val="21"/>
                    </w:rPr>
                  </w:pPr>
                  <w:r>
                    <w:rPr>
                      <w:rFonts w:hint="eastAsia"/>
                      <w:szCs w:val="21"/>
                    </w:rPr>
                    <w:t>9300</w:t>
                  </w:r>
                </w:p>
              </w:tc>
              <w:tc>
                <w:tcPr>
                  <w:tcW w:w="1149" w:type="dxa"/>
                  <w:tcBorders>
                    <w:tl2br w:val="nil"/>
                    <w:tr2bl w:val="nil"/>
                  </w:tcBorders>
                  <w:noWrap/>
                  <w:vAlign w:val="center"/>
                </w:tcPr>
                <w:p>
                  <w:pPr>
                    <w:jc w:val="center"/>
                    <w:rPr>
                      <w:szCs w:val="21"/>
                    </w:rPr>
                  </w:pPr>
                  <w:r>
                    <w:rPr>
                      <w:rFonts w:hint="eastAsia"/>
                      <w:szCs w:val="21"/>
                    </w:rPr>
                    <w:t>COD</w:t>
                  </w:r>
                </w:p>
              </w:tc>
              <w:tc>
                <w:tcPr>
                  <w:tcW w:w="1324" w:type="dxa"/>
                  <w:tcBorders>
                    <w:tl2br w:val="nil"/>
                    <w:tr2bl w:val="nil"/>
                  </w:tcBorders>
                  <w:noWrap/>
                  <w:vAlign w:val="center"/>
                </w:tcPr>
                <w:p>
                  <w:pPr>
                    <w:jc w:val="center"/>
                    <w:rPr>
                      <w:szCs w:val="21"/>
                    </w:rPr>
                  </w:pPr>
                  <w:r>
                    <w:rPr>
                      <w:rFonts w:hint="eastAsia"/>
                      <w:szCs w:val="21"/>
                    </w:rPr>
                    <w:t>68</w:t>
                  </w:r>
                </w:p>
              </w:tc>
              <w:tc>
                <w:tcPr>
                  <w:tcW w:w="1084" w:type="dxa"/>
                  <w:tcBorders>
                    <w:tl2br w:val="nil"/>
                    <w:tr2bl w:val="nil"/>
                  </w:tcBorders>
                  <w:noWrap/>
                  <w:vAlign w:val="center"/>
                </w:tcPr>
                <w:p>
                  <w:pPr>
                    <w:widowControl/>
                    <w:jc w:val="center"/>
                    <w:textAlignment w:val="center"/>
                    <w:rPr>
                      <w:szCs w:val="21"/>
                    </w:rPr>
                  </w:pPr>
                  <w:r>
                    <w:rPr>
                      <w:rFonts w:hint="eastAsia"/>
                      <w:color w:val="000000"/>
                      <w:kern w:val="0"/>
                      <w:szCs w:val="21"/>
                      <w:lang w:bidi="ar"/>
                    </w:rPr>
                    <w:t>0.63</w:t>
                  </w:r>
                </w:p>
              </w:tc>
              <w:tc>
                <w:tcPr>
                  <w:tcW w:w="1332" w:type="dxa"/>
                  <w:tcBorders>
                    <w:tl2br w:val="nil"/>
                    <w:tr2bl w:val="nil"/>
                  </w:tcBorders>
                  <w:noWrap/>
                  <w:vAlign w:val="center"/>
                </w:tcPr>
                <w:p>
                  <w:pPr>
                    <w:jc w:val="center"/>
                    <w:rPr>
                      <w:szCs w:val="21"/>
                    </w:rPr>
                  </w:pPr>
                  <w:r>
                    <w:rPr>
                      <w:rFonts w:hint="eastAsia"/>
                      <w:szCs w:val="21"/>
                    </w:rPr>
                    <w:t>50</w:t>
                  </w:r>
                </w:p>
              </w:tc>
              <w:tc>
                <w:tcPr>
                  <w:tcW w:w="1076" w:type="dxa"/>
                  <w:tcBorders>
                    <w:tl2br w:val="nil"/>
                    <w:tr2bl w:val="nil"/>
                  </w:tcBorders>
                  <w:noWrap/>
                  <w:vAlign w:val="center"/>
                </w:tcPr>
                <w:p>
                  <w:pPr>
                    <w:widowControl/>
                    <w:jc w:val="center"/>
                    <w:textAlignment w:val="center"/>
                    <w:rPr>
                      <w:szCs w:val="21"/>
                    </w:rPr>
                  </w:pPr>
                  <w:r>
                    <w:rPr>
                      <w:color w:val="000000"/>
                      <w:kern w:val="0"/>
                      <w:szCs w:val="21"/>
                      <w:lang w:bidi="ar"/>
                    </w:rPr>
                    <w:t>0.465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59" w:hRule="atLeast"/>
              </w:trPr>
              <w:tc>
                <w:tcPr>
                  <w:tcW w:w="1068" w:type="dxa"/>
                  <w:vMerge w:val="continue"/>
                  <w:tcBorders>
                    <w:tl2br w:val="nil"/>
                    <w:tr2bl w:val="nil"/>
                  </w:tcBorders>
                  <w:noWrap/>
                  <w:vAlign w:val="center"/>
                </w:tcPr>
                <w:p>
                  <w:pPr>
                    <w:jc w:val="center"/>
                    <w:rPr>
                      <w:rFonts w:cs="宋体"/>
                    </w:rPr>
                  </w:pPr>
                </w:p>
              </w:tc>
              <w:tc>
                <w:tcPr>
                  <w:tcW w:w="865" w:type="dxa"/>
                  <w:vMerge w:val="continue"/>
                  <w:tcBorders>
                    <w:tl2br w:val="nil"/>
                    <w:tr2bl w:val="nil"/>
                  </w:tcBorders>
                  <w:noWrap/>
                  <w:vAlign w:val="center"/>
                </w:tcPr>
                <w:p>
                  <w:pPr>
                    <w:jc w:val="center"/>
                    <w:rPr>
                      <w:szCs w:val="21"/>
                    </w:rPr>
                  </w:pPr>
                </w:p>
              </w:tc>
              <w:tc>
                <w:tcPr>
                  <w:tcW w:w="1149" w:type="dxa"/>
                  <w:tcBorders>
                    <w:tl2br w:val="nil"/>
                    <w:tr2bl w:val="nil"/>
                  </w:tcBorders>
                  <w:noWrap/>
                  <w:vAlign w:val="center"/>
                </w:tcPr>
                <w:p>
                  <w:pPr>
                    <w:jc w:val="center"/>
                    <w:rPr>
                      <w:rFonts w:cs="宋体"/>
                      <w:szCs w:val="21"/>
                    </w:rPr>
                  </w:pPr>
                  <w:r>
                    <w:rPr>
                      <w:rFonts w:hint="eastAsia" w:cs="宋体"/>
                      <w:szCs w:val="21"/>
                    </w:rPr>
                    <w:t>BOD</w:t>
                  </w:r>
                </w:p>
              </w:tc>
              <w:tc>
                <w:tcPr>
                  <w:tcW w:w="1324" w:type="dxa"/>
                  <w:tcBorders>
                    <w:tl2br w:val="nil"/>
                    <w:tr2bl w:val="nil"/>
                  </w:tcBorders>
                  <w:noWrap/>
                  <w:vAlign w:val="center"/>
                </w:tcPr>
                <w:p>
                  <w:pPr>
                    <w:jc w:val="center"/>
                    <w:rPr>
                      <w:szCs w:val="21"/>
                    </w:rPr>
                  </w:pPr>
                  <w:r>
                    <w:rPr>
                      <w:rFonts w:hint="eastAsia"/>
                      <w:szCs w:val="21"/>
                    </w:rPr>
                    <w:t>30</w:t>
                  </w:r>
                </w:p>
              </w:tc>
              <w:tc>
                <w:tcPr>
                  <w:tcW w:w="1084" w:type="dxa"/>
                  <w:tcBorders>
                    <w:tl2br w:val="nil"/>
                    <w:tr2bl w:val="nil"/>
                  </w:tcBorders>
                  <w:noWrap/>
                  <w:vAlign w:val="center"/>
                </w:tcPr>
                <w:p>
                  <w:pPr>
                    <w:widowControl/>
                    <w:jc w:val="center"/>
                    <w:textAlignment w:val="center"/>
                    <w:rPr>
                      <w:szCs w:val="21"/>
                    </w:rPr>
                  </w:pPr>
                  <w:r>
                    <w:rPr>
                      <w:rFonts w:hint="eastAsia"/>
                      <w:color w:val="000000"/>
                      <w:kern w:val="0"/>
                      <w:szCs w:val="21"/>
                      <w:lang w:bidi="ar"/>
                    </w:rPr>
                    <w:t>0.28</w:t>
                  </w:r>
                </w:p>
              </w:tc>
              <w:tc>
                <w:tcPr>
                  <w:tcW w:w="1332" w:type="dxa"/>
                  <w:tcBorders>
                    <w:tl2br w:val="nil"/>
                    <w:tr2bl w:val="nil"/>
                  </w:tcBorders>
                  <w:noWrap/>
                  <w:vAlign w:val="center"/>
                </w:tcPr>
                <w:p>
                  <w:pPr>
                    <w:jc w:val="center"/>
                    <w:rPr>
                      <w:szCs w:val="21"/>
                    </w:rPr>
                  </w:pPr>
                  <w:r>
                    <w:rPr>
                      <w:rFonts w:hint="eastAsia"/>
                      <w:szCs w:val="21"/>
                    </w:rPr>
                    <w:t>10</w:t>
                  </w:r>
                </w:p>
              </w:tc>
              <w:tc>
                <w:tcPr>
                  <w:tcW w:w="1076" w:type="dxa"/>
                  <w:tcBorders>
                    <w:tl2br w:val="nil"/>
                    <w:tr2bl w:val="nil"/>
                  </w:tcBorders>
                  <w:noWrap/>
                  <w:vAlign w:val="center"/>
                </w:tcPr>
                <w:p>
                  <w:pPr>
                    <w:widowControl/>
                    <w:jc w:val="center"/>
                    <w:textAlignment w:val="center"/>
                    <w:rPr>
                      <w:szCs w:val="21"/>
                    </w:rPr>
                  </w:pPr>
                  <w:r>
                    <w:rPr>
                      <w:color w:val="000000"/>
                      <w:kern w:val="0"/>
                      <w:szCs w:val="21"/>
                      <w:lang w:bidi="ar"/>
                    </w:rPr>
                    <w:t>0.093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59" w:hRule="atLeast"/>
              </w:trPr>
              <w:tc>
                <w:tcPr>
                  <w:tcW w:w="1068" w:type="dxa"/>
                  <w:vMerge w:val="continue"/>
                  <w:tcBorders>
                    <w:tl2br w:val="nil"/>
                    <w:tr2bl w:val="nil"/>
                  </w:tcBorders>
                  <w:noWrap/>
                  <w:vAlign w:val="center"/>
                </w:tcPr>
                <w:p>
                  <w:pPr>
                    <w:jc w:val="center"/>
                    <w:rPr>
                      <w:rFonts w:cs="宋体"/>
                    </w:rPr>
                  </w:pPr>
                </w:p>
              </w:tc>
              <w:tc>
                <w:tcPr>
                  <w:tcW w:w="865" w:type="dxa"/>
                  <w:vMerge w:val="continue"/>
                  <w:tcBorders>
                    <w:tl2br w:val="nil"/>
                    <w:tr2bl w:val="nil"/>
                  </w:tcBorders>
                  <w:noWrap/>
                  <w:vAlign w:val="center"/>
                </w:tcPr>
                <w:p>
                  <w:pPr>
                    <w:jc w:val="center"/>
                    <w:rPr>
                      <w:szCs w:val="21"/>
                    </w:rPr>
                  </w:pPr>
                </w:p>
              </w:tc>
              <w:tc>
                <w:tcPr>
                  <w:tcW w:w="1149" w:type="dxa"/>
                  <w:tcBorders>
                    <w:tl2br w:val="nil"/>
                    <w:tr2bl w:val="nil"/>
                  </w:tcBorders>
                  <w:noWrap/>
                  <w:vAlign w:val="center"/>
                </w:tcPr>
                <w:p>
                  <w:pPr>
                    <w:jc w:val="center"/>
                    <w:rPr>
                      <w:rFonts w:cs="宋体"/>
                      <w:szCs w:val="21"/>
                    </w:rPr>
                  </w:pPr>
                  <w:r>
                    <w:rPr>
                      <w:rFonts w:hint="eastAsia" w:cs="宋体"/>
                      <w:szCs w:val="21"/>
                    </w:rPr>
                    <w:t>SS</w:t>
                  </w:r>
                </w:p>
              </w:tc>
              <w:tc>
                <w:tcPr>
                  <w:tcW w:w="1324" w:type="dxa"/>
                  <w:tcBorders>
                    <w:tl2br w:val="nil"/>
                    <w:tr2bl w:val="nil"/>
                  </w:tcBorders>
                  <w:noWrap/>
                  <w:vAlign w:val="center"/>
                </w:tcPr>
                <w:p>
                  <w:pPr>
                    <w:jc w:val="center"/>
                    <w:rPr>
                      <w:szCs w:val="21"/>
                    </w:rPr>
                  </w:pPr>
                  <w:r>
                    <w:rPr>
                      <w:rFonts w:hint="eastAsia"/>
                      <w:szCs w:val="21"/>
                    </w:rPr>
                    <w:t>70</w:t>
                  </w:r>
                </w:p>
              </w:tc>
              <w:tc>
                <w:tcPr>
                  <w:tcW w:w="1084" w:type="dxa"/>
                  <w:tcBorders>
                    <w:tl2br w:val="nil"/>
                    <w:tr2bl w:val="nil"/>
                  </w:tcBorders>
                  <w:noWrap/>
                  <w:vAlign w:val="center"/>
                </w:tcPr>
                <w:p>
                  <w:pPr>
                    <w:widowControl/>
                    <w:jc w:val="center"/>
                    <w:textAlignment w:val="center"/>
                    <w:rPr>
                      <w:szCs w:val="21"/>
                    </w:rPr>
                  </w:pPr>
                  <w:r>
                    <w:rPr>
                      <w:rFonts w:hint="eastAsia"/>
                      <w:color w:val="000000"/>
                      <w:kern w:val="0"/>
                      <w:szCs w:val="21"/>
                      <w:lang w:bidi="ar"/>
                    </w:rPr>
                    <w:t>0.65</w:t>
                  </w:r>
                </w:p>
              </w:tc>
              <w:tc>
                <w:tcPr>
                  <w:tcW w:w="1332" w:type="dxa"/>
                  <w:tcBorders>
                    <w:tl2br w:val="nil"/>
                    <w:tr2bl w:val="nil"/>
                  </w:tcBorders>
                  <w:noWrap/>
                  <w:vAlign w:val="center"/>
                </w:tcPr>
                <w:p>
                  <w:pPr>
                    <w:jc w:val="center"/>
                    <w:rPr>
                      <w:szCs w:val="21"/>
                    </w:rPr>
                  </w:pPr>
                  <w:r>
                    <w:rPr>
                      <w:rFonts w:hint="eastAsia"/>
                      <w:szCs w:val="21"/>
                    </w:rPr>
                    <w:t>10</w:t>
                  </w:r>
                </w:p>
              </w:tc>
              <w:tc>
                <w:tcPr>
                  <w:tcW w:w="1076" w:type="dxa"/>
                  <w:tcBorders>
                    <w:tl2br w:val="nil"/>
                    <w:tr2bl w:val="nil"/>
                  </w:tcBorders>
                  <w:noWrap/>
                  <w:vAlign w:val="center"/>
                </w:tcPr>
                <w:p>
                  <w:pPr>
                    <w:widowControl/>
                    <w:jc w:val="center"/>
                    <w:textAlignment w:val="center"/>
                    <w:rPr>
                      <w:szCs w:val="21"/>
                    </w:rPr>
                  </w:pPr>
                  <w:r>
                    <w:rPr>
                      <w:color w:val="000000"/>
                      <w:kern w:val="0"/>
                      <w:szCs w:val="21"/>
                      <w:lang w:bidi="ar"/>
                    </w:rPr>
                    <w:t>0.093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41" w:hRule="atLeast"/>
              </w:trPr>
              <w:tc>
                <w:tcPr>
                  <w:tcW w:w="1068" w:type="dxa"/>
                  <w:vMerge w:val="continue"/>
                  <w:tcBorders>
                    <w:tl2br w:val="nil"/>
                    <w:tr2bl w:val="nil"/>
                  </w:tcBorders>
                  <w:noWrap/>
                  <w:vAlign w:val="center"/>
                </w:tcPr>
                <w:p>
                  <w:pPr>
                    <w:jc w:val="center"/>
                    <w:rPr>
                      <w:rFonts w:cs="宋体"/>
                    </w:rPr>
                  </w:pPr>
                </w:p>
              </w:tc>
              <w:tc>
                <w:tcPr>
                  <w:tcW w:w="865" w:type="dxa"/>
                  <w:vMerge w:val="continue"/>
                  <w:tcBorders>
                    <w:tl2br w:val="nil"/>
                    <w:tr2bl w:val="nil"/>
                  </w:tcBorders>
                  <w:noWrap/>
                  <w:vAlign w:val="center"/>
                </w:tcPr>
                <w:p>
                  <w:pPr>
                    <w:jc w:val="center"/>
                    <w:rPr>
                      <w:szCs w:val="21"/>
                    </w:rPr>
                  </w:pPr>
                </w:p>
              </w:tc>
              <w:tc>
                <w:tcPr>
                  <w:tcW w:w="1149" w:type="dxa"/>
                  <w:tcBorders>
                    <w:tl2br w:val="nil"/>
                    <w:tr2bl w:val="nil"/>
                  </w:tcBorders>
                  <w:noWrap/>
                  <w:vAlign w:val="center"/>
                </w:tcPr>
                <w:p>
                  <w:pPr>
                    <w:jc w:val="center"/>
                    <w:rPr>
                      <w:rFonts w:cs="宋体"/>
                      <w:szCs w:val="21"/>
                    </w:rPr>
                  </w:pPr>
                  <w:r>
                    <w:rPr>
                      <w:rFonts w:hint="eastAsia" w:cs="宋体"/>
                      <w:szCs w:val="21"/>
                    </w:rPr>
                    <w:t>氨氮</w:t>
                  </w:r>
                </w:p>
              </w:tc>
              <w:tc>
                <w:tcPr>
                  <w:tcW w:w="1324" w:type="dxa"/>
                  <w:tcBorders>
                    <w:tl2br w:val="nil"/>
                    <w:tr2bl w:val="nil"/>
                  </w:tcBorders>
                  <w:noWrap/>
                  <w:vAlign w:val="center"/>
                </w:tcPr>
                <w:p>
                  <w:pPr>
                    <w:jc w:val="center"/>
                    <w:rPr>
                      <w:szCs w:val="21"/>
                    </w:rPr>
                  </w:pPr>
                  <w:r>
                    <w:rPr>
                      <w:rFonts w:hint="eastAsia"/>
                      <w:szCs w:val="21"/>
                    </w:rPr>
                    <w:t>15</w:t>
                  </w:r>
                </w:p>
              </w:tc>
              <w:tc>
                <w:tcPr>
                  <w:tcW w:w="1084" w:type="dxa"/>
                  <w:tcBorders>
                    <w:tl2br w:val="nil"/>
                    <w:tr2bl w:val="nil"/>
                  </w:tcBorders>
                  <w:noWrap/>
                  <w:vAlign w:val="center"/>
                </w:tcPr>
                <w:p>
                  <w:pPr>
                    <w:widowControl/>
                    <w:jc w:val="center"/>
                    <w:textAlignment w:val="center"/>
                    <w:rPr>
                      <w:szCs w:val="21"/>
                    </w:rPr>
                  </w:pPr>
                  <w:r>
                    <w:rPr>
                      <w:color w:val="000000"/>
                      <w:kern w:val="0"/>
                      <w:szCs w:val="21"/>
                      <w:lang w:bidi="ar"/>
                    </w:rPr>
                    <w:t>0.1</w:t>
                  </w:r>
                  <w:r>
                    <w:rPr>
                      <w:rFonts w:hint="eastAsia"/>
                      <w:color w:val="000000"/>
                      <w:kern w:val="0"/>
                      <w:szCs w:val="21"/>
                      <w:lang w:bidi="ar"/>
                    </w:rPr>
                    <w:t>4</w:t>
                  </w:r>
                </w:p>
              </w:tc>
              <w:tc>
                <w:tcPr>
                  <w:tcW w:w="1332" w:type="dxa"/>
                  <w:tcBorders>
                    <w:tl2br w:val="nil"/>
                    <w:tr2bl w:val="nil"/>
                  </w:tcBorders>
                  <w:noWrap/>
                  <w:vAlign w:val="center"/>
                </w:tcPr>
                <w:p>
                  <w:pPr>
                    <w:jc w:val="center"/>
                    <w:rPr>
                      <w:szCs w:val="21"/>
                    </w:rPr>
                  </w:pPr>
                  <w:r>
                    <w:rPr>
                      <w:rFonts w:hint="eastAsia"/>
                      <w:szCs w:val="21"/>
                    </w:rPr>
                    <w:t>5</w:t>
                  </w:r>
                </w:p>
              </w:tc>
              <w:tc>
                <w:tcPr>
                  <w:tcW w:w="1076" w:type="dxa"/>
                  <w:tcBorders>
                    <w:tl2br w:val="nil"/>
                    <w:tr2bl w:val="nil"/>
                  </w:tcBorders>
                  <w:noWrap/>
                  <w:vAlign w:val="center"/>
                </w:tcPr>
                <w:p>
                  <w:pPr>
                    <w:widowControl/>
                    <w:jc w:val="center"/>
                    <w:textAlignment w:val="center"/>
                    <w:rPr>
                      <w:szCs w:val="21"/>
                    </w:rPr>
                  </w:pPr>
                  <w:r>
                    <w:rPr>
                      <w:color w:val="000000"/>
                      <w:kern w:val="0"/>
                      <w:szCs w:val="21"/>
                      <w:lang w:bidi="ar"/>
                    </w:rPr>
                    <w:t>0.0465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03" w:hRule="atLeast"/>
              </w:trPr>
              <w:tc>
                <w:tcPr>
                  <w:tcW w:w="1068" w:type="dxa"/>
                  <w:vMerge w:val="continue"/>
                  <w:tcBorders>
                    <w:tl2br w:val="nil"/>
                    <w:tr2bl w:val="nil"/>
                  </w:tcBorders>
                  <w:noWrap/>
                  <w:vAlign w:val="center"/>
                </w:tcPr>
                <w:p>
                  <w:pPr>
                    <w:jc w:val="center"/>
                    <w:rPr>
                      <w:rFonts w:cs="宋体"/>
                      <w14:textFill>
                        <w14:gradFill>
                          <w14:gsLst>
                            <w14:gs w14:pos="0">
                              <w14:srgbClr w14:val="FBFB11"/>
                            </w14:gs>
                            <w14:gs w14:pos="100000">
                              <w14:srgbClr w14:val="838309"/>
                            </w14:gs>
                          </w14:gsLst>
                          <w14:lin w14:ang="0" w14:scaled="0"/>
                        </w14:gradFill>
                      </w14:textFill>
                    </w:rPr>
                  </w:pPr>
                </w:p>
              </w:tc>
              <w:tc>
                <w:tcPr>
                  <w:tcW w:w="865" w:type="dxa"/>
                  <w:vMerge w:val="continue"/>
                  <w:tcBorders>
                    <w:tl2br w:val="nil"/>
                    <w:tr2bl w:val="nil"/>
                  </w:tcBorders>
                  <w:noWrap/>
                  <w:vAlign w:val="center"/>
                </w:tcPr>
                <w:p>
                  <w:pPr>
                    <w:jc w:val="center"/>
                    <w:rPr>
                      <w:szCs w:val="21"/>
                      <w14:textFill>
                        <w14:gradFill>
                          <w14:gsLst>
                            <w14:gs w14:pos="0">
                              <w14:srgbClr w14:val="FBFB11"/>
                            </w14:gs>
                            <w14:gs w14:pos="100000">
                              <w14:srgbClr w14:val="838309"/>
                            </w14:gs>
                          </w14:gsLst>
                          <w14:lin w14:ang="0" w14:scaled="0"/>
                        </w14:gradFill>
                      </w14:textFill>
                    </w:rPr>
                  </w:pPr>
                </w:p>
              </w:tc>
              <w:tc>
                <w:tcPr>
                  <w:tcW w:w="1149" w:type="dxa"/>
                  <w:tcBorders>
                    <w:tl2br w:val="nil"/>
                    <w:tr2bl w:val="nil"/>
                  </w:tcBorders>
                  <w:noWrap/>
                  <w:vAlign w:val="center"/>
                </w:tcPr>
                <w:p>
                  <w:pPr>
                    <w:jc w:val="center"/>
                    <w:rPr>
                      <w:rFonts w:cs="宋体"/>
                      <w:szCs w:val="21"/>
                    </w:rPr>
                  </w:pPr>
                  <w:r>
                    <w:rPr>
                      <w:rFonts w:hint="eastAsia" w:cs="宋体"/>
                      <w:szCs w:val="21"/>
                    </w:rPr>
                    <w:t>石油类</w:t>
                  </w:r>
                </w:p>
              </w:tc>
              <w:tc>
                <w:tcPr>
                  <w:tcW w:w="1324" w:type="dxa"/>
                  <w:tcBorders>
                    <w:tl2br w:val="nil"/>
                    <w:tr2bl w:val="nil"/>
                  </w:tcBorders>
                  <w:noWrap/>
                  <w:vAlign w:val="center"/>
                </w:tcPr>
                <w:p>
                  <w:pPr>
                    <w:jc w:val="center"/>
                    <w:rPr>
                      <w:szCs w:val="21"/>
                    </w:rPr>
                  </w:pPr>
                  <w:r>
                    <w:rPr>
                      <w:rFonts w:hint="eastAsia"/>
                      <w:szCs w:val="21"/>
                    </w:rPr>
                    <w:t>0.244</w:t>
                  </w:r>
                </w:p>
              </w:tc>
              <w:tc>
                <w:tcPr>
                  <w:tcW w:w="1084" w:type="dxa"/>
                  <w:tcBorders>
                    <w:tl2br w:val="nil"/>
                    <w:tr2bl w:val="nil"/>
                  </w:tcBorders>
                  <w:noWrap/>
                  <w:vAlign w:val="center"/>
                </w:tcPr>
                <w:p>
                  <w:pPr>
                    <w:widowControl/>
                    <w:jc w:val="center"/>
                    <w:textAlignment w:val="center"/>
                    <w:rPr>
                      <w:szCs w:val="21"/>
                    </w:rPr>
                  </w:pPr>
                  <w:r>
                    <w:rPr>
                      <w:rFonts w:hint="eastAsia"/>
                      <w:szCs w:val="21"/>
                    </w:rPr>
                    <w:t>0.0023</w:t>
                  </w:r>
                </w:p>
              </w:tc>
              <w:tc>
                <w:tcPr>
                  <w:tcW w:w="1332" w:type="dxa"/>
                  <w:tcBorders>
                    <w:tl2br w:val="nil"/>
                    <w:tr2bl w:val="nil"/>
                  </w:tcBorders>
                  <w:noWrap/>
                  <w:vAlign w:val="center"/>
                </w:tcPr>
                <w:p>
                  <w:pPr>
                    <w:jc w:val="center"/>
                    <w:rPr>
                      <w:szCs w:val="21"/>
                    </w:rPr>
                  </w:pPr>
                  <w:r>
                    <w:rPr>
                      <w:rFonts w:hint="eastAsia"/>
                      <w:szCs w:val="21"/>
                    </w:rPr>
                    <w:t>0.244</w:t>
                  </w:r>
                </w:p>
              </w:tc>
              <w:tc>
                <w:tcPr>
                  <w:tcW w:w="1076" w:type="dxa"/>
                  <w:tcBorders>
                    <w:tl2br w:val="nil"/>
                    <w:tr2bl w:val="nil"/>
                  </w:tcBorders>
                  <w:noWrap/>
                  <w:vAlign w:val="center"/>
                </w:tcPr>
                <w:p>
                  <w:pPr>
                    <w:widowControl/>
                    <w:jc w:val="center"/>
                    <w:textAlignment w:val="center"/>
                    <w:rPr>
                      <w:szCs w:val="21"/>
                    </w:rPr>
                  </w:pPr>
                  <w:r>
                    <w:rPr>
                      <w:kern w:val="0"/>
                      <w:szCs w:val="21"/>
                      <w:lang w:bidi="ar"/>
                    </w:rPr>
                    <w:t>0.00</w:t>
                  </w:r>
                  <w:r>
                    <w:rPr>
                      <w:rFonts w:hint="eastAsia"/>
                      <w:kern w:val="0"/>
                      <w:szCs w:val="21"/>
                      <w:lang w:bidi="ar"/>
                    </w:rPr>
                    <w:t>23</w:t>
                  </w:r>
                </w:p>
              </w:tc>
            </w:tr>
          </w:tbl>
          <w:p>
            <w:pPr>
              <w:spacing w:line="360" w:lineRule="auto"/>
              <w:ind w:firstLine="480" w:firstLineChars="200"/>
              <w:rPr>
                <w:rFonts w:cs="宋体"/>
                <w:sz w:val="24"/>
                <w:szCs w:val="24"/>
              </w:rPr>
            </w:pPr>
            <w:r>
              <w:rPr>
                <w:rFonts w:hint="eastAsia" w:cs="宋体"/>
                <w:sz w:val="24"/>
                <w:szCs w:val="24"/>
              </w:rPr>
              <w:t>（3）生活污水</w:t>
            </w:r>
          </w:p>
          <w:p>
            <w:pPr>
              <w:spacing w:line="360" w:lineRule="auto"/>
              <w:ind w:firstLine="480" w:firstLineChars="200"/>
              <w:rPr>
                <w:color w:val="000000"/>
                <w:sz w:val="24"/>
                <w:u w:val="single"/>
              </w:rPr>
            </w:pPr>
            <w:r>
              <w:rPr>
                <w:rFonts w:hint="eastAsia" w:cs="宋体"/>
                <w:sz w:val="24"/>
                <w:szCs w:val="24"/>
              </w:rPr>
              <w:t>本项目年回收10000吨生活废水，项目生活废水水质情况为：COD</w:t>
            </w:r>
            <w:r>
              <w:rPr>
                <w:rFonts w:hint="eastAsia" w:cs="宋体"/>
                <w:sz w:val="24"/>
                <w:szCs w:val="24"/>
                <w:vertAlign w:val="subscript"/>
              </w:rPr>
              <w:t xml:space="preserve">Cr </w:t>
            </w:r>
            <w:r>
              <w:rPr>
                <w:rFonts w:hint="eastAsia" w:cs="宋体"/>
                <w:sz w:val="24"/>
                <w:szCs w:val="24"/>
              </w:rPr>
              <w:t>300mg/L，BOD</w:t>
            </w:r>
            <w:r>
              <w:rPr>
                <w:rFonts w:hint="eastAsia" w:cs="宋体"/>
                <w:sz w:val="24"/>
                <w:szCs w:val="24"/>
                <w:vertAlign w:val="subscript"/>
              </w:rPr>
              <w:t xml:space="preserve">5 </w:t>
            </w:r>
            <w:r>
              <w:rPr>
                <w:rFonts w:hint="eastAsia" w:cs="宋体"/>
                <w:sz w:val="24"/>
                <w:szCs w:val="24"/>
              </w:rPr>
              <w:t>250mg/L，SS 200mg/L、氨氮30 mg/L、动植物油40mg/L。经收集后转运至岳阳县污水处理厂处理后外排。</w:t>
            </w:r>
          </w:p>
          <w:p>
            <w:pPr>
              <w:jc w:val="center"/>
              <w:rPr>
                <w:b/>
                <w:sz w:val="24"/>
              </w:rPr>
            </w:pPr>
            <w:r>
              <w:rPr>
                <w:rFonts w:hint="eastAsia" w:cs="宋体"/>
                <w:b/>
                <w:sz w:val="24"/>
              </w:rPr>
              <w:t>表</w:t>
            </w:r>
            <w:r>
              <w:rPr>
                <w:rFonts w:hint="eastAsia"/>
                <w:b/>
                <w:sz w:val="24"/>
              </w:rPr>
              <w:t>4-3生活废水的处理</w:t>
            </w:r>
            <w:r>
              <w:rPr>
                <w:rFonts w:hint="eastAsia" w:cs="宋体"/>
                <w:b/>
                <w:sz w:val="24"/>
              </w:rPr>
              <w:t>废水排放情况表</w:t>
            </w:r>
          </w:p>
          <w:tbl>
            <w:tblPr>
              <w:tblStyle w:val="24"/>
              <w:tblW w:w="789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88"/>
              <w:gridCol w:w="1238"/>
              <w:gridCol w:w="1280"/>
              <w:gridCol w:w="994"/>
              <w:gridCol w:w="1267"/>
              <w:gridCol w:w="1165"/>
              <w:gridCol w:w="96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39" w:hRule="atLeast"/>
                <w:jc w:val="center"/>
              </w:trPr>
              <w:tc>
                <w:tcPr>
                  <w:tcW w:w="988" w:type="dxa"/>
                  <w:vMerge w:val="restart"/>
                  <w:tcBorders>
                    <w:tl2br w:val="nil"/>
                    <w:tr2bl w:val="nil"/>
                  </w:tcBorders>
                  <w:noWrap/>
                  <w:vAlign w:val="center"/>
                </w:tcPr>
                <w:p>
                  <w:pPr>
                    <w:jc w:val="center"/>
                    <w:rPr>
                      <w:szCs w:val="21"/>
                    </w:rPr>
                  </w:pPr>
                  <w:r>
                    <w:rPr>
                      <w:szCs w:val="21"/>
                    </w:rPr>
                    <w:t>来源</w:t>
                  </w:r>
                </w:p>
              </w:tc>
              <w:tc>
                <w:tcPr>
                  <w:tcW w:w="1238" w:type="dxa"/>
                  <w:vMerge w:val="restart"/>
                  <w:tcBorders>
                    <w:tl2br w:val="nil"/>
                    <w:tr2bl w:val="nil"/>
                  </w:tcBorders>
                  <w:noWrap/>
                  <w:vAlign w:val="center"/>
                </w:tcPr>
                <w:p>
                  <w:pPr>
                    <w:jc w:val="center"/>
                    <w:rPr>
                      <w:szCs w:val="21"/>
                    </w:rPr>
                  </w:pPr>
                  <w:r>
                    <w:rPr>
                      <w:szCs w:val="21"/>
                    </w:rPr>
                    <w:t>废水量</w:t>
                  </w:r>
                </w:p>
                <w:p>
                  <w:pPr>
                    <w:jc w:val="center"/>
                    <w:rPr>
                      <w:szCs w:val="21"/>
                    </w:rPr>
                  </w:pPr>
                  <w:r>
                    <w:rPr>
                      <w:szCs w:val="21"/>
                    </w:rPr>
                    <w:t>t/a</w:t>
                  </w:r>
                </w:p>
              </w:tc>
              <w:tc>
                <w:tcPr>
                  <w:tcW w:w="1280" w:type="dxa"/>
                  <w:vMerge w:val="restart"/>
                  <w:tcBorders>
                    <w:tl2br w:val="nil"/>
                    <w:tr2bl w:val="nil"/>
                  </w:tcBorders>
                  <w:noWrap/>
                  <w:vAlign w:val="center"/>
                </w:tcPr>
                <w:p>
                  <w:pPr>
                    <w:jc w:val="center"/>
                    <w:rPr>
                      <w:szCs w:val="21"/>
                    </w:rPr>
                  </w:pPr>
                  <w:r>
                    <w:rPr>
                      <w:szCs w:val="21"/>
                    </w:rPr>
                    <w:t>污染物</w:t>
                  </w:r>
                </w:p>
                <w:p>
                  <w:pPr>
                    <w:jc w:val="center"/>
                    <w:rPr>
                      <w:szCs w:val="21"/>
                    </w:rPr>
                  </w:pPr>
                  <w:r>
                    <w:rPr>
                      <w:szCs w:val="21"/>
                    </w:rPr>
                    <w:t>名称</w:t>
                  </w:r>
                </w:p>
              </w:tc>
              <w:tc>
                <w:tcPr>
                  <w:tcW w:w="2261" w:type="dxa"/>
                  <w:gridSpan w:val="2"/>
                  <w:tcBorders>
                    <w:tl2br w:val="nil"/>
                    <w:tr2bl w:val="nil"/>
                  </w:tcBorders>
                  <w:noWrap/>
                  <w:vAlign w:val="center"/>
                </w:tcPr>
                <w:p>
                  <w:pPr>
                    <w:jc w:val="center"/>
                    <w:rPr>
                      <w:szCs w:val="21"/>
                    </w:rPr>
                  </w:pPr>
                  <w:r>
                    <w:rPr>
                      <w:szCs w:val="21"/>
                    </w:rPr>
                    <w:t>污染物产生量</w:t>
                  </w:r>
                </w:p>
              </w:tc>
              <w:tc>
                <w:tcPr>
                  <w:tcW w:w="2129" w:type="dxa"/>
                  <w:gridSpan w:val="2"/>
                  <w:tcBorders>
                    <w:tl2br w:val="nil"/>
                    <w:tr2bl w:val="nil"/>
                  </w:tcBorders>
                  <w:noWrap/>
                  <w:vAlign w:val="center"/>
                </w:tcPr>
                <w:p>
                  <w:pPr>
                    <w:jc w:val="center"/>
                    <w:rPr>
                      <w:szCs w:val="21"/>
                    </w:rPr>
                  </w:pPr>
                  <w:r>
                    <w:rPr>
                      <w:szCs w:val="21"/>
                    </w:rPr>
                    <w:t>污水处理厂处理后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18" w:hRule="atLeast"/>
                <w:jc w:val="center"/>
              </w:trPr>
              <w:tc>
                <w:tcPr>
                  <w:tcW w:w="988" w:type="dxa"/>
                  <w:vMerge w:val="continue"/>
                  <w:tcBorders>
                    <w:tl2br w:val="nil"/>
                    <w:tr2bl w:val="nil"/>
                  </w:tcBorders>
                  <w:noWrap/>
                  <w:vAlign w:val="center"/>
                </w:tcPr>
                <w:p>
                  <w:pPr>
                    <w:jc w:val="center"/>
                    <w:rPr>
                      <w:szCs w:val="21"/>
                    </w:rPr>
                  </w:pPr>
                </w:p>
              </w:tc>
              <w:tc>
                <w:tcPr>
                  <w:tcW w:w="1238" w:type="dxa"/>
                  <w:vMerge w:val="continue"/>
                  <w:tcBorders>
                    <w:tl2br w:val="nil"/>
                    <w:tr2bl w:val="nil"/>
                  </w:tcBorders>
                  <w:noWrap/>
                  <w:vAlign w:val="center"/>
                </w:tcPr>
                <w:p>
                  <w:pPr>
                    <w:jc w:val="center"/>
                    <w:rPr>
                      <w:szCs w:val="21"/>
                    </w:rPr>
                  </w:pPr>
                </w:p>
              </w:tc>
              <w:tc>
                <w:tcPr>
                  <w:tcW w:w="1280" w:type="dxa"/>
                  <w:vMerge w:val="continue"/>
                  <w:tcBorders>
                    <w:tl2br w:val="nil"/>
                    <w:tr2bl w:val="nil"/>
                  </w:tcBorders>
                  <w:noWrap/>
                  <w:vAlign w:val="center"/>
                </w:tcPr>
                <w:p>
                  <w:pPr>
                    <w:jc w:val="center"/>
                    <w:rPr>
                      <w:szCs w:val="21"/>
                    </w:rPr>
                  </w:pPr>
                </w:p>
              </w:tc>
              <w:tc>
                <w:tcPr>
                  <w:tcW w:w="994" w:type="dxa"/>
                  <w:tcBorders>
                    <w:tl2br w:val="nil"/>
                    <w:tr2bl w:val="nil"/>
                  </w:tcBorders>
                  <w:noWrap/>
                  <w:vAlign w:val="center"/>
                </w:tcPr>
                <w:p>
                  <w:pPr>
                    <w:jc w:val="center"/>
                    <w:rPr>
                      <w:szCs w:val="21"/>
                    </w:rPr>
                  </w:pPr>
                  <w:r>
                    <w:rPr>
                      <w:szCs w:val="21"/>
                    </w:rPr>
                    <w:t>浓度mg/l</w:t>
                  </w:r>
                </w:p>
              </w:tc>
              <w:tc>
                <w:tcPr>
                  <w:tcW w:w="1267" w:type="dxa"/>
                  <w:tcBorders>
                    <w:tl2br w:val="nil"/>
                    <w:tr2bl w:val="nil"/>
                  </w:tcBorders>
                  <w:noWrap/>
                  <w:vAlign w:val="center"/>
                </w:tcPr>
                <w:p>
                  <w:pPr>
                    <w:jc w:val="center"/>
                    <w:rPr>
                      <w:szCs w:val="21"/>
                    </w:rPr>
                  </w:pPr>
                  <w:r>
                    <w:rPr>
                      <w:szCs w:val="21"/>
                    </w:rPr>
                    <w:t>产生量t/a</w:t>
                  </w:r>
                </w:p>
              </w:tc>
              <w:tc>
                <w:tcPr>
                  <w:tcW w:w="1165" w:type="dxa"/>
                  <w:tcBorders>
                    <w:tl2br w:val="nil"/>
                    <w:tr2bl w:val="nil"/>
                  </w:tcBorders>
                  <w:noWrap/>
                  <w:vAlign w:val="center"/>
                </w:tcPr>
                <w:p>
                  <w:pPr>
                    <w:jc w:val="center"/>
                    <w:rPr>
                      <w:szCs w:val="21"/>
                    </w:rPr>
                  </w:pPr>
                  <w:r>
                    <w:rPr>
                      <w:szCs w:val="21"/>
                    </w:rPr>
                    <w:t>浓度mg/l</w:t>
                  </w:r>
                </w:p>
              </w:tc>
              <w:tc>
                <w:tcPr>
                  <w:tcW w:w="964" w:type="dxa"/>
                  <w:tcBorders>
                    <w:tl2br w:val="nil"/>
                    <w:tr2bl w:val="nil"/>
                  </w:tcBorders>
                  <w:noWrap/>
                  <w:vAlign w:val="center"/>
                </w:tcPr>
                <w:p>
                  <w:pPr>
                    <w:jc w:val="center"/>
                    <w:rPr>
                      <w:szCs w:val="21"/>
                    </w:rPr>
                  </w:pPr>
                  <w:r>
                    <w:rPr>
                      <w:szCs w:val="21"/>
                    </w:rPr>
                    <w:t>排放量t/a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45" w:hRule="atLeast"/>
                <w:jc w:val="center"/>
              </w:trPr>
              <w:tc>
                <w:tcPr>
                  <w:tcW w:w="988" w:type="dxa"/>
                  <w:vMerge w:val="restart"/>
                  <w:tcBorders>
                    <w:tl2br w:val="nil"/>
                    <w:tr2bl w:val="nil"/>
                  </w:tcBorders>
                  <w:noWrap/>
                  <w:vAlign w:val="center"/>
                </w:tcPr>
                <w:p>
                  <w:pPr>
                    <w:jc w:val="center"/>
                    <w:rPr>
                      <w:szCs w:val="21"/>
                    </w:rPr>
                  </w:pPr>
                  <w:r>
                    <w:rPr>
                      <w:szCs w:val="21"/>
                    </w:rPr>
                    <w:t>各类船只生活污水</w:t>
                  </w:r>
                </w:p>
              </w:tc>
              <w:tc>
                <w:tcPr>
                  <w:tcW w:w="1238" w:type="dxa"/>
                  <w:vMerge w:val="restart"/>
                  <w:tcBorders>
                    <w:tl2br w:val="nil"/>
                    <w:tr2bl w:val="nil"/>
                  </w:tcBorders>
                  <w:noWrap/>
                  <w:vAlign w:val="center"/>
                </w:tcPr>
                <w:p>
                  <w:pPr>
                    <w:jc w:val="center"/>
                    <w:rPr>
                      <w:szCs w:val="21"/>
                    </w:rPr>
                  </w:pPr>
                  <w:r>
                    <w:rPr>
                      <w:rFonts w:hint="eastAsia"/>
                      <w:szCs w:val="21"/>
                    </w:rPr>
                    <w:t>10000</w:t>
                  </w:r>
                </w:p>
              </w:tc>
              <w:tc>
                <w:tcPr>
                  <w:tcW w:w="1280" w:type="dxa"/>
                  <w:tcBorders>
                    <w:tl2br w:val="nil"/>
                    <w:tr2bl w:val="nil"/>
                  </w:tcBorders>
                  <w:noWrap/>
                  <w:vAlign w:val="center"/>
                </w:tcPr>
                <w:p>
                  <w:pPr>
                    <w:jc w:val="center"/>
                    <w:rPr>
                      <w:szCs w:val="21"/>
                    </w:rPr>
                  </w:pPr>
                  <w:r>
                    <w:rPr>
                      <w:szCs w:val="21"/>
                    </w:rPr>
                    <w:t>COD</w:t>
                  </w:r>
                </w:p>
              </w:tc>
              <w:tc>
                <w:tcPr>
                  <w:tcW w:w="994" w:type="dxa"/>
                  <w:tcBorders>
                    <w:tl2br w:val="nil"/>
                    <w:tr2bl w:val="nil"/>
                  </w:tcBorders>
                  <w:noWrap/>
                  <w:vAlign w:val="center"/>
                </w:tcPr>
                <w:p>
                  <w:pPr>
                    <w:jc w:val="center"/>
                    <w:rPr>
                      <w:szCs w:val="21"/>
                    </w:rPr>
                  </w:pPr>
                  <w:r>
                    <w:rPr>
                      <w:szCs w:val="21"/>
                    </w:rPr>
                    <w:t>400</w:t>
                  </w:r>
                </w:p>
              </w:tc>
              <w:tc>
                <w:tcPr>
                  <w:tcW w:w="1267" w:type="dxa"/>
                  <w:tcBorders>
                    <w:tl2br w:val="nil"/>
                    <w:tr2bl w:val="nil"/>
                  </w:tcBorders>
                  <w:noWrap/>
                  <w:vAlign w:val="center"/>
                </w:tcPr>
                <w:p>
                  <w:pPr>
                    <w:widowControl/>
                    <w:jc w:val="center"/>
                    <w:textAlignment w:val="center"/>
                    <w:rPr>
                      <w:szCs w:val="21"/>
                    </w:rPr>
                  </w:pPr>
                  <w:r>
                    <w:rPr>
                      <w:color w:val="000000"/>
                      <w:kern w:val="0"/>
                      <w:szCs w:val="21"/>
                      <w:lang w:bidi="ar"/>
                    </w:rPr>
                    <w:t>4</w:t>
                  </w:r>
                </w:p>
              </w:tc>
              <w:tc>
                <w:tcPr>
                  <w:tcW w:w="1165" w:type="dxa"/>
                  <w:tcBorders>
                    <w:tl2br w:val="nil"/>
                    <w:tr2bl w:val="nil"/>
                  </w:tcBorders>
                  <w:noWrap/>
                  <w:vAlign w:val="center"/>
                </w:tcPr>
                <w:p>
                  <w:pPr>
                    <w:jc w:val="center"/>
                    <w:rPr>
                      <w:szCs w:val="21"/>
                    </w:rPr>
                  </w:pPr>
                  <w:r>
                    <w:rPr>
                      <w:szCs w:val="21"/>
                    </w:rPr>
                    <w:t>50</w:t>
                  </w:r>
                </w:p>
              </w:tc>
              <w:tc>
                <w:tcPr>
                  <w:tcW w:w="964" w:type="dxa"/>
                  <w:tcBorders>
                    <w:tl2br w:val="nil"/>
                    <w:tr2bl w:val="nil"/>
                  </w:tcBorders>
                  <w:noWrap/>
                  <w:vAlign w:val="center"/>
                </w:tcPr>
                <w:p>
                  <w:pPr>
                    <w:widowControl/>
                    <w:jc w:val="center"/>
                    <w:textAlignment w:val="center"/>
                    <w:rPr>
                      <w:szCs w:val="21"/>
                    </w:rPr>
                  </w:pPr>
                  <w:r>
                    <w:rPr>
                      <w:color w:val="000000"/>
                      <w:kern w:val="0"/>
                      <w:szCs w:val="21"/>
                      <w:lang w:bidi="ar"/>
                    </w:rPr>
                    <w:t>0.5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53" w:hRule="atLeast"/>
                <w:jc w:val="center"/>
              </w:trPr>
              <w:tc>
                <w:tcPr>
                  <w:tcW w:w="988" w:type="dxa"/>
                  <w:vMerge w:val="continue"/>
                  <w:tcBorders>
                    <w:tl2br w:val="nil"/>
                    <w:tr2bl w:val="nil"/>
                  </w:tcBorders>
                  <w:noWrap/>
                  <w:vAlign w:val="center"/>
                </w:tcPr>
                <w:p>
                  <w:pPr>
                    <w:jc w:val="center"/>
                    <w:rPr>
                      <w:szCs w:val="21"/>
                    </w:rPr>
                  </w:pPr>
                </w:p>
              </w:tc>
              <w:tc>
                <w:tcPr>
                  <w:tcW w:w="1238" w:type="dxa"/>
                  <w:vMerge w:val="continue"/>
                  <w:tcBorders>
                    <w:tl2br w:val="nil"/>
                    <w:tr2bl w:val="nil"/>
                  </w:tcBorders>
                  <w:noWrap/>
                  <w:vAlign w:val="center"/>
                </w:tcPr>
                <w:p>
                  <w:pPr>
                    <w:jc w:val="center"/>
                    <w:rPr>
                      <w:szCs w:val="21"/>
                    </w:rPr>
                  </w:pPr>
                </w:p>
              </w:tc>
              <w:tc>
                <w:tcPr>
                  <w:tcW w:w="1280" w:type="dxa"/>
                  <w:tcBorders>
                    <w:tl2br w:val="nil"/>
                    <w:tr2bl w:val="nil"/>
                  </w:tcBorders>
                  <w:noWrap/>
                  <w:vAlign w:val="center"/>
                </w:tcPr>
                <w:p>
                  <w:pPr>
                    <w:jc w:val="center"/>
                    <w:rPr>
                      <w:szCs w:val="21"/>
                    </w:rPr>
                  </w:pPr>
                  <w:r>
                    <w:rPr>
                      <w:szCs w:val="21"/>
                    </w:rPr>
                    <w:t>BOD</w:t>
                  </w:r>
                </w:p>
              </w:tc>
              <w:tc>
                <w:tcPr>
                  <w:tcW w:w="994" w:type="dxa"/>
                  <w:tcBorders>
                    <w:tl2br w:val="nil"/>
                    <w:tr2bl w:val="nil"/>
                  </w:tcBorders>
                  <w:noWrap/>
                  <w:vAlign w:val="center"/>
                </w:tcPr>
                <w:p>
                  <w:pPr>
                    <w:jc w:val="center"/>
                    <w:rPr>
                      <w:szCs w:val="21"/>
                    </w:rPr>
                  </w:pPr>
                  <w:r>
                    <w:rPr>
                      <w:szCs w:val="21"/>
                    </w:rPr>
                    <w:t>250</w:t>
                  </w:r>
                </w:p>
              </w:tc>
              <w:tc>
                <w:tcPr>
                  <w:tcW w:w="1267" w:type="dxa"/>
                  <w:tcBorders>
                    <w:tl2br w:val="nil"/>
                    <w:tr2bl w:val="nil"/>
                  </w:tcBorders>
                  <w:noWrap/>
                  <w:vAlign w:val="center"/>
                </w:tcPr>
                <w:p>
                  <w:pPr>
                    <w:widowControl/>
                    <w:jc w:val="center"/>
                    <w:textAlignment w:val="center"/>
                    <w:rPr>
                      <w:szCs w:val="21"/>
                    </w:rPr>
                  </w:pPr>
                  <w:r>
                    <w:rPr>
                      <w:color w:val="000000"/>
                      <w:kern w:val="0"/>
                      <w:szCs w:val="21"/>
                      <w:lang w:bidi="ar"/>
                    </w:rPr>
                    <w:t>2.5</w:t>
                  </w:r>
                </w:p>
              </w:tc>
              <w:tc>
                <w:tcPr>
                  <w:tcW w:w="1165" w:type="dxa"/>
                  <w:tcBorders>
                    <w:tl2br w:val="nil"/>
                    <w:tr2bl w:val="nil"/>
                  </w:tcBorders>
                  <w:noWrap/>
                  <w:vAlign w:val="center"/>
                </w:tcPr>
                <w:p>
                  <w:pPr>
                    <w:jc w:val="center"/>
                    <w:rPr>
                      <w:szCs w:val="21"/>
                    </w:rPr>
                  </w:pPr>
                  <w:r>
                    <w:rPr>
                      <w:szCs w:val="21"/>
                    </w:rPr>
                    <w:t>10</w:t>
                  </w:r>
                </w:p>
              </w:tc>
              <w:tc>
                <w:tcPr>
                  <w:tcW w:w="964" w:type="dxa"/>
                  <w:tcBorders>
                    <w:tl2br w:val="nil"/>
                    <w:tr2bl w:val="nil"/>
                  </w:tcBorders>
                  <w:noWrap/>
                  <w:vAlign w:val="center"/>
                </w:tcPr>
                <w:p>
                  <w:pPr>
                    <w:widowControl/>
                    <w:jc w:val="center"/>
                    <w:textAlignment w:val="center"/>
                    <w:rPr>
                      <w:szCs w:val="21"/>
                    </w:rPr>
                  </w:pPr>
                  <w:r>
                    <w:rPr>
                      <w:color w:val="000000"/>
                      <w:kern w:val="0"/>
                      <w:szCs w:val="21"/>
                      <w:lang w:bidi="ar"/>
                    </w:rPr>
                    <w:t>0.1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88" w:type="dxa"/>
                  <w:vMerge w:val="continue"/>
                  <w:tcBorders>
                    <w:tl2br w:val="nil"/>
                    <w:tr2bl w:val="nil"/>
                  </w:tcBorders>
                  <w:noWrap/>
                  <w:vAlign w:val="center"/>
                </w:tcPr>
                <w:p>
                  <w:pPr>
                    <w:jc w:val="center"/>
                    <w:rPr>
                      <w:szCs w:val="21"/>
                    </w:rPr>
                  </w:pPr>
                </w:p>
              </w:tc>
              <w:tc>
                <w:tcPr>
                  <w:tcW w:w="1238" w:type="dxa"/>
                  <w:vMerge w:val="continue"/>
                  <w:tcBorders>
                    <w:tl2br w:val="nil"/>
                    <w:tr2bl w:val="nil"/>
                  </w:tcBorders>
                  <w:noWrap/>
                  <w:vAlign w:val="center"/>
                </w:tcPr>
                <w:p>
                  <w:pPr>
                    <w:jc w:val="center"/>
                    <w:rPr>
                      <w:szCs w:val="21"/>
                    </w:rPr>
                  </w:pPr>
                </w:p>
              </w:tc>
              <w:tc>
                <w:tcPr>
                  <w:tcW w:w="1280" w:type="dxa"/>
                  <w:tcBorders>
                    <w:tl2br w:val="nil"/>
                    <w:tr2bl w:val="nil"/>
                  </w:tcBorders>
                  <w:noWrap/>
                  <w:vAlign w:val="center"/>
                </w:tcPr>
                <w:p>
                  <w:pPr>
                    <w:jc w:val="center"/>
                    <w:rPr>
                      <w:szCs w:val="21"/>
                    </w:rPr>
                  </w:pPr>
                  <w:r>
                    <w:rPr>
                      <w:szCs w:val="21"/>
                    </w:rPr>
                    <w:t>SS</w:t>
                  </w:r>
                </w:p>
              </w:tc>
              <w:tc>
                <w:tcPr>
                  <w:tcW w:w="994" w:type="dxa"/>
                  <w:tcBorders>
                    <w:tl2br w:val="nil"/>
                    <w:tr2bl w:val="nil"/>
                  </w:tcBorders>
                  <w:noWrap/>
                  <w:vAlign w:val="center"/>
                </w:tcPr>
                <w:p>
                  <w:pPr>
                    <w:jc w:val="center"/>
                    <w:rPr>
                      <w:szCs w:val="21"/>
                    </w:rPr>
                  </w:pPr>
                  <w:r>
                    <w:rPr>
                      <w:szCs w:val="21"/>
                    </w:rPr>
                    <w:t>200</w:t>
                  </w:r>
                </w:p>
              </w:tc>
              <w:tc>
                <w:tcPr>
                  <w:tcW w:w="1267" w:type="dxa"/>
                  <w:tcBorders>
                    <w:tl2br w:val="nil"/>
                    <w:tr2bl w:val="nil"/>
                  </w:tcBorders>
                  <w:noWrap/>
                  <w:vAlign w:val="center"/>
                </w:tcPr>
                <w:p>
                  <w:pPr>
                    <w:widowControl/>
                    <w:jc w:val="center"/>
                    <w:textAlignment w:val="center"/>
                    <w:rPr>
                      <w:szCs w:val="21"/>
                    </w:rPr>
                  </w:pPr>
                  <w:r>
                    <w:rPr>
                      <w:color w:val="000000"/>
                      <w:kern w:val="0"/>
                      <w:szCs w:val="21"/>
                      <w:lang w:bidi="ar"/>
                    </w:rPr>
                    <w:t>2</w:t>
                  </w:r>
                </w:p>
              </w:tc>
              <w:tc>
                <w:tcPr>
                  <w:tcW w:w="1165" w:type="dxa"/>
                  <w:tcBorders>
                    <w:tl2br w:val="nil"/>
                    <w:tr2bl w:val="nil"/>
                  </w:tcBorders>
                  <w:noWrap/>
                  <w:vAlign w:val="center"/>
                </w:tcPr>
                <w:p>
                  <w:pPr>
                    <w:jc w:val="center"/>
                    <w:rPr>
                      <w:szCs w:val="21"/>
                    </w:rPr>
                  </w:pPr>
                  <w:r>
                    <w:rPr>
                      <w:szCs w:val="21"/>
                    </w:rPr>
                    <w:t>10</w:t>
                  </w:r>
                </w:p>
              </w:tc>
              <w:tc>
                <w:tcPr>
                  <w:tcW w:w="964" w:type="dxa"/>
                  <w:tcBorders>
                    <w:tl2br w:val="nil"/>
                    <w:tr2bl w:val="nil"/>
                  </w:tcBorders>
                  <w:noWrap/>
                  <w:vAlign w:val="center"/>
                </w:tcPr>
                <w:p>
                  <w:pPr>
                    <w:widowControl/>
                    <w:jc w:val="center"/>
                    <w:textAlignment w:val="center"/>
                    <w:rPr>
                      <w:szCs w:val="21"/>
                    </w:rPr>
                  </w:pPr>
                  <w:r>
                    <w:rPr>
                      <w:color w:val="000000"/>
                      <w:kern w:val="0"/>
                      <w:szCs w:val="21"/>
                      <w:lang w:bidi="ar"/>
                    </w:rPr>
                    <w:t>0.1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09" w:hRule="atLeast"/>
                <w:jc w:val="center"/>
              </w:trPr>
              <w:tc>
                <w:tcPr>
                  <w:tcW w:w="988" w:type="dxa"/>
                  <w:vMerge w:val="continue"/>
                  <w:tcBorders>
                    <w:tl2br w:val="nil"/>
                    <w:tr2bl w:val="nil"/>
                  </w:tcBorders>
                  <w:noWrap/>
                  <w:vAlign w:val="center"/>
                </w:tcPr>
                <w:p>
                  <w:pPr>
                    <w:jc w:val="center"/>
                    <w:rPr>
                      <w:szCs w:val="21"/>
                    </w:rPr>
                  </w:pPr>
                </w:p>
              </w:tc>
              <w:tc>
                <w:tcPr>
                  <w:tcW w:w="1238" w:type="dxa"/>
                  <w:vMerge w:val="continue"/>
                  <w:tcBorders>
                    <w:tl2br w:val="nil"/>
                    <w:tr2bl w:val="nil"/>
                  </w:tcBorders>
                  <w:noWrap/>
                  <w:vAlign w:val="center"/>
                </w:tcPr>
                <w:p>
                  <w:pPr>
                    <w:jc w:val="center"/>
                    <w:rPr>
                      <w:szCs w:val="21"/>
                    </w:rPr>
                  </w:pPr>
                </w:p>
              </w:tc>
              <w:tc>
                <w:tcPr>
                  <w:tcW w:w="1280" w:type="dxa"/>
                  <w:tcBorders>
                    <w:tl2br w:val="nil"/>
                    <w:tr2bl w:val="nil"/>
                  </w:tcBorders>
                  <w:noWrap/>
                  <w:vAlign w:val="center"/>
                </w:tcPr>
                <w:p>
                  <w:pPr>
                    <w:jc w:val="center"/>
                    <w:rPr>
                      <w:szCs w:val="21"/>
                    </w:rPr>
                  </w:pPr>
                  <w:r>
                    <w:rPr>
                      <w:szCs w:val="21"/>
                    </w:rPr>
                    <w:t>氨氮</w:t>
                  </w:r>
                </w:p>
              </w:tc>
              <w:tc>
                <w:tcPr>
                  <w:tcW w:w="994" w:type="dxa"/>
                  <w:tcBorders>
                    <w:tl2br w:val="nil"/>
                    <w:tr2bl w:val="nil"/>
                  </w:tcBorders>
                  <w:noWrap/>
                  <w:vAlign w:val="center"/>
                </w:tcPr>
                <w:p>
                  <w:pPr>
                    <w:jc w:val="center"/>
                    <w:rPr>
                      <w:szCs w:val="21"/>
                    </w:rPr>
                  </w:pPr>
                  <w:r>
                    <w:rPr>
                      <w:szCs w:val="21"/>
                    </w:rPr>
                    <w:t>30</w:t>
                  </w:r>
                </w:p>
              </w:tc>
              <w:tc>
                <w:tcPr>
                  <w:tcW w:w="1267" w:type="dxa"/>
                  <w:tcBorders>
                    <w:tl2br w:val="nil"/>
                    <w:tr2bl w:val="nil"/>
                  </w:tcBorders>
                  <w:noWrap/>
                  <w:vAlign w:val="center"/>
                </w:tcPr>
                <w:p>
                  <w:pPr>
                    <w:widowControl/>
                    <w:jc w:val="center"/>
                    <w:textAlignment w:val="center"/>
                    <w:rPr>
                      <w:szCs w:val="21"/>
                    </w:rPr>
                  </w:pPr>
                  <w:r>
                    <w:rPr>
                      <w:color w:val="000000"/>
                      <w:kern w:val="0"/>
                      <w:szCs w:val="21"/>
                      <w:lang w:bidi="ar"/>
                    </w:rPr>
                    <w:t>0.3</w:t>
                  </w:r>
                </w:p>
              </w:tc>
              <w:tc>
                <w:tcPr>
                  <w:tcW w:w="1165" w:type="dxa"/>
                  <w:tcBorders>
                    <w:tl2br w:val="nil"/>
                    <w:tr2bl w:val="nil"/>
                  </w:tcBorders>
                  <w:noWrap/>
                  <w:vAlign w:val="center"/>
                </w:tcPr>
                <w:p>
                  <w:pPr>
                    <w:jc w:val="center"/>
                    <w:rPr>
                      <w:szCs w:val="21"/>
                    </w:rPr>
                  </w:pPr>
                  <w:r>
                    <w:rPr>
                      <w:szCs w:val="21"/>
                    </w:rPr>
                    <w:t>5</w:t>
                  </w:r>
                </w:p>
              </w:tc>
              <w:tc>
                <w:tcPr>
                  <w:tcW w:w="964" w:type="dxa"/>
                  <w:tcBorders>
                    <w:tl2br w:val="nil"/>
                    <w:tr2bl w:val="nil"/>
                  </w:tcBorders>
                  <w:noWrap/>
                  <w:vAlign w:val="center"/>
                </w:tcPr>
                <w:p>
                  <w:pPr>
                    <w:widowControl/>
                    <w:jc w:val="center"/>
                    <w:textAlignment w:val="center"/>
                    <w:rPr>
                      <w:szCs w:val="21"/>
                    </w:rPr>
                  </w:pPr>
                  <w:r>
                    <w:rPr>
                      <w:color w:val="000000"/>
                      <w:kern w:val="0"/>
                      <w:szCs w:val="21"/>
                      <w:lang w:bidi="ar"/>
                    </w:rPr>
                    <w:t>0.05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88" w:type="dxa"/>
                  <w:vMerge w:val="continue"/>
                  <w:tcBorders>
                    <w:tl2br w:val="nil"/>
                    <w:tr2bl w:val="nil"/>
                  </w:tcBorders>
                  <w:noWrap/>
                  <w:vAlign w:val="center"/>
                </w:tcPr>
                <w:p>
                  <w:pPr>
                    <w:jc w:val="center"/>
                    <w:rPr>
                      <w:szCs w:val="21"/>
                    </w:rPr>
                  </w:pPr>
                </w:p>
              </w:tc>
              <w:tc>
                <w:tcPr>
                  <w:tcW w:w="1238" w:type="dxa"/>
                  <w:vMerge w:val="continue"/>
                  <w:tcBorders>
                    <w:tl2br w:val="nil"/>
                    <w:tr2bl w:val="nil"/>
                  </w:tcBorders>
                  <w:noWrap/>
                  <w:vAlign w:val="center"/>
                </w:tcPr>
                <w:p>
                  <w:pPr>
                    <w:jc w:val="center"/>
                    <w:rPr>
                      <w:szCs w:val="21"/>
                    </w:rPr>
                  </w:pPr>
                </w:p>
              </w:tc>
              <w:tc>
                <w:tcPr>
                  <w:tcW w:w="1280" w:type="dxa"/>
                  <w:tcBorders>
                    <w:tl2br w:val="nil"/>
                    <w:tr2bl w:val="nil"/>
                  </w:tcBorders>
                  <w:noWrap/>
                  <w:vAlign w:val="center"/>
                </w:tcPr>
                <w:p>
                  <w:pPr>
                    <w:jc w:val="center"/>
                    <w:rPr>
                      <w:szCs w:val="21"/>
                    </w:rPr>
                  </w:pPr>
                  <w:r>
                    <w:rPr>
                      <w:szCs w:val="21"/>
                    </w:rPr>
                    <w:t>动植物油</w:t>
                  </w:r>
                </w:p>
              </w:tc>
              <w:tc>
                <w:tcPr>
                  <w:tcW w:w="994" w:type="dxa"/>
                  <w:tcBorders>
                    <w:tl2br w:val="nil"/>
                    <w:tr2bl w:val="nil"/>
                  </w:tcBorders>
                  <w:noWrap/>
                  <w:vAlign w:val="center"/>
                </w:tcPr>
                <w:p>
                  <w:pPr>
                    <w:jc w:val="center"/>
                    <w:rPr>
                      <w:szCs w:val="21"/>
                    </w:rPr>
                  </w:pPr>
                  <w:r>
                    <w:rPr>
                      <w:szCs w:val="21"/>
                    </w:rPr>
                    <w:t>40</w:t>
                  </w:r>
                </w:p>
              </w:tc>
              <w:tc>
                <w:tcPr>
                  <w:tcW w:w="1267" w:type="dxa"/>
                  <w:tcBorders>
                    <w:tl2br w:val="nil"/>
                    <w:tr2bl w:val="nil"/>
                  </w:tcBorders>
                  <w:noWrap/>
                  <w:vAlign w:val="center"/>
                </w:tcPr>
                <w:p>
                  <w:pPr>
                    <w:widowControl/>
                    <w:jc w:val="center"/>
                    <w:textAlignment w:val="center"/>
                    <w:rPr>
                      <w:szCs w:val="21"/>
                    </w:rPr>
                  </w:pPr>
                  <w:r>
                    <w:rPr>
                      <w:color w:val="000000"/>
                      <w:kern w:val="0"/>
                      <w:szCs w:val="21"/>
                      <w:lang w:bidi="ar"/>
                    </w:rPr>
                    <w:t>0.4</w:t>
                  </w:r>
                </w:p>
              </w:tc>
              <w:tc>
                <w:tcPr>
                  <w:tcW w:w="1165" w:type="dxa"/>
                  <w:tcBorders>
                    <w:tl2br w:val="nil"/>
                    <w:tr2bl w:val="nil"/>
                  </w:tcBorders>
                  <w:noWrap/>
                  <w:vAlign w:val="center"/>
                </w:tcPr>
                <w:p>
                  <w:pPr>
                    <w:jc w:val="center"/>
                    <w:rPr>
                      <w:szCs w:val="21"/>
                    </w:rPr>
                  </w:pPr>
                  <w:r>
                    <w:rPr>
                      <w:szCs w:val="21"/>
                    </w:rPr>
                    <w:t>1</w:t>
                  </w:r>
                </w:p>
              </w:tc>
              <w:tc>
                <w:tcPr>
                  <w:tcW w:w="964" w:type="dxa"/>
                  <w:tcBorders>
                    <w:tl2br w:val="nil"/>
                    <w:tr2bl w:val="nil"/>
                  </w:tcBorders>
                  <w:noWrap/>
                  <w:vAlign w:val="center"/>
                </w:tcPr>
                <w:p>
                  <w:pPr>
                    <w:widowControl/>
                    <w:jc w:val="center"/>
                    <w:textAlignment w:val="center"/>
                    <w:rPr>
                      <w:szCs w:val="21"/>
                    </w:rPr>
                  </w:pPr>
                  <w:r>
                    <w:rPr>
                      <w:color w:val="000000"/>
                      <w:kern w:val="0"/>
                      <w:szCs w:val="21"/>
                      <w:lang w:bidi="ar"/>
                    </w:rPr>
                    <w:t>0.01</w:t>
                  </w:r>
                </w:p>
              </w:tc>
            </w:tr>
          </w:tbl>
          <w:p>
            <w:pPr>
              <w:spacing w:line="360" w:lineRule="auto"/>
              <w:ind w:firstLine="480" w:firstLineChars="200"/>
              <w:rPr>
                <w:sz w:val="24"/>
                <w:szCs w:val="24"/>
              </w:rPr>
            </w:pPr>
            <w:r>
              <w:rPr>
                <w:rFonts w:hint="eastAsia"/>
                <w:sz w:val="24"/>
                <w:szCs w:val="24"/>
              </w:rPr>
              <w:t>综上所述，本项目接收的生活污水通过转运车转运到岳阳县生活污水处理厂，经岳阳县污水处理厂处理达到《城镇污水处理厂污染物排放标准》（GB18918-2002）一级A标准后排入新墙河。</w:t>
            </w:r>
          </w:p>
          <w:p>
            <w:pPr>
              <w:spacing w:line="360" w:lineRule="auto"/>
              <w:ind w:left="479" w:leftChars="228"/>
              <w:rPr>
                <w:b/>
                <w:bCs/>
                <w:color w:val="000000"/>
                <w:sz w:val="24"/>
              </w:rPr>
            </w:pPr>
            <w:r>
              <w:rPr>
                <w:rFonts w:hint="eastAsia" w:ascii="Calibri" w:hAnsi="Calibri" w:cs="Calibri"/>
                <w:b/>
                <w:bCs/>
                <w:color w:val="000000"/>
                <w:sz w:val="24"/>
              </w:rPr>
              <w:t>1）</w:t>
            </w:r>
            <w:r>
              <w:rPr>
                <w:rFonts w:hint="eastAsia"/>
                <w:b/>
                <w:bCs/>
                <w:color w:val="000000"/>
                <w:sz w:val="24"/>
              </w:rPr>
              <w:t>油水分离器工艺可行性分析：</w:t>
            </w:r>
          </w:p>
          <w:p>
            <w:pPr>
              <w:spacing w:line="360" w:lineRule="auto"/>
              <w:ind w:firstLine="480" w:firstLineChars="200"/>
              <w:rPr>
                <w:rFonts w:cs="宋体"/>
                <w:sz w:val="24"/>
              </w:rPr>
            </w:pPr>
            <w:r>
              <w:rPr>
                <w:rFonts w:hint="eastAsia" w:cs="宋体"/>
                <w:sz w:val="24"/>
              </w:rPr>
              <w:t>15ppm舱底水分离器：又名15ppm船用油水分离器，是根据国际海事组织IMO MEEPC 107（49）准则的要求而开发设计的环保产品，出水含油量≤15ppm。</w:t>
            </w:r>
          </w:p>
          <w:p>
            <w:pPr>
              <w:spacing w:line="360" w:lineRule="auto"/>
              <w:ind w:firstLine="480" w:firstLineChars="200"/>
              <w:rPr>
                <w:rFonts w:cs="宋体"/>
                <w:sz w:val="24"/>
              </w:rPr>
            </w:pPr>
            <w:r>
              <w:rPr>
                <w:rFonts w:hint="eastAsia" w:cs="宋体"/>
                <w:sz w:val="24"/>
              </w:rPr>
              <w:t>本装置由预处理粗分离部分和细分离部分组成。粗分离部分主要采用机械重力分离法，主要部件为伞盘组；细分离部分主要采用过滤法和聚结法，主要部件为金属丝网和粗粒器。</w:t>
            </w:r>
          </w:p>
          <w:p>
            <w:pPr>
              <w:spacing w:line="360" w:lineRule="auto"/>
              <w:ind w:firstLine="480" w:firstLineChars="200"/>
              <w:rPr>
                <w:rFonts w:cs="宋体"/>
                <w:sz w:val="24"/>
              </w:rPr>
            </w:pPr>
            <w:r>
              <w:rPr>
                <w:rFonts w:hint="eastAsia" w:cs="宋体"/>
                <w:sz w:val="24"/>
              </w:rPr>
              <w:t>其工作原理是：来自手摇泵的舱底油污水，切向进入分离器中部后旋转上升。由于流速底，流程长，大油滴上浮。油污水再由上部转向向下，流经伞盘组。因为伞盘组能够增大接触面积，缩短油滴上浮距离，增加油滴碰撞几率，使之形成大油滴，因而提高了分离效果。</w:t>
            </w:r>
          </w:p>
          <w:p>
            <w:pPr>
              <w:pStyle w:val="69"/>
              <w:ind w:firstLine="480"/>
            </w:pPr>
            <w:r>
              <w:rPr>
                <w:rFonts w:hint="eastAsia" w:cs="宋体"/>
              </w:rPr>
              <w:t>聚合形成的较大油滴，上浮至粗分离器顶。然后，含有微细分散油滴和浮化油滴的油污水经滤网和聚丙烯吸油材料组合的过滤、聚结元件，进一步聚合分离，再进入粗粒器。粗粒器使用亲油性高分子材料制作，用以截留吸附微小油滴。从其表面分离出来的新油滴直接比入口的油滴直接有显著增大，产生粗黎话效果。大油滴上浮至粗粒器上部，符合排放标准的水则经分离器底部排出。</w:t>
            </w:r>
            <w:r>
              <w:rPr>
                <w:rFonts w:hint="eastAsia" w:eastAsiaTheme="minorEastAsia"/>
                <w:color w:val="000000"/>
                <w:szCs w:val="24"/>
              </w:rPr>
              <w:t>经油水分离器处理后若废水不达标，会通过回流装置回流至船舱。</w:t>
            </w:r>
            <w:r>
              <w:rPr>
                <w:rFonts w:hint="eastAsia" w:eastAsiaTheme="minorEastAsia"/>
                <w:color w:val="000000"/>
                <w:szCs w:val="24"/>
              </w:rPr>
              <w:br w:type="textWrapping"/>
            </w:r>
            <w:r>
              <w:rPr>
                <w:rFonts w:hint="eastAsia" w:eastAsiaTheme="minorEastAsia"/>
                <w:color w:val="000000"/>
                <w:szCs w:val="24"/>
              </w:rPr>
              <w:t xml:space="preserve">    因此，本项目含油废水、生活污水经收集后</w:t>
            </w:r>
            <w:r>
              <w:rPr>
                <w:rFonts w:hint="eastAsia" w:cs="宋体"/>
                <w:szCs w:val="24"/>
              </w:rPr>
              <w:t>转运至岳阳县污水处理厂处理后外排，符合海事部门规定，减少了对周边环境的影响。</w:t>
            </w:r>
            <w:r>
              <w:rPr>
                <w:rFonts w:hint="eastAsia" w:cs="宋体"/>
                <w:szCs w:val="24"/>
              </w:rPr>
              <w:br w:type="textWrapping"/>
            </w:r>
            <w:r>
              <w:rPr>
                <w:rFonts w:hint="eastAsia" w:cs="宋体"/>
                <w:b/>
                <w:bCs/>
                <w:szCs w:val="24"/>
              </w:rPr>
              <w:t xml:space="preserve"> 2）</w:t>
            </w:r>
            <w:r>
              <w:rPr>
                <w:b/>
                <w:bCs/>
              </w:rPr>
              <w:t xml:space="preserve">污水处理厂受纳可行性分析 </w:t>
            </w:r>
          </w:p>
          <w:p>
            <w:pPr>
              <w:spacing w:line="360" w:lineRule="auto"/>
              <w:ind w:firstLine="480" w:firstLineChars="200"/>
              <w:rPr>
                <w:kern w:val="0"/>
                <w:sz w:val="24"/>
                <w:u w:val="single"/>
              </w:rPr>
            </w:pPr>
            <w:r>
              <w:rPr>
                <w:rFonts w:hint="eastAsia" w:ascii="宋体" w:hAnsi="宋体"/>
                <w:kern w:val="0"/>
                <w:sz w:val="24"/>
                <w:u w:val="single"/>
              </w:rPr>
              <w:t>①岳阳县</w:t>
            </w:r>
            <w:r>
              <w:rPr>
                <w:rFonts w:hint="eastAsia"/>
                <w:kern w:val="0"/>
                <w:sz w:val="24"/>
                <w:u w:val="single"/>
              </w:rPr>
              <w:t>污水处理厂简况</w:t>
            </w:r>
          </w:p>
          <w:p>
            <w:pPr>
              <w:spacing w:line="360" w:lineRule="auto"/>
              <w:ind w:firstLine="482"/>
              <w:rPr>
                <w:bCs/>
                <w:sz w:val="24"/>
                <w:u w:val="single"/>
                <w:lang w:val="zh-CN"/>
              </w:rPr>
            </w:pPr>
            <w:r>
              <w:rPr>
                <w:bCs/>
                <w:sz w:val="24"/>
                <w:u w:val="single"/>
                <w:lang w:val="zh-CN"/>
              </w:rPr>
              <w:t>岳阳县污水处理厂，位于县城荣家湾荣站村，占地60亩，一期设计处理规模2万m</w:t>
            </w:r>
            <w:r>
              <w:rPr>
                <w:bCs/>
                <w:sz w:val="24"/>
                <w:u w:val="single"/>
                <w:vertAlign w:val="superscript"/>
                <w:lang w:val="zh-CN"/>
              </w:rPr>
              <w:t>3</w:t>
            </w:r>
            <w:r>
              <w:rPr>
                <w:bCs/>
                <w:sz w:val="24"/>
                <w:u w:val="single"/>
                <w:lang w:val="zh-CN"/>
              </w:rPr>
              <w:t>/d（实际日处理量达到19500吨，达到设计处理量97.5%），采用氧化沟处理工艺，已于2010年7月10日通过岳阳市环保局组织的项目竣工环保验收并投入使用。</w:t>
            </w:r>
          </w:p>
          <w:p>
            <w:pPr>
              <w:spacing w:line="360" w:lineRule="auto"/>
              <w:ind w:firstLine="482"/>
              <w:rPr>
                <w:bCs/>
                <w:sz w:val="24"/>
                <w:u w:val="single"/>
                <w:lang w:val="zh-CN"/>
              </w:rPr>
            </w:pPr>
            <w:r>
              <w:rPr>
                <w:rFonts w:hint="eastAsia" w:ascii="宋体" w:hAnsi="宋体"/>
                <w:bCs/>
                <w:sz w:val="24"/>
                <w:u w:val="single"/>
                <w:lang w:val="zh-CN"/>
              </w:rPr>
              <w:t>②</w:t>
            </w:r>
            <w:r>
              <w:rPr>
                <w:rFonts w:hint="eastAsia"/>
                <w:bCs/>
                <w:sz w:val="24"/>
                <w:u w:val="single"/>
                <w:lang w:val="zh-CN"/>
              </w:rPr>
              <w:t>岳阳县污水处理厂进出水水质要求</w:t>
            </w:r>
          </w:p>
          <w:p>
            <w:pPr>
              <w:spacing w:line="360" w:lineRule="auto"/>
              <w:ind w:firstLine="480" w:firstLineChars="200"/>
              <w:rPr>
                <w:sz w:val="24"/>
                <w:u w:val="single"/>
              </w:rPr>
            </w:pPr>
            <w:r>
              <w:rPr>
                <w:sz w:val="24"/>
                <w:u w:val="single"/>
              </w:rPr>
              <w:t>岳阳县县城污水处理厂服务范围为县城生活污水</w:t>
            </w:r>
            <w:r>
              <w:rPr>
                <w:rFonts w:hint="eastAsia"/>
                <w:sz w:val="24"/>
                <w:u w:val="single"/>
              </w:rPr>
              <w:t>，</w:t>
            </w:r>
            <w:r>
              <w:rPr>
                <w:sz w:val="24"/>
                <w:u w:val="single"/>
              </w:rPr>
              <w:t>设计接纳水质标准为《污水综合排放标准》（GB8978-1996）中三级标准</w:t>
            </w:r>
            <w:r>
              <w:rPr>
                <w:rFonts w:hint="eastAsia"/>
                <w:sz w:val="24"/>
                <w:u w:val="single"/>
              </w:rPr>
              <w:t>，出水水质为《城镇污水处理厂污染物排放标准》</w:t>
            </w:r>
            <w:r>
              <w:rPr>
                <w:sz w:val="24"/>
                <w:u w:val="single"/>
              </w:rPr>
              <w:t>GB18918-2002</w:t>
            </w:r>
            <w:r>
              <w:rPr>
                <w:rFonts w:hint="eastAsia"/>
                <w:sz w:val="24"/>
                <w:u w:val="single"/>
              </w:rPr>
              <w:t>）表</w:t>
            </w:r>
            <w:r>
              <w:rPr>
                <w:sz w:val="24"/>
                <w:u w:val="single"/>
              </w:rPr>
              <w:t xml:space="preserve">1 </w:t>
            </w:r>
            <w:r>
              <w:rPr>
                <w:rFonts w:hint="eastAsia"/>
                <w:sz w:val="24"/>
                <w:u w:val="single"/>
              </w:rPr>
              <w:t>中一级</w:t>
            </w:r>
            <w:r>
              <w:rPr>
                <w:sz w:val="24"/>
                <w:u w:val="single"/>
              </w:rPr>
              <w:t xml:space="preserve">A </w:t>
            </w:r>
            <w:r>
              <w:rPr>
                <w:rFonts w:hint="eastAsia"/>
                <w:sz w:val="24"/>
                <w:u w:val="single"/>
              </w:rPr>
              <w:t>标准</w:t>
            </w:r>
            <w:bookmarkStart w:id="56" w:name="_GoBack"/>
            <w:bookmarkEnd w:id="56"/>
            <w:r>
              <w:rPr>
                <w:sz w:val="24"/>
                <w:u w:val="single"/>
              </w:rPr>
              <w:t>。</w:t>
            </w:r>
          </w:p>
          <w:p>
            <w:pPr>
              <w:spacing w:line="360" w:lineRule="auto"/>
              <w:jc w:val="center"/>
              <w:rPr>
                <w:b/>
                <w:szCs w:val="21"/>
                <w:u w:val="single"/>
              </w:rPr>
            </w:pPr>
            <w:r>
              <w:rPr>
                <w:rFonts w:hint="eastAsia"/>
                <w:b/>
                <w:szCs w:val="21"/>
                <w:u w:val="single"/>
              </w:rPr>
              <w:t>表4-4岳阳县污水处理厂设计进、出水水质</w:t>
            </w:r>
          </w:p>
          <w:tbl>
            <w:tblPr>
              <w:tblStyle w:val="24"/>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97"/>
              <w:gridCol w:w="1705"/>
              <w:gridCol w:w="731"/>
              <w:gridCol w:w="610"/>
              <w:gridCol w:w="730"/>
              <w:gridCol w:w="853"/>
              <w:gridCol w:w="1700"/>
              <w:gridCol w:w="99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77" w:type="pct"/>
                  <w:noWrap/>
                  <w:vAlign w:val="center"/>
                </w:tcPr>
                <w:p>
                  <w:pPr>
                    <w:spacing w:line="360" w:lineRule="auto"/>
                    <w:jc w:val="center"/>
                    <w:rPr>
                      <w:b/>
                      <w:szCs w:val="21"/>
                      <w:u w:val="single"/>
                    </w:rPr>
                  </w:pPr>
                  <w:r>
                    <w:rPr>
                      <w:rFonts w:hint="eastAsia"/>
                      <w:b/>
                      <w:szCs w:val="21"/>
                      <w:u w:val="single"/>
                    </w:rPr>
                    <w:t>序号</w:t>
                  </w:r>
                </w:p>
              </w:tc>
              <w:tc>
                <w:tcPr>
                  <w:tcW w:w="1077" w:type="pct"/>
                  <w:noWrap/>
                  <w:vAlign w:val="center"/>
                </w:tcPr>
                <w:p>
                  <w:pPr>
                    <w:spacing w:line="360" w:lineRule="auto"/>
                    <w:jc w:val="center"/>
                    <w:rPr>
                      <w:b/>
                      <w:szCs w:val="21"/>
                      <w:u w:val="single"/>
                    </w:rPr>
                  </w:pPr>
                  <w:r>
                    <w:rPr>
                      <w:rFonts w:hint="eastAsia"/>
                      <w:b/>
                      <w:szCs w:val="21"/>
                      <w:u w:val="single"/>
                    </w:rPr>
                    <w:t>项目</w:t>
                  </w:r>
                </w:p>
              </w:tc>
              <w:tc>
                <w:tcPr>
                  <w:tcW w:w="462" w:type="pct"/>
                  <w:noWrap/>
                  <w:vAlign w:val="center"/>
                </w:tcPr>
                <w:p>
                  <w:pPr>
                    <w:spacing w:line="360" w:lineRule="auto"/>
                    <w:jc w:val="center"/>
                    <w:rPr>
                      <w:b/>
                      <w:szCs w:val="21"/>
                      <w:u w:val="single"/>
                    </w:rPr>
                  </w:pPr>
                  <w:r>
                    <w:rPr>
                      <w:rFonts w:hint="eastAsia"/>
                      <w:b/>
                      <w:szCs w:val="21"/>
                      <w:u w:val="single"/>
                    </w:rPr>
                    <w:t>B</w:t>
                  </w:r>
                  <w:r>
                    <w:rPr>
                      <w:b/>
                      <w:szCs w:val="21"/>
                      <w:u w:val="single"/>
                    </w:rPr>
                    <w:t>OD</w:t>
                  </w:r>
                  <w:r>
                    <w:rPr>
                      <w:b/>
                      <w:szCs w:val="21"/>
                      <w:u w:val="single"/>
                      <w:vertAlign w:val="subscript"/>
                    </w:rPr>
                    <w:t>5</w:t>
                  </w:r>
                </w:p>
              </w:tc>
              <w:tc>
                <w:tcPr>
                  <w:tcW w:w="385" w:type="pct"/>
                  <w:noWrap/>
                  <w:vAlign w:val="center"/>
                </w:tcPr>
                <w:p>
                  <w:pPr>
                    <w:spacing w:line="360" w:lineRule="auto"/>
                    <w:jc w:val="center"/>
                    <w:rPr>
                      <w:b/>
                      <w:szCs w:val="21"/>
                      <w:u w:val="single"/>
                    </w:rPr>
                  </w:pPr>
                  <w:r>
                    <w:rPr>
                      <w:rFonts w:hint="eastAsia"/>
                      <w:b/>
                      <w:szCs w:val="21"/>
                      <w:u w:val="single"/>
                    </w:rPr>
                    <w:t>C</w:t>
                  </w:r>
                  <w:r>
                    <w:rPr>
                      <w:b/>
                      <w:szCs w:val="21"/>
                      <w:u w:val="single"/>
                    </w:rPr>
                    <w:t>OD</w:t>
                  </w:r>
                </w:p>
              </w:tc>
              <w:tc>
                <w:tcPr>
                  <w:tcW w:w="461" w:type="pct"/>
                  <w:noWrap/>
                  <w:vAlign w:val="center"/>
                </w:tcPr>
                <w:p>
                  <w:pPr>
                    <w:spacing w:line="360" w:lineRule="auto"/>
                    <w:jc w:val="center"/>
                    <w:rPr>
                      <w:b/>
                      <w:szCs w:val="21"/>
                      <w:u w:val="single"/>
                    </w:rPr>
                  </w:pPr>
                  <w:r>
                    <w:rPr>
                      <w:rFonts w:hint="eastAsia"/>
                      <w:b/>
                      <w:szCs w:val="21"/>
                      <w:u w:val="single"/>
                    </w:rPr>
                    <w:t>S</w:t>
                  </w:r>
                  <w:r>
                    <w:rPr>
                      <w:b/>
                      <w:szCs w:val="21"/>
                      <w:u w:val="single"/>
                    </w:rPr>
                    <w:t>S</w:t>
                  </w:r>
                </w:p>
              </w:tc>
              <w:tc>
                <w:tcPr>
                  <w:tcW w:w="539" w:type="pct"/>
                  <w:noWrap/>
                  <w:vAlign w:val="center"/>
                </w:tcPr>
                <w:p>
                  <w:pPr>
                    <w:spacing w:line="360" w:lineRule="auto"/>
                    <w:jc w:val="center"/>
                    <w:rPr>
                      <w:b/>
                      <w:szCs w:val="21"/>
                      <w:u w:val="single"/>
                    </w:rPr>
                  </w:pPr>
                  <w:r>
                    <w:rPr>
                      <w:b/>
                      <w:szCs w:val="21"/>
                      <w:u w:val="single"/>
                    </w:rPr>
                    <w:t>NH</w:t>
                  </w:r>
                  <w:r>
                    <w:rPr>
                      <w:rFonts w:hint="eastAsia"/>
                      <w:b/>
                      <w:szCs w:val="21"/>
                      <w:u w:val="single"/>
                      <w:vertAlign w:val="subscript"/>
                    </w:rPr>
                    <w:t>3</w:t>
                  </w:r>
                  <w:r>
                    <w:rPr>
                      <w:b/>
                      <w:szCs w:val="21"/>
                      <w:u w:val="single"/>
                    </w:rPr>
                    <w:t>-N</w:t>
                  </w:r>
                </w:p>
              </w:tc>
              <w:tc>
                <w:tcPr>
                  <w:tcW w:w="1074" w:type="pct"/>
                  <w:noWrap/>
                  <w:vAlign w:val="center"/>
                </w:tcPr>
                <w:p>
                  <w:pPr>
                    <w:spacing w:line="360" w:lineRule="auto"/>
                    <w:jc w:val="center"/>
                    <w:rPr>
                      <w:b/>
                      <w:szCs w:val="21"/>
                      <w:u w:val="single"/>
                    </w:rPr>
                  </w:pPr>
                  <w:r>
                    <w:rPr>
                      <w:rFonts w:hint="eastAsia"/>
                      <w:b/>
                      <w:szCs w:val="21"/>
                      <w:u w:val="single"/>
                    </w:rPr>
                    <w:t>粪大肠杆菌数（个/</w:t>
                  </w:r>
                  <w:r>
                    <w:rPr>
                      <w:b/>
                      <w:szCs w:val="21"/>
                      <w:u w:val="single"/>
                    </w:rPr>
                    <w:t>L</w:t>
                  </w:r>
                  <w:r>
                    <w:rPr>
                      <w:rFonts w:hint="eastAsia"/>
                      <w:b/>
                      <w:szCs w:val="21"/>
                      <w:u w:val="single"/>
                    </w:rPr>
                    <w:t>）</w:t>
                  </w:r>
                </w:p>
              </w:tc>
              <w:tc>
                <w:tcPr>
                  <w:tcW w:w="625" w:type="pct"/>
                  <w:noWrap/>
                  <w:vAlign w:val="center"/>
                </w:tcPr>
                <w:p>
                  <w:pPr>
                    <w:spacing w:line="360" w:lineRule="auto"/>
                    <w:jc w:val="center"/>
                    <w:rPr>
                      <w:b/>
                      <w:szCs w:val="21"/>
                      <w:u w:val="single"/>
                    </w:rPr>
                  </w:pPr>
                  <w:r>
                    <w:rPr>
                      <w:rFonts w:hint="eastAsia"/>
                      <w:b/>
                      <w:szCs w:val="21"/>
                      <w:u w:val="single"/>
                    </w:rPr>
                    <w:t>P</w:t>
                  </w:r>
                  <w:r>
                    <w:rPr>
                      <w:b/>
                      <w:szCs w:val="21"/>
                      <w:u w:val="single"/>
                    </w:rPr>
                    <w:t>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77" w:type="pct"/>
                  <w:noWrap/>
                  <w:vAlign w:val="center"/>
                </w:tcPr>
                <w:p>
                  <w:pPr>
                    <w:spacing w:line="360" w:lineRule="auto"/>
                    <w:jc w:val="center"/>
                    <w:rPr>
                      <w:szCs w:val="21"/>
                      <w:u w:val="single"/>
                    </w:rPr>
                  </w:pPr>
                  <w:r>
                    <w:rPr>
                      <w:rFonts w:hint="eastAsia"/>
                      <w:szCs w:val="21"/>
                      <w:u w:val="single"/>
                    </w:rPr>
                    <w:t>1</w:t>
                  </w:r>
                </w:p>
              </w:tc>
              <w:tc>
                <w:tcPr>
                  <w:tcW w:w="1077" w:type="pct"/>
                  <w:noWrap/>
                  <w:vAlign w:val="center"/>
                </w:tcPr>
                <w:p>
                  <w:pPr>
                    <w:spacing w:line="360" w:lineRule="auto"/>
                    <w:jc w:val="center"/>
                    <w:rPr>
                      <w:szCs w:val="21"/>
                      <w:u w:val="single"/>
                    </w:rPr>
                  </w:pPr>
                  <w:r>
                    <w:rPr>
                      <w:rFonts w:hint="eastAsia"/>
                      <w:szCs w:val="21"/>
                      <w:u w:val="single"/>
                    </w:rPr>
                    <w:t>进水（m</w:t>
                  </w:r>
                  <w:r>
                    <w:rPr>
                      <w:szCs w:val="21"/>
                      <w:u w:val="single"/>
                    </w:rPr>
                    <w:t>g/l</w:t>
                  </w:r>
                  <w:r>
                    <w:rPr>
                      <w:rFonts w:hint="eastAsia"/>
                      <w:szCs w:val="21"/>
                      <w:u w:val="single"/>
                    </w:rPr>
                    <w:t>）</w:t>
                  </w:r>
                </w:p>
              </w:tc>
              <w:tc>
                <w:tcPr>
                  <w:tcW w:w="462" w:type="pct"/>
                  <w:noWrap/>
                  <w:vAlign w:val="center"/>
                </w:tcPr>
                <w:p>
                  <w:pPr>
                    <w:spacing w:line="360" w:lineRule="auto"/>
                    <w:jc w:val="center"/>
                    <w:rPr>
                      <w:szCs w:val="21"/>
                      <w:u w:val="single"/>
                    </w:rPr>
                  </w:pPr>
                  <w:r>
                    <w:rPr>
                      <w:rFonts w:hint="eastAsia"/>
                      <w:szCs w:val="21"/>
                      <w:u w:val="single"/>
                    </w:rPr>
                    <w:t>3</w:t>
                  </w:r>
                  <w:r>
                    <w:rPr>
                      <w:szCs w:val="21"/>
                      <w:u w:val="single"/>
                    </w:rPr>
                    <w:t>00</w:t>
                  </w:r>
                </w:p>
              </w:tc>
              <w:tc>
                <w:tcPr>
                  <w:tcW w:w="385" w:type="pct"/>
                  <w:noWrap/>
                  <w:vAlign w:val="center"/>
                </w:tcPr>
                <w:p>
                  <w:pPr>
                    <w:spacing w:line="360" w:lineRule="auto"/>
                    <w:jc w:val="center"/>
                    <w:rPr>
                      <w:szCs w:val="21"/>
                      <w:u w:val="single"/>
                    </w:rPr>
                  </w:pPr>
                  <w:r>
                    <w:rPr>
                      <w:rFonts w:hint="eastAsia"/>
                      <w:szCs w:val="21"/>
                      <w:u w:val="single"/>
                    </w:rPr>
                    <w:t>5</w:t>
                  </w:r>
                  <w:r>
                    <w:rPr>
                      <w:szCs w:val="21"/>
                      <w:u w:val="single"/>
                    </w:rPr>
                    <w:t>00</w:t>
                  </w:r>
                </w:p>
              </w:tc>
              <w:tc>
                <w:tcPr>
                  <w:tcW w:w="461" w:type="pct"/>
                  <w:noWrap/>
                  <w:vAlign w:val="center"/>
                </w:tcPr>
                <w:p>
                  <w:pPr>
                    <w:spacing w:line="360" w:lineRule="auto"/>
                    <w:jc w:val="center"/>
                    <w:rPr>
                      <w:szCs w:val="21"/>
                      <w:u w:val="single"/>
                    </w:rPr>
                  </w:pPr>
                  <w:r>
                    <w:rPr>
                      <w:rFonts w:hint="eastAsia"/>
                      <w:szCs w:val="21"/>
                      <w:u w:val="single"/>
                    </w:rPr>
                    <w:t>4</w:t>
                  </w:r>
                  <w:r>
                    <w:rPr>
                      <w:szCs w:val="21"/>
                      <w:u w:val="single"/>
                    </w:rPr>
                    <w:t>00</w:t>
                  </w:r>
                </w:p>
              </w:tc>
              <w:tc>
                <w:tcPr>
                  <w:tcW w:w="539" w:type="pct"/>
                  <w:noWrap/>
                  <w:vAlign w:val="center"/>
                </w:tcPr>
                <w:p>
                  <w:pPr>
                    <w:spacing w:line="360" w:lineRule="auto"/>
                    <w:jc w:val="center"/>
                    <w:rPr>
                      <w:szCs w:val="21"/>
                      <w:u w:val="single"/>
                    </w:rPr>
                  </w:pPr>
                  <w:r>
                    <w:rPr>
                      <w:rFonts w:hint="eastAsia"/>
                      <w:szCs w:val="21"/>
                      <w:u w:val="single"/>
                    </w:rPr>
                    <w:t>/</w:t>
                  </w:r>
                </w:p>
              </w:tc>
              <w:tc>
                <w:tcPr>
                  <w:tcW w:w="1074" w:type="pct"/>
                  <w:noWrap/>
                  <w:vAlign w:val="center"/>
                </w:tcPr>
                <w:p>
                  <w:pPr>
                    <w:spacing w:line="360" w:lineRule="auto"/>
                    <w:jc w:val="center"/>
                    <w:rPr>
                      <w:szCs w:val="21"/>
                      <w:u w:val="single"/>
                    </w:rPr>
                  </w:pPr>
                  <w:r>
                    <w:rPr>
                      <w:rFonts w:hint="eastAsia"/>
                      <w:szCs w:val="21"/>
                      <w:u w:val="single"/>
                    </w:rPr>
                    <w:t>5</w:t>
                  </w:r>
                  <w:r>
                    <w:rPr>
                      <w:szCs w:val="21"/>
                      <w:u w:val="single"/>
                    </w:rPr>
                    <w:t>000</w:t>
                  </w:r>
                </w:p>
              </w:tc>
              <w:tc>
                <w:tcPr>
                  <w:tcW w:w="625" w:type="pct"/>
                  <w:noWrap/>
                  <w:vAlign w:val="center"/>
                </w:tcPr>
                <w:p>
                  <w:pPr>
                    <w:spacing w:line="360" w:lineRule="auto"/>
                    <w:jc w:val="center"/>
                    <w:rPr>
                      <w:szCs w:val="21"/>
                      <w:u w:val="single"/>
                    </w:rPr>
                  </w:pPr>
                  <w:r>
                    <w:rPr>
                      <w:rFonts w:hint="eastAsia"/>
                      <w:szCs w:val="21"/>
                      <w:u w:val="single"/>
                    </w:rPr>
                    <w:t>6-</w:t>
                  </w:r>
                  <w:r>
                    <w:rPr>
                      <w:szCs w:val="21"/>
                      <w:u w:val="single"/>
                    </w:rPr>
                    <w:t>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77" w:type="pct"/>
                  <w:noWrap/>
                  <w:vAlign w:val="center"/>
                </w:tcPr>
                <w:p>
                  <w:pPr>
                    <w:spacing w:line="360" w:lineRule="auto"/>
                    <w:jc w:val="center"/>
                    <w:rPr>
                      <w:szCs w:val="21"/>
                      <w:u w:val="single"/>
                    </w:rPr>
                  </w:pPr>
                  <w:r>
                    <w:rPr>
                      <w:rFonts w:hint="eastAsia"/>
                      <w:szCs w:val="21"/>
                      <w:u w:val="single"/>
                    </w:rPr>
                    <w:t>2</w:t>
                  </w:r>
                </w:p>
              </w:tc>
              <w:tc>
                <w:tcPr>
                  <w:tcW w:w="1077" w:type="pct"/>
                  <w:noWrap/>
                  <w:vAlign w:val="center"/>
                </w:tcPr>
                <w:p>
                  <w:pPr>
                    <w:spacing w:line="360" w:lineRule="auto"/>
                    <w:jc w:val="center"/>
                    <w:rPr>
                      <w:szCs w:val="21"/>
                      <w:u w:val="single"/>
                    </w:rPr>
                  </w:pPr>
                  <w:r>
                    <w:rPr>
                      <w:rFonts w:hint="eastAsia"/>
                      <w:szCs w:val="21"/>
                      <w:u w:val="single"/>
                    </w:rPr>
                    <w:t>出水（m</w:t>
                  </w:r>
                  <w:r>
                    <w:rPr>
                      <w:szCs w:val="21"/>
                      <w:u w:val="single"/>
                    </w:rPr>
                    <w:t>g/l</w:t>
                  </w:r>
                  <w:r>
                    <w:rPr>
                      <w:rFonts w:hint="eastAsia"/>
                      <w:szCs w:val="21"/>
                      <w:u w:val="single"/>
                    </w:rPr>
                    <w:t>）</w:t>
                  </w:r>
                </w:p>
              </w:tc>
              <w:tc>
                <w:tcPr>
                  <w:tcW w:w="462" w:type="pct"/>
                  <w:noWrap/>
                  <w:vAlign w:val="center"/>
                </w:tcPr>
                <w:p>
                  <w:pPr>
                    <w:spacing w:line="360" w:lineRule="auto"/>
                    <w:jc w:val="center"/>
                    <w:rPr>
                      <w:szCs w:val="21"/>
                      <w:u w:val="single"/>
                    </w:rPr>
                  </w:pPr>
                  <w:r>
                    <w:rPr>
                      <w:rFonts w:hint="eastAsia"/>
                      <w:szCs w:val="21"/>
                      <w:u w:val="single"/>
                    </w:rPr>
                    <w:t>≤1</w:t>
                  </w:r>
                  <w:r>
                    <w:rPr>
                      <w:szCs w:val="21"/>
                      <w:u w:val="single"/>
                    </w:rPr>
                    <w:t>0</w:t>
                  </w:r>
                </w:p>
              </w:tc>
              <w:tc>
                <w:tcPr>
                  <w:tcW w:w="385" w:type="pct"/>
                  <w:noWrap/>
                  <w:vAlign w:val="center"/>
                </w:tcPr>
                <w:p>
                  <w:pPr>
                    <w:spacing w:line="360" w:lineRule="auto"/>
                    <w:jc w:val="center"/>
                    <w:rPr>
                      <w:szCs w:val="21"/>
                      <w:u w:val="single"/>
                    </w:rPr>
                  </w:pPr>
                  <w:r>
                    <w:rPr>
                      <w:rFonts w:hint="eastAsia"/>
                      <w:szCs w:val="21"/>
                      <w:u w:val="single"/>
                    </w:rPr>
                    <w:t>≤5</w:t>
                  </w:r>
                  <w:r>
                    <w:rPr>
                      <w:szCs w:val="21"/>
                      <w:u w:val="single"/>
                    </w:rPr>
                    <w:t>0</w:t>
                  </w:r>
                </w:p>
              </w:tc>
              <w:tc>
                <w:tcPr>
                  <w:tcW w:w="461" w:type="pct"/>
                  <w:noWrap/>
                  <w:vAlign w:val="center"/>
                </w:tcPr>
                <w:p>
                  <w:pPr>
                    <w:spacing w:line="360" w:lineRule="auto"/>
                    <w:jc w:val="center"/>
                    <w:rPr>
                      <w:szCs w:val="21"/>
                      <w:u w:val="single"/>
                    </w:rPr>
                  </w:pPr>
                  <w:r>
                    <w:rPr>
                      <w:rFonts w:hint="eastAsia"/>
                      <w:szCs w:val="21"/>
                      <w:u w:val="single"/>
                    </w:rPr>
                    <w:t>≤1</w:t>
                  </w:r>
                  <w:r>
                    <w:rPr>
                      <w:szCs w:val="21"/>
                      <w:u w:val="single"/>
                    </w:rPr>
                    <w:t>0</w:t>
                  </w:r>
                </w:p>
              </w:tc>
              <w:tc>
                <w:tcPr>
                  <w:tcW w:w="539" w:type="pct"/>
                  <w:noWrap/>
                  <w:vAlign w:val="center"/>
                </w:tcPr>
                <w:p>
                  <w:pPr>
                    <w:spacing w:line="360" w:lineRule="auto"/>
                    <w:jc w:val="center"/>
                    <w:rPr>
                      <w:szCs w:val="21"/>
                      <w:u w:val="single"/>
                    </w:rPr>
                  </w:pPr>
                  <w:r>
                    <w:rPr>
                      <w:rFonts w:hint="eastAsia"/>
                      <w:szCs w:val="21"/>
                      <w:u w:val="single"/>
                    </w:rPr>
                    <w:t>≤5</w:t>
                  </w:r>
                </w:p>
              </w:tc>
              <w:tc>
                <w:tcPr>
                  <w:tcW w:w="1074" w:type="pct"/>
                  <w:noWrap/>
                  <w:vAlign w:val="center"/>
                </w:tcPr>
                <w:p>
                  <w:pPr>
                    <w:spacing w:line="360" w:lineRule="auto"/>
                    <w:jc w:val="center"/>
                    <w:rPr>
                      <w:szCs w:val="21"/>
                      <w:u w:val="single"/>
                    </w:rPr>
                  </w:pPr>
                  <w:r>
                    <w:rPr>
                      <w:rFonts w:hint="eastAsia"/>
                      <w:szCs w:val="21"/>
                      <w:u w:val="single"/>
                    </w:rPr>
                    <w:t>≤1</w:t>
                  </w:r>
                  <w:r>
                    <w:rPr>
                      <w:szCs w:val="21"/>
                      <w:u w:val="single"/>
                    </w:rPr>
                    <w:t>000</w:t>
                  </w:r>
                </w:p>
              </w:tc>
              <w:tc>
                <w:tcPr>
                  <w:tcW w:w="625" w:type="pct"/>
                  <w:noWrap/>
                  <w:vAlign w:val="center"/>
                </w:tcPr>
                <w:p>
                  <w:pPr>
                    <w:spacing w:line="360" w:lineRule="auto"/>
                    <w:jc w:val="center"/>
                    <w:rPr>
                      <w:szCs w:val="21"/>
                      <w:u w:val="single"/>
                    </w:rPr>
                  </w:pPr>
                  <w:r>
                    <w:rPr>
                      <w:szCs w:val="21"/>
                      <w:u w:val="single"/>
                    </w:rPr>
                    <w:t>6-9</w:t>
                  </w:r>
                </w:p>
              </w:tc>
            </w:tr>
          </w:tbl>
          <w:p>
            <w:pPr>
              <w:spacing w:line="360" w:lineRule="auto"/>
              <w:ind w:firstLine="482"/>
              <w:rPr>
                <w:kern w:val="0"/>
                <w:sz w:val="24"/>
                <w:u w:val="single"/>
              </w:rPr>
            </w:pPr>
            <w:r>
              <w:rPr>
                <w:rFonts w:hint="eastAsia" w:ascii="宋体" w:hAnsi="宋体"/>
                <w:kern w:val="0"/>
                <w:sz w:val="24"/>
                <w:u w:val="single"/>
              </w:rPr>
              <w:t>③</w:t>
            </w:r>
            <w:r>
              <w:rPr>
                <w:rFonts w:hint="eastAsia"/>
                <w:kern w:val="0"/>
                <w:sz w:val="24"/>
                <w:u w:val="single"/>
              </w:rPr>
              <w:t>水质、水量分析</w:t>
            </w:r>
          </w:p>
          <w:p>
            <w:pPr>
              <w:spacing w:line="360" w:lineRule="auto"/>
              <w:ind w:firstLine="482"/>
              <w:rPr>
                <w:kern w:val="0"/>
                <w:sz w:val="24"/>
                <w:u w:val="single"/>
              </w:rPr>
            </w:pPr>
            <w:r>
              <w:rPr>
                <w:kern w:val="0"/>
                <w:sz w:val="24"/>
                <w:u w:val="single"/>
              </w:rPr>
              <w:t>项目废水为</w:t>
            </w:r>
            <w:r>
              <w:rPr>
                <w:rFonts w:hint="eastAsia"/>
                <w:kern w:val="0"/>
                <w:sz w:val="24"/>
                <w:u w:val="single"/>
              </w:rPr>
              <w:t>含油</w:t>
            </w:r>
            <w:r>
              <w:rPr>
                <w:kern w:val="0"/>
                <w:sz w:val="24"/>
                <w:u w:val="single"/>
              </w:rPr>
              <w:t>废水</w:t>
            </w:r>
            <w:r>
              <w:rPr>
                <w:rFonts w:hint="eastAsia"/>
                <w:kern w:val="0"/>
                <w:sz w:val="24"/>
                <w:u w:val="single"/>
              </w:rPr>
              <w:t>处理后的废水</w:t>
            </w:r>
            <w:r>
              <w:rPr>
                <w:kern w:val="0"/>
                <w:sz w:val="24"/>
                <w:u w:val="single"/>
              </w:rPr>
              <w:t>和生活污水，</w:t>
            </w:r>
            <w:r>
              <w:rPr>
                <w:rFonts w:hint="eastAsia"/>
                <w:kern w:val="0"/>
                <w:sz w:val="24"/>
                <w:u w:val="single"/>
              </w:rPr>
              <w:t>废水</w:t>
            </w:r>
            <w:r>
              <w:rPr>
                <w:kern w:val="0"/>
                <w:sz w:val="24"/>
                <w:u w:val="single"/>
              </w:rPr>
              <w:t>排放量为</w:t>
            </w:r>
            <w:r>
              <w:rPr>
                <w:rFonts w:hint="eastAsia"/>
                <w:kern w:val="0"/>
                <w:sz w:val="24"/>
                <w:u w:val="single"/>
              </w:rPr>
              <w:t>19300</w:t>
            </w:r>
            <w:r>
              <w:rPr>
                <w:kern w:val="0"/>
                <w:sz w:val="24"/>
                <w:u w:val="single"/>
              </w:rPr>
              <w:t xml:space="preserve"> t/</w:t>
            </w:r>
            <w:r>
              <w:rPr>
                <w:rFonts w:hint="eastAsia"/>
                <w:kern w:val="0"/>
                <w:sz w:val="24"/>
                <w:u w:val="single"/>
              </w:rPr>
              <w:t>a</w:t>
            </w:r>
            <w:r>
              <w:rPr>
                <w:kern w:val="0"/>
                <w:sz w:val="24"/>
                <w:u w:val="single"/>
              </w:rPr>
              <w:t>，</w:t>
            </w:r>
            <w:r>
              <w:rPr>
                <w:rFonts w:hint="eastAsia"/>
                <w:kern w:val="0"/>
                <w:sz w:val="24"/>
                <w:u w:val="single"/>
              </w:rPr>
              <w:t>占污水厂余量的0.26%，</w:t>
            </w:r>
            <w:r>
              <w:rPr>
                <w:kern w:val="0"/>
                <w:sz w:val="24"/>
                <w:u w:val="single"/>
              </w:rPr>
              <w:t>其水污染物主要是</w:t>
            </w:r>
            <w:r>
              <w:rPr>
                <w:rFonts w:hint="eastAsia"/>
                <w:kern w:val="0"/>
                <w:sz w:val="24"/>
                <w:u w:val="single"/>
              </w:rPr>
              <w:t>化学需氧量和石油类</w:t>
            </w:r>
            <w:r>
              <w:rPr>
                <w:kern w:val="0"/>
                <w:sz w:val="24"/>
                <w:u w:val="single"/>
              </w:rPr>
              <w:t>，不含有腐蚀成分，污水的可生化性高，</w:t>
            </w:r>
            <w:r>
              <w:rPr>
                <w:rFonts w:hint="eastAsia"/>
                <w:kern w:val="0"/>
                <w:sz w:val="24"/>
                <w:u w:val="single"/>
              </w:rPr>
              <w:t>含油废水</w:t>
            </w:r>
            <w:r>
              <w:rPr>
                <w:kern w:val="0"/>
                <w:sz w:val="24"/>
                <w:u w:val="single"/>
              </w:rPr>
              <w:t>经过</w:t>
            </w:r>
            <w:r>
              <w:rPr>
                <w:rFonts w:hint="eastAsia"/>
                <w:kern w:val="0"/>
                <w:sz w:val="24"/>
                <w:u w:val="single"/>
              </w:rPr>
              <w:t>油水分离器</w:t>
            </w:r>
            <w:r>
              <w:rPr>
                <w:kern w:val="0"/>
                <w:sz w:val="24"/>
                <w:u w:val="single"/>
              </w:rPr>
              <w:t>处理后水质可满足</w:t>
            </w:r>
            <w:r>
              <w:rPr>
                <w:sz w:val="24"/>
                <w:u w:val="single"/>
              </w:rPr>
              <w:t>岳阳县县城污水处理厂</w:t>
            </w:r>
            <w:r>
              <w:rPr>
                <w:kern w:val="0"/>
                <w:sz w:val="24"/>
                <w:u w:val="single"/>
              </w:rPr>
              <w:t>进水水质要求，</w:t>
            </w:r>
            <w:r>
              <w:rPr>
                <w:rFonts w:hint="eastAsia"/>
                <w:kern w:val="0"/>
                <w:sz w:val="24"/>
                <w:u w:val="single"/>
              </w:rPr>
              <w:t>具体见下表，</w:t>
            </w:r>
          </w:p>
          <w:p>
            <w:pPr>
              <w:jc w:val="center"/>
              <w:rPr>
                <w:rFonts w:ascii="宋体" w:hAnsi="宋体"/>
                <w:b/>
                <w:bCs/>
                <w:szCs w:val="21"/>
              </w:rPr>
            </w:pPr>
            <w:r>
              <w:rPr>
                <w:rFonts w:hint="eastAsia" w:ascii="宋体" w:hAnsi="宋体"/>
                <w:b/>
                <w:bCs/>
                <w:szCs w:val="21"/>
              </w:rPr>
              <w:t>表4-5</w:t>
            </w:r>
            <w:r>
              <w:rPr>
                <w:rFonts w:hint="eastAsia" w:ascii="宋体" w:hAnsi="宋体"/>
                <w:b/>
                <w:szCs w:val="21"/>
              </w:rPr>
              <w:t xml:space="preserve"> 废水处理站</w:t>
            </w:r>
            <w:r>
              <w:rPr>
                <w:rFonts w:hint="eastAsia" w:ascii="宋体" w:hAnsi="宋体"/>
                <w:b/>
                <w:bCs/>
                <w:szCs w:val="21"/>
              </w:rPr>
              <w:t>监测结果  单位：（</w:t>
            </w:r>
            <w:r>
              <w:rPr>
                <w:rFonts w:ascii="宋体" w:hAnsi="宋体"/>
                <w:b/>
                <w:bCs/>
                <w:szCs w:val="21"/>
              </w:rPr>
              <w:t>mg</w:t>
            </w:r>
            <w:r>
              <w:rPr>
                <w:rFonts w:hint="eastAsia" w:ascii="宋体" w:hAnsi="宋体"/>
                <w:b/>
                <w:bCs/>
                <w:szCs w:val="21"/>
              </w:rPr>
              <w:t>／</w:t>
            </w:r>
            <w:r>
              <w:rPr>
                <w:rFonts w:ascii="宋体" w:hAnsi="宋体"/>
                <w:b/>
                <w:bCs/>
                <w:szCs w:val="21"/>
              </w:rPr>
              <w:t>L</w:t>
            </w:r>
            <w:r>
              <w:rPr>
                <w:rFonts w:hint="eastAsia" w:ascii="宋体" w:hAnsi="宋体"/>
                <w:b/>
                <w:bCs/>
                <w:szCs w:val="21"/>
              </w:rPr>
              <w:t>，</w:t>
            </w:r>
            <w:r>
              <w:rPr>
                <w:rFonts w:ascii="宋体" w:hAnsi="宋体"/>
                <w:b/>
                <w:bCs/>
                <w:szCs w:val="21"/>
              </w:rPr>
              <w:t>p</w:t>
            </w:r>
            <w:r>
              <w:rPr>
                <w:rFonts w:hint="eastAsia" w:ascii="宋体" w:hAnsi="宋体"/>
                <w:b/>
                <w:bCs/>
                <w:szCs w:val="21"/>
              </w:rPr>
              <w:t>H除外）</w:t>
            </w:r>
          </w:p>
          <w:tbl>
            <w:tblPr>
              <w:tblStyle w:val="24"/>
              <w:tblW w:w="647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33"/>
              <w:gridCol w:w="734"/>
              <w:gridCol w:w="870"/>
              <w:gridCol w:w="870"/>
              <w:gridCol w:w="1022"/>
              <w:gridCol w:w="1015"/>
              <w:gridCol w:w="113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7" w:hRule="atLeast"/>
                <w:tblHeader/>
                <w:jc w:val="center"/>
              </w:trPr>
              <w:tc>
                <w:tcPr>
                  <w:tcW w:w="833" w:type="dxa"/>
                  <w:tcBorders>
                    <w:tl2br w:val="nil"/>
                    <w:tr2bl w:val="nil"/>
                  </w:tcBorders>
                  <w:noWrap/>
                  <w:vAlign w:val="center"/>
                </w:tcPr>
                <w:p>
                  <w:pPr>
                    <w:rPr>
                      <w:szCs w:val="21"/>
                    </w:rPr>
                  </w:pPr>
                </w:p>
              </w:tc>
              <w:tc>
                <w:tcPr>
                  <w:tcW w:w="734" w:type="dxa"/>
                  <w:tcBorders>
                    <w:tl2br w:val="nil"/>
                    <w:tr2bl w:val="nil"/>
                  </w:tcBorders>
                  <w:noWrap/>
                  <w:vAlign w:val="center"/>
                </w:tcPr>
                <w:p>
                  <w:pPr>
                    <w:widowControl/>
                    <w:jc w:val="left"/>
                    <w:rPr>
                      <w:szCs w:val="21"/>
                    </w:rPr>
                  </w:pPr>
                  <w:r>
                    <w:rPr>
                      <w:szCs w:val="21"/>
                    </w:rPr>
                    <w:t>监测</w:t>
                  </w:r>
                </w:p>
                <w:p>
                  <w:pPr>
                    <w:widowControl/>
                    <w:jc w:val="left"/>
                    <w:rPr>
                      <w:szCs w:val="21"/>
                    </w:rPr>
                  </w:pPr>
                  <w:r>
                    <w:rPr>
                      <w:szCs w:val="21"/>
                    </w:rPr>
                    <w:t>时间</w:t>
                  </w:r>
                </w:p>
              </w:tc>
              <w:tc>
                <w:tcPr>
                  <w:tcW w:w="870" w:type="dxa"/>
                  <w:tcBorders>
                    <w:tl2br w:val="nil"/>
                    <w:tr2bl w:val="nil"/>
                  </w:tcBorders>
                  <w:noWrap/>
                  <w:vAlign w:val="center"/>
                </w:tcPr>
                <w:p>
                  <w:pPr>
                    <w:jc w:val="center"/>
                    <w:rPr>
                      <w:szCs w:val="21"/>
                    </w:rPr>
                  </w:pPr>
                  <w:r>
                    <w:rPr>
                      <w:szCs w:val="21"/>
                    </w:rPr>
                    <w:t>频次</w:t>
                  </w:r>
                </w:p>
              </w:tc>
              <w:tc>
                <w:tcPr>
                  <w:tcW w:w="870" w:type="dxa"/>
                  <w:tcBorders>
                    <w:tl2br w:val="nil"/>
                    <w:tr2bl w:val="nil"/>
                  </w:tcBorders>
                  <w:noWrap/>
                  <w:vAlign w:val="center"/>
                </w:tcPr>
                <w:p>
                  <w:pPr>
                    <w:jc w:val="center"/>
                    <w:rPr>
                      <w:color w:val="000000"/>
                      <w:szCs w:val="21"/>
                    </w:rPr>
                  </w:pPr>
                  <w:r>
                    <w:rPr>
                      <w:color w:val="000000"/>
                      <w:szCs w:val="21"/>
                    </w:rPr>
                    <w:t>pH</w:t>
                  </w:r>
                </w:p>
              </w:tc>
              <w:tc>
                <w:tcPr>
                  <w:tcW w:w="1022" w:type="dxa"/>
                  <w:tcBorders>
                    <w:tl2br w:val="nil"/>
                    <w:tr2bl w:val="nil"/>
                  </w:tcBorders>
                  <w:noWrap/>
                  <w:vAlign w:val="center"/>
                </w:tcPr>
                <w:p>
                  <w:pPr>
                    <w:jc w:val="center"/>
                    <w:rPr>
                      <w:color w:val="000000"/>
                      <w:szCs w:val="21"/>
                    </w:rPr>
                  </w:pPr>
                  <w:r>
                    <w:rPr>
                      <w:color w:val="000000"/>
                      <w:szCs w:val="21"/>
                    </w:rPr>
                    <w:t xml:space="preserve">CODcr </w:t>
                  </w:r>
                </w:p>
              </w:tc>
              <w:tc>
                <w:tcPr>
                  <w:tcW w:w="1015" w:type="dxa"/>
                  <w:tcBorders>
                    <w:tl2br w:val="nil"/>
                    <w:tr2bl w:val="nil"/>
                  </w:tcBorders>
                  <w:noWrap/>
                  <w:vAlign w:val="center"/>
                </w:tcPr>
                <w:p>
                  <w:pPr>
                    <w:jc w:val="center"/>
                    <w:rPr>
                      <w:color w:val="000000"/>
                      <w:szCs w:val="21"/>
                    </w:rPr>
                  </w:pPr>
                  <w:r>
                    <w:rPr>
                      <w:color w:val="000000"/>
                      <w:szCs w:val="21"/>
                    </w:rPr>
                    <w:t>石油类</w:t>
                  </w:r>
                </w:p>
              </w:tc>
              <w:tc>
                <w:tcPr>
                  <w:tcW w:w="1132" w:type="dxa"/>
                  <w:tcBorders>
                    <w:tl2br w:val="nil"/>
                    <w:tr2bl w:val="nil"/>
                  </w:tcBorders>
                  <w:noWrap/>
                  <w:vAlign w:val="center"/>
                </w:tcPr>
                <w:p>
                  <w:pPr>
                    <w:jc w:val="center"/>
                    <w:rPr>
                      <w:color w:val="000000"/>
                      <w:szCs w:val="21"/>
                    </w:rPr>
                  </w:pPr>
                  <w:r>
                    <w:rPr>
                      <w:color w:val="000000"/>
                      <w:szCs w:val="21"/>
                    </w:rPr>
                    <w:t>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60" w:hRule="atLeast"/>
                <w:jc w:val="center"/>
              </w:trPr>
              <w:tc>
                <w:tcPr>
                  <w:tcW w:w="833" w:type="dxa"/>
                  <w:vMerge w:val="restart"/>
                  <w:tcBorders>
                    <w:tl2br w:val="nil"/>
                    <w:tr2bl w:val="nil"/>
                  </w:tcBorders>
                  <w:noWrap/>
                  <w:vAlign w:val="center"/>
                </w:tcPr>
                <w:p>
                  <w:pPr>
                    <w:jc w:val="center"/>
                    <w:rPr>
                      <w:szCs w:val="21"/>
                    </w:rPr>
                  </w:pPr>
                  <w:r>
                    <w:rPr>
                      <w:szCs w:val="21"/>
                    </w:rPr>
                    <w:t>处理</w:t>
                  </w:r>
                </w:p>
                <w:p>
                  <w:pPr>
                    <w:jc w:val="center"/>
                    <w:rPr>
                      <w:szCs w:val="21"/>
                    </w:rPr>
                  </w:pPr>
                  <w:r>
                    <w:rPr>
                      <w:szCs w:val="21"/>
                    </w:rPr>
                    <w:t>设施</w:t>
                  </w:r>
                </w:p>
                <w:p>
                  <w:pPr>
                    <w:jc w:val="center"/>
                    <w:rPr>
                      <w:szCs w:val="21"/>
                    </w:rPr>
                  </w:pPr>
                  <w:r>
                    <w:rPr>
                      <w:szCs w:val="21"/>
                    </w:rPr>
                    <w:t>进口</w:t>
                  </w:r>
                </w:p>
              </w:tc>
              <w:tc>
                <w:tcPr>
                  <w:tcW w:w="734" w:type="dxa"/>
                  <w:vMerge w:val="restart"/>
                  <w:tcBorders>
                    <w:tl2br w:val="nil"/>
                    <w:tr2bl w:val="nil"/>
                  </w:tcBorders>
                  <w:noWrap/>
                  <w:vAlign w:val="center"/>
                </w:tcPr>
                <w:p>
                  <w:pPr>
                    <w:jc w:val="center"/>
                    <w:rPr>
                      <w:color w:val="000000"/>
                      <w:szCs w:val="21"/>
                    </w:rPr>
                  </w:pPr>
                  <w:r>
                    <w:rPr>
                      <w:color w:val="000000"/>
                      <w:szCs w:val="21"/>
                    </w:rPr>
                    <w:t>2021.3.26</w:t>
                  </w:r>
                </w:p>
              </w:tc>
              <w:tc>
                <w:tcPr>
                  <w:tcW w:w="870" w:type="dxa"/>
                  <w:tcBorders>
                    <w:tl2br w:val="nil"/>
                    <w:tr2bl w:val="nil"/>
                  </w:tcBorders>
                  <w:noWrap/>
                  <w:vAlign w:val="center"/>
                </w:tcPr>
                <w:p>
                  <w:pPr>
                    <w:jc w:val="center"/>
                    <w:rPr>
                      <w:szCs w:val="21"/>
                    </w:rPr>
                  </w:pPr>
                  <w:r>
                    <w:rPr>
                      <w:szCs w:val="21"/>
                    </w:rPr>
                    <w:t>1次</w:t>
                  </w:r>
                </w:p>
              </w:tc>
              <w:tc>
                <w:tcPr>
                  <w:tcW w:w="870" w:type="dxa"/>
                  <w:tcBorders>
                    <w:tl2br w:val="nil"/>
                    <w:tr2bl w:val="nil"/>
                  </w:tcBorders>
                  <w:noWrap/>
                  <w:vAlign w:val="center"/>
                </w:tcPr>
                <w:p>
                  <w:pPr>
                    <w:jc w:val="center"/>
                    <w:rPr>
                      <w:color w:val="000000"/>
                      <w:szCs w:val="21"/>
                    </w:rPr>
                  </w:pPr>
                  <w:r>
                    <w:rPr>
                      <w:color w:val="000000"/>
                      <w:szCs w:val="21"/>
                    </w:rPr>
                    <w:t>6.7</w:t>
                  </w:r>
                </w:p>
              </w:tc>
              <w:tc>
                <w:tcPr>
                  <w:tcW w:w="1022" w:type="dxa"/>
                  <w:tcBorders>
                    <w:tl2br w:val="nil"/>
                    <w:tr2bl w:val="nil"/>
                  </w:tcBorders>
                  <w:noWrap/>
                  <w:vAlign w:val="center"/>
                </w:tcPr>
                <w:p>
                  <w:pPr>
                    <w:jc w:val="center"/>
                    <w:rPr>
                      <w:color w:val="000000"/>
                      <w:szCs w:val="21"/>
                    </w:rPr>
                  </w:pPr>
                  <w:r>
                    <w:rPr>
                      <w:color w:val="000000"/>
                      <w:szCs w:val="21"/>
                    </w:rPr>
                    <w:t>225</w:t>
                  </w:r>
                </w:p>
              </w:tc>
              <w:tc>
                <w:tcPr>
                  <w:tcW w:w="1015" w:type="dxa"/>
                  <w:tcBorders>
                    <w:tl2br w:val="nil"/>
                    <w:tr2bl w:val="nil"/>
                  </w:tcBorders>
                  <w:noWrap/>
                  <w:vAlign w:val="center"/>
                </w:tcPr>
                <w:p>
                  <w:pPr>
                    <w:jc w:val="center"/>
                    <w:rPr>
                      <w:color w:val="000000"/>
                      <w:szCs w:val="21"/>
                    </w:rPr>
                  </w:pPr>
                  <w:r>
                    <w:rPr>
                      <w:color w:val="000000"/>
                      <w:szCs w:val="21"/>
                    </w:rPr>
                    <w:t>6.64</w:t>
                  </w:r>
                </w:p>
              </w:tc>
              <w:tc>
                <w:tcPr>
                  <w:tcW w:w="1132" w:type="dxa"/>
                  <w:tcBorders>
                    <w:tl2br w:val="nil"/>
                    <w:tr2bl w:val="nil"/>
                  </w:tcBorders>
                  <w:noWrap/>
                  <w:vAlign w:val="center"/>
                </w:tcPr>
                <w:p>
                  <w:pPr>
                    <w:jc w:val="center"/>
                    <w:rPr>
                      <w:color w:val="000000"/>
                      <w:szCs w:val="21"/>
                    </w:rPr>
                  </w:pPr>
                  <w:r>
                    <w:rPr>
                      <w:color w:val="000000"/>
                      <w:szCs w:val="21"/>
                    </w:rPr>
                    <w:t>ND</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60" w:hRule="atLeast"/>
                <w:jc w:val="center"/>
              </w:trPr>
              <w:tc>
                <w:tcPr>
                  <w:tcW w:w="833" w:type="dxa"/>
                  <w:vMerge w:val="continue"/>
                  <w:tcBorders>
                    <w:tl2br w:val="nil"/>
                    <w:tr2bl w:val="nil"/>
                  </w:tcBorders>
                  <w:noWrap/>
                  <w:vAlign w:val="center"/>
                </w:tcPr>
                <w:p>
                  <w:pPr>
                    <w:jc w:val="center"/>
                    <w:rPr>
                      <w:szCs w:val="21"/>
                    </w:rPr>
                  </w:pPr>
                </w:p>
              </w:tc>
              <w:tc>
                <w:tcPr>
                  <w:tcW w:w="734" w:type="dxa"/>
                  <w:vMerge w:val="continue"/>
                  <w:tcBorders>
                    <w:tl2br w:val="nil"/>
                    <w:tr2bl w:val="nil"/>
                  </w:tcBorders>
                  <w:noWrap/>
                  <w:vAlign w:val="center"/>
                </w:tcPr>
                <w:p>
                  <w:pPr>
                    <w:jc w:val="center"/>
                    <w:rPr>
                      <w:color w:val="000000"/>
                      <w:szCs w:val="21"/>
                    </w:rPr>
                  </w:pPr>
                </w:p>
              </w:tc>
              <w:tc>
                <w:tcPr>
                  <w:tcW w:w="870" w:type="dxa"/>
                  <w:tcBorders>
                    <w:tl2br w:val="nil"/>
                    <w:tr2bl w:val="nil"/>
                  </w:tcBorders>
                  <w:noWrap/>
                  <w:vAlign w:val="center"/>
                </w:tcPr>
                <w:p>
                  <w:pPr>
                    <w:jc w:val="center"/>
                    <w:rPr>
                      <w:szCs w:val="21"/>
                    </w:rPr>
                  </w:pPr>
                  <w:r>
                    <w:rPr>
                      <w:szCs w:val="21"/>
                    </w:rPr>
                    <w:t>2次</w:t>
                  </w:r>
                </w:p>
              </w:tc>
              <w:tc>
                <w:tcPr>
                  <w:tcW w:w="870" w:type="dxa"/>
                  <w:tcBorders>
                    <w:tl2br w:val="nil"/>
                    <w:tr2bl w:val="nil"/>
                  </w:tcBorders>
                  <w:noWrap/>
                  <w:vAlign w:val="center"/>
                </w:tcPr>
                <w:p>
                  <w:pPr>
                    <w:jc w:val="center"/>
                    <w:rPr>
                      <w:color w:val="000000"/>
                      <w:szCs w:val="21"/>
                    </w:rPr>
                  </w:pPr>
                  <w:r>
                    <w:rPr>
                      <w:color w:val="000000"/>
                      <w:szCs w:val="21"/>
                    </w:rPr>
                    <w:t>6.6</w:t>
                  </w:r>
                </w:p>
              </w:tc>
              <w:tc>
                <w:tcPr>
                  <w:tcW w:w="1022" w:type="dxa"/>
                  <w:tcBorders>
                    <w:tl2br w:val="nil"/>
                    <w:tr2bl w:val="nil"/>
                  </w:tcBorders>
                  <w:noWrap/>
                  <w:vAlign w:val="center"/>
                </w:tcPr>
                <w:p>
                  <w:pPr>
                    <w:jc w:val="center"/>
                    <w:rPr>
                      <w:color w:val="000000"/>
                      <w:szCs w:val="21"/>
                    </w:rPr>
                  </w:pPr>
                  <w:r>
                    <w:rPr>
                      <w:color w:val="000000"/>
                      <w:szCs w:val="21"/>
                    </w:rPr>
                    <w:t>221</w:t>
                  </w:r>
                </w:p>
              </w:tc>
              <w:tc>
                <w:tcPr>
                  <w:tcW w:w="1015" w:type="dxa"/>
                  <w:tcBorders>
                    <w:tl2br w:val="nil"/>
                    <w:tr2bl w:val="nil"/>
                  </w:tcBorders>
                  <w:noWrap/>
                  <w:vAlign w:val="center"/>
                </w:tcPr>
                <w:p>
                  <w:pPr>
                    <w:jc w:val="center"/>
                    <w:rPr>
                      <w:color w:val="000000"/>
                      <w:szCs w:val="21"/>
                    </w:rPr>
                  </w:pPr>
                  <w:r>
                    <w:rPr>
                      <w:color w:val="000000"/>
                      <w:szCs w:val="21"/>
                    </w:rPr>
                    <w:t>6.64</w:t>
                  </w:r>
                </w:p>
              </w:tc>
              <w:tc>
                <w:tcPr>
                  <w:tcW w:w="1132" w:type="dxa"/>
                  <w:tcBorders>
                    <w:tl2br w:val="nil"/>
                    <w:tr2bl w:val="nil"/>
                  </w:tcBorders>
                  <w:noWrap/>
                  <w:vAlign w:val="center"/>
                </w:tcPr>
                <w:p>
                  <w:pPr>
                    <w:jc w:val="center"/>
                    <w:rPr>
                      <w:color w:val="000000"/>
                      <w:szCs w:val="21"/>
                    </w:rPr>
                  </w:pPr>
                  <w:r>
                    <w:rPr>
                      <w:color w:val="000000"/>
                      <w:szCs w:val="21"/>
                    </w:rPr>
                    <w:t>ND</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833" w:type="dxa"/>
                  <w:vMerge w:val="continue"/>
                  <w:tcBorders>
                    <w:tl2br w:val="nil"/>
                    <w:tr2bl w:val="nil"/>
                  </w:tcBorders>
                  <w:noWrap/>
                  <w:vAlign w:val="center"/>
                </w:tcPr>
                <w:p>
                  <w:pPr>
                    <w:jc w:val="center"/>
                    <w:rPr>
                      <w:szCs w:val="21"/>
                    </w:rPr>
                  </w:pPr>
                </w:p>
              </w:tc>
              <w:tc>
                <w:tcPr>
                  <w:tcW w:w="734" w:type="dxa"/>
                  <w:vMerge w:val="continue"/>
                  <w:tcBorders>
                    <w:tl2br w:val="nil"/>
                    <w:tr2bl w:val="nil"/>
                  </w:tcBorders>
                  <w:noWrap/>
                  <w:vAlign w:val="center"/>
                </w:tcPr>
                <w:p>
                  <w:pPr>
                    <w:jc w:val="center"/>
                    <w:rPr>
                      <w:color w:val="000000"/>
                      <w:szCs w:val="21"/>
                    </w:rPr>
                  </w:pPr>
                </w:p>
              </w:tc>
              <w:tc>
                <w:tcPr>
                  <w:tcW w:w="870" w:type="dxa"/>
                  <w:tcBorders>
                    <w:tl2br w:val="nil"/>
                    <w:tr2bl w:val="nil"/>
                  </w:tcBorders>
                  <w:noWrap/>
                  <w:vAlign w:val="center"/>
                </w:tcPr>
                <w:p>
                  <w:pPr>
                    <w:jc w:val="center"/>
                    <w:rPr>
                      <w:szCs w:val="21"/>
                    </w:rPr>
                  </w:pPr>
                  <w:r>
                    <w:rPr>
                      <w:szCs w:val="21"/>
                    </w:rPr>
                    <w:t>3次</w:t>
                  </w:r>
                </w:p>
              </w:tc>
              <w:tc>
                <w:tcPr>
                  <w:tcW w:w="870" w:type="dxa"/>
                  <w:tcBorders>
                    <w:tl2br w:val="nil"/>
                    <w:tr2bl w:val="nil"/>
                  </w:tcBorders>
                  <w:noWrap/>
                  <w:vAlign w:val="center"/>
                </w:tcPr>
                <w:p>
                  <w:pPr>
                    <w:jc w:val="center"/>
                    <w:rPr>
                      <w:color w:val="000000"/>
                      <w:szCs w:val="21"/>
                    </w:rPr>
                  </w:pPr>
                  <w:r>
                    <w:rPr>
                      <w:color w:val="000000"/>
                      <w:szCs w:val="21"/>
                    </w:rPr>
                    <w:t>6.72</w:t>
                  </w:r>
                </w:p>
              </w:tc>
              <w:tc>
                <w:tcPr>
                  <w:tcW w:w="1022" w:type="dxa"/>
                  <w:tcBorders>
                    <w:tl2br w:val="nil"/>
                    <w:tr2bl w:val="nil"/>
                  </w:tcBorders>
                  <w:noWrap/>
                  <w:vAlign w:val="center"/>
                </w:tcPr>
                <w:p>
                  <w:pPr>
                    <w:jc w:val="center"/>
                    <w:rPr>
                      <w:color w:val="000000"/>
                      <w:szCs w:val="21"/>
                    </w:rPr>
                  </w:pPr>
                  <w:r>
                    <w:rPr>
                      <w:color w:val="000000"/>
                      <w:szCs w:val="21"/>
                    </w:rPr>
                    <w:t>229</w:t>
                  </w:r>
                </w:p>
              </w:tc>
              <w:tc>
                <w:tcPr>
                  <w:tcW w:w="1015" w:type="dxa"/>
                  <w:tcBorders>
                    <w:tl2br w:val="nil"/>
                    <w:tr2bl w:val="nil"/>
                  </w:tcBorders>
                  <w:noWrap/>
                  <w:vAlign w:val="center"/>
                </w:tcPr>
                <w:p>
                  <w:pPr>
                    <w:jc w:val="center"/>
                    <w:rPr>
                      <w:color w:val="000000"/>
                      <w:szCs w:val="21"/>
                    </w:rPr>
                  </w:pPr>
                  <w:r>
                    <w:rPr>
                      <w:color w:val="000000"/>
                      <w:szCs w:val="21"/>
                    </w:rPr>
                    <w:t>6.64</w:t>
                  </w:r>
                </w:p>
              </w:tc>
              <w:tc>
                <w:tcPr>
                  <w:tcW w:w="1132" w:type="dxa"/>
                  <w:tcBorders>
                    <w:tl2br w:val="nil"/>
                    <w:tr2bl w:val="nil"/>
                  </w:tcBorders>
                  <w:noWrap/>
                  <w:vAlign w:val="center"/>
                </w:tcPr>
                <w:p>
                  <w:pPr>
                    <w:jc w:val="center"/>
                    <w:rPr>
                      <w:color w:val="000000"/>
                      <w:szCs w:val="21"/>
                    </w:rPr>
                  </w:pPr>
                  <w:r>
                    <w:rPr>
                      <w:color w:val="000000"/>
                      <w:szCs w:val="21"/>
                    </w:rPr>
                    <w:t>ND</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833" w:type="dxa"/>
                  <w:vMerge w:val="restart"/>
                  <w:tcBorders>
                    <w:tl2br w:val="nil"/>
                    <w:tr2bl w:val="nil"/>
                  </w:tcBorders>
                  <w:noWrap/>
                  <w:vAlign w:val="center"/>
                </w:tcPr>
                <w:p>
                  <w:pPr>
                    <w:jc w:val="center"/>
                    <w:rPr>
                      <w:szCs w:val="21"/>
                    </w:rPr>
                  </w:pPr>
                  <w:r>
                    <w:rPr>
                      <w:szCs w:val="21"/>
                    </w:rPr>
                    <w:t>处理</w:t>
                  </w:r>
                </w:p>
                <w:p>
                  <w:pPr>
                    <w:jc w:val="center"/>
                    <w:rPr>
                      <w:szCs w:val="21"/>
                    </w:rPr>
                  </w:pPr>
                  <w:r>
                    <w:rPr>
                      <w:szCs w:val="21"/>
                    </w:rPr>
                    <w:t>设施</w:t>
                  </w:r>
                </w:p>
                <w:p>
                  <w:pPr>
                    <w:jc w:val="center"/>
                    <w:rPr>
                      <w:szCs w:val="21"/>
                    </w:rPr>
                  </w:pPr>
                  <w:r>
                    <w:rPr>
                      <w:szCs w:val="21"/>
                    </w:rPr>
                    <w:t>出口</w:t>
                  </w:r>
                </w:p>
              </w:tc>
              <w:tc>
                <w:tcPr>
                  <w:tcW w:w="734" w:type="dxa"/>
                  <w:vMerge w:val="restart"/>
                  <w:tcBorders>
                    <w:tl2br w:val="nil"/>
                    <w:tr2bl w:val="nil"/>
                  </w:tcBorders>
                  <w:noWrap/>
                  <w:vAlign w:val="center"/>
                </w:tcPr>
                <w:p>
                  <w:pPr>
                    <w:jc w:val="center"/>
                    <w:rPr>
                      <w:color w:val="000000"/>
                      <w:szCs w:val="21"/>
                    </w:rPr>
                  </w:pPr>
                  <w:r>
                    <w:rPr>
                      <w:color w:val="000000"/>
                      <w:szCs w:val="21"/>
                    </w:rPr>
                    <w:t>2021.3.26</w:t>
                  </w:r>
                </w:p>
              </w:tc>
              <w:tc>
                <w:tcPr>
                  <w:tcW w:w="870" w:type="dxa"/>
                  <w:tcBorders>
                    <w:tl2br w:val="nil"/>
                    <w:tr2bl w:val="nil"/>
                  </w:tcBorders>
                  <w:noWrap/>
                  <w:vAlign w:val="center"/>
                </w:tcPr>
                <w:p>
                  <w:pPr>
                    <w:jc w:val="center"/>
                    <w:rPr>
                      <w:szCs w:val="21"/>
                    </w:rPr>
                  </w:pPr>
                  <w:r>
                    <w:rPr>
                      <w:szCs w:val="21"/>
                    </w:rPr>
                    <w:t>1次</w:t>
                  </w:r>
                </w:p>
              </w:tc>
              <w:tc>
                <w:tcPr>
                  <w:tcW w:w="870" w:type="dxa"/>
                  <w:tcBorders>
                    <w:tl2br w:val="nil"/>
                    <w:tr2bl w:val="nil"/>
                  </w:tcBorders>
                  <w:noWrap/>
                  <w:vAlign w:val="center"/>
                </w:tcPr>
                <w:p>
                  <w:pPr>
                    <w:jc w:val="center"/>
                    <w:rPr>
                      <w:color w:val="000000"/>
                      <w:szCs w:val="21"/>
                    </w:rPr>
                  </w:pPr>
                  <w:r>
                    <w:rPr>
                      <w:color w:val="000000"/>
                      <w:szCs w:val="21"/>
                    </w:rPr>
                    <w:t>6.84</w:t>
                  </w:r>
                </w:p>
              </w:tc>
              <w:tc>
                <w:tcPr>
                  <w:tcW w:w="1022" w:type="dxa"/>
                  <w:tcBorders>
                    <w:tl2br w:val="nil"/>
                    <w:tr2bl w:val="nil"/>
                  </w:tcBorders>
                  <w:noWrap/>
                  <w:vAlign w:val="center"/>
                </w:tcPr>
                <w:p>
                  <w:pPr>
                    <w:jc w:val="center"/>
                    <w:rPr>
                      <w:color w:val="000000"/>
                      <w:szCs w:val="21"/>
                    </w:rPr>
                  </w:pPr>
                  <w:r>
                    <w:rPr>
                      <w:color w:val="000000"/>
                      <w:szCs w:val="21"/>
                    </w:rPr>
                    <w:t>61</w:t>
                  </w:r>
                </w:p>
              </w:tc>
              <w:tc>
                <w:tcPr>
                  <w:tcW w:w="1015" w:type="dxa"/>
                  <w:tcBorders>
                    <w:tl2br w:val="nil"/>
                    <w:tr2bl w:val="nil"/>
                  </w:tcBorders>
                  <w:noWrap/>
                  <w:vAlign w:val="center"/>
                </w:tcPr>
                <w:p>
                  <w:pPr>
                    <w:jc w:val="center"/>
                    <w:rPr>
                      <w:color w:val="000000"/>
                      <w:szCs w:val="21"/>
                    </w:rPr>
                  </w:pPr>
                  <w:r>
                    <w:rPr>
                      <w:color w:val="000000"/>
                      <w:szCs w:val="21"/>
                    </w:rPr>
                    <w:t>0.231</w:t>
                  </w:r>
                </w:p>
              </w:tc>
              <w:tc>
                <w:tcPr>
                  <w:tcW w:w="1132" w:type="dxa"/>
                  <w:tcBorders>
                    <w:tl2br w:val="nil"/>
                    <w:tr2bl w:val="nil"/>
                  </w:tcBorders>
                  <w:noWrap/>
                  <w:vAlign w:val="center"/>
                </w:tcPr>
                <w:p>
                  <w:pPr>
                    <w:jc w:val="center"/>
                    <w:rPr>
                      <w:color w:val="000000"/>
                      <w:szCs w:val="21"/>
                    </w:rPr>
                  </w:pPr>
                  <w:r>
                    <w:rPr>
                      <w:color w:val="000000"/>
                      <w:szCs w:val="21"/>
                    </w:rPr>
                    <w:t>ND</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60" w:hRule="atLeast"/>
                <w:jc w:val="center"/>
              </w:trPr>
              <w:tc>
                <w:tcPr>
                  <w:tcW w:w="833" w:type="dxa"/>
                  <w:vMerge w:val="continue"/>
                  <w:tcBorders>
                    <w:tl2br w:val="nil"/>
                    <w:tr2bl w:val="nil"/>
                  </w:tcBorders>
                  <w:noWrap/>
                  <w:vAlign w:val="center"/>
                </w:tcPr>
                <w:p>
                  <w:pPr>
                    <w:jc w:val="center"/>
                    <w:rPr>
                      <w:szCs w:val="21"/>
                    </w:rPr>
                  </w:pPr>
                </w:p>
              </w:tc>
              <w:tc>
                <w:tcPr>
                  <w:tcW w:w="734" w:type="dxa"/>
                  <w:vMerge w:val="continue"/>
                  <w:tcBorders>
                    <w:tl2br w:val="nil"/>
                    <w:tr2bl w:val="nil"/>
                  </w:tcBorders>
                  <w:noWrap/>
                  <w:vAlign w:val="center"/>
                </w:tcPr>
                <w:p>
                  <w:pPr>
                    <w:jc w:val="center"/>
                    <w:rPr>
                      <w:color w:val="000000"/>
                      <w:szCs w:val="21"/>
                    </w:rPr>
                  </w:pPr>
                </w:p>
              </w:tc>
              <w:tc>
                <w:tcPr>
                  <w:tcW w:w="870" w:type="dxa"/>
                  <w:tcBorders>
                    <w:tl2br w:val="nil"/>
                    <w:tr2bl w:val="nil"/>
                  </w:tcBorders>
                  <w:noWrap/>
                  <w:vAlign w:val="center"/>
                </w:tcPr>
                <w:p>
                  <w:pPr>
                    <w:jc w:val="center"/>
                    <w:rPr>
                      <w:szCs w:val="21"/>
                    </w:rPr>
                  </w:pPr>
                  <w:r>
                    <w:rPr>
                      <w:szCs w:val="21"/>
                    </w:rPr>
                    <w:t>2次</w:t>
                  </w:r>
                </w:p>
              </w:tc>
              <w:tc>
                <w:tcPr>
                  <w:tcW w:w="870" w:type="dxa"/>
                  <w:tcBorders>
                    <w:tl2br w:val="nil"/>
                    <w:tr2bl w:val="nil"/>
                  </w:tcBorders>
                  <w:noWrap/>
                  <w:vAlign w:val="center"/>
                </w:tcPr>
                <w:p>
                  <w:pPr>
                    <w:jc w:val="center"/>
                    <w:rPr>
                      <w:color w:val="000000"/>
                      <w:szCs w:val="21"/>
                    </w:rPr>
                  </w:pPr>
                  <w:r>
                    <w:rPr>
                      <w:color w:val="000000"/>
                      <w:szCs w:val="21"/>
                    </w:rPr>
                    <w:t>6.91</w:t>
                  </w:r>
                </w:p>
              </w:tc>
              <w:tc>
                <w:tcPr>
                  <w:tcW w:w="1022" w:type="dxa"/>
                  <w:tcBorders>
                    <w:tl2br w:val="nil"/>
                    <w:tr2bl w:val="nil"/>
                  </w:tcBorders>
                  <w:noWrap/>
                  <w:vAlign w:val="center"/>
                </w:tcPr>
                <w:p>
                  <w:pPr>
                    <w:jc w:val="center"/>
                    <w:rPr>
                      <w:color w:val="000000"/>
                      <w:szCs w:val="21"/>
                    </w:rPr>
                  </w:pPr>
                  <w:r>
                    <w:rPr>
                      <w:color w:val="000000"/>
                      <w:szCs w:val="21"/>
                    </w:rPr>
                    <w:t>65</w:t>
                  </w:r>
                </w:p>
              </w:tc>
              <w:tc>
                <w:tcPr>
                  <w:tcW w:w="1015" w:type="dxa"/>
                  <w:tcBorders>
                    <w:tl2br w:val="nil"/>
                    <w:tr2bl w:val="nil"/>
                  </w:tcBorders>
                  <w:noWrap/>
                  <w:vAlign w:val="center"/>
                </w:tcPr>
                <w:p>
                  <w:pPr>
                    <w:jc w:val="center"/>
                    <w:rPr>
                      <w:color w:val="000000"/>
                      <w:szCs w:val="21"/>
                    </w:rPr>
                  </w:pPr>
                  <w:r>
                    <w:rPr>
                      <w:color w:val="000000"/>
                      <w:szCs w:val="21"/>
                    </w:rPr>
                    <w:t>0.238</w:t>
                  </w:r>
                </w:p>
              </w:tc>
              <w:tc>
                <w:tcPr>
                  <w:tcW w:w="1132" w:type="dxa"/>
                  <w:tcBorders>
                    <w:tl2br w:val="nil"/>
                    <w:tr2bl w:val="nil"/>
                  </w:tcBorders>
                  <w:noWrap/>
                  <w:vAlign w:val="center"/>
                </w:tcPr>
                <w:p>
                  <w:pPr>
                    <w:jc w:val="center"/>
                    <w:rPr>
                      <w:color w:val="000000"/>
                      <w:szCs w:val="21"/>
                    </w:rPr>
                  </w:pPr>
                  <w:r>
                    <w:rPr>
                      <w:color w:val="000000"/>
                      <w:szCs w:val="21"/>
                    </w:rPr>
                    <w:t>ND</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60" w:hRule="atLeast"/>
                <w:jc w:val="center"/>
              </w:trPr>
              <w:tc>
                <w:tcPr>
                  <w:tcW w:w="833" w:type="dxa"/>
                  <w:vMerge w:val="continue"/>
                  <w:tcBorders>
                    <w:tl2br w:val="nil"/>
                    <w:tr2bl w:val="nil"/>
                  </w:tcBorders>
                  <w:noWrap/>
                  <w:vAlign w:val="center"/>
                </w:tcPr>
                <w:p>
                  <w:pPr>
                    <w:jc w:val="center"/>
                    <w:rPr>
                      <w:szCs w:val="21"/>
                    </w:rPr>
                  </w:pPr>
                  <w:r>
                    <w:rPr>
                      <w:szCs w:val="21"/>
                    </w:rPr>
                    <w:t>0.034</w:t>
                  </w:r>
                </w:p>
              </w:tc>
              <w:tc>
                <w:tcPr>
                  <w:tcW w:w="734" w:type="dxa"/>
                  <w:vMerge w:val="continue"/>
                  <w:tcBorders>
                    <w:tl2br w:val="nil"/>
                    <w:tr2bl w:val="nil"/>
                  </w:tcBorders>
                  <w:noWrap/>
                  <w:vAlign w:val="center"/>
                </w:tcPr>
                <w:p>
                  <w:pPr>
                    <w:jc w:val="center"/>
                    <w:rPr>
                      <w:color w:val="000000"/>
                      <w:szCs w:val="21"/>
                    </w:rPr>
                  </w:pPr>
                </w:p>
              </w:tc>
              <w:tc>
                <w:tcPr>
                  <w:tcW w:w="870" w:type="dxa"/>
                  <w:tcBorders>
                    <w:tl2br w:val="nil"/>
                    <w:tr2bl w:val="nil"/>
                  </w:tcBorders>
                  <w:noWrap/>
                  <w:vAlign w:val="center"/>
                </w:tcPr>
                <w:p>
                  <w:pPr>
                    <w:jc w:val="center"/>
                    <w:rPr>
                      <w:szCs w:val="21"/>
                    </w:rPr>
                  </w:pPr>
                  <w:r>
                    <w:rPr>
                      <w:szCs w:val="21"/>
                    </w:rPr>
                    <w:t>3次</w:t>
                  </w:r>
                </w:p>
              </w:tc>
              <w:tc>
                <w:tcPr>
                  <w:tcW w:w="870" w:type="dxa"/>
                  <w:tcBorders>
                    <w:tl2br w:val="nil"/>
                    <w:tr2bl w:val="nil"/>
                  </w:tcBorders>
                  <w:noWrap/>
                  <w:vAlign w:val="center"/>
                </w:tcPr>
                <w:p>
                  <w:pPr>
                    <w:jc w:val="center"/>
                    <w:rPr>
                      <w:color w:val="000000"/>
                      <w:szCs w:val="21"/>
                    </w:rPr>
                  </w:pPr>
                  <w:r>
                    <w:rPr>
                      <w:color w:val="000000"/>
                      <w:szCs w:val="21"/>
                    </w:rPr>
                    <w:t>6.89</w:t>
                  </w:r>
                </w:p>
              </w:tc>
              <w:tc>
                <w:tcPr>
                  <w:tcW w:w="1022" w:type="dxa"/>
                  <w:tcBorders>
                    <w:tl2br w:val="nil"/>
                    <w:tr2bl w:val="nil"/>
                  </w:tcBorders>
                  <w:noWrap/>
                  <w:vAlign w:val="center"/>
                </w:tcPr>
                <w:p>
                  <w:pPr>
                    <w:jc w:val="center"/>
                    <w:rPr>
                      <w:color w:val="000000"/>
                      <w:szCs w:val="21"/>
                    </w:rPr>
                  </w:pPr>
                  <w:r>
                    <w:rPr>
                      <w:color w:val="000000"/>
                      <w:szCs w:val="21"/>
                    </w:rPr>
                    <w:t>68</w:t>
                  </w:r>
                </w:p>
              </w:tc>
              <w:tc>
                <w:tcPr>
                  <w:tcW w:w="1015" w:type="dxa"/>
                  <w:tcBorders>
                    <w:tl2br w:val="nil"/>
                    <w:tr2bl w:val="nil"/>
                  </w:tcBorders>
                  <w:noWrap/>
                  <w:vAlign w:val="center"/>
                </w:tcPr>
                <w:p>
                  <w:pPr>
                    <w:jc w:val="center"/>
                    <w:rPr>
                      <w:color w:val="000000"/>
                      <w:szCs w:val="21"/>
                    </w:rPr>
                  </w:pPr>
                  <w:r>
                    <w:rPr>
                      <w:color w:val="000000"/>
                      <w:szCs w:val="21"/>
                    </w:rPr>
                    <w:t>0.244</w:t>
                  </w:r>
                </w:p>
              </w:tc>
              <w:tc>
                <w:tcPr>
                  <w:tcW w:w="1132" w:type="dxa"/>
                  <w:tcBorders>
                    <w:tl2br w:val="nil"/>
                    <w:tr2bl w:val="nil"/>
                  </w:tcBorders>
                  <w:noWrap/>
                  <w:vAlign w:val="center"/>
                </w:tcPr>
                <w:p>
                  <w:pPr>
                    <w:jc w:val="center"/>
                    <w:rPr>
                      <w:color w:val="000000"/>
                      <w:szCs w:val="21"/>
                    </w:rPr>
                  </w:pPr>
                  <w:r>
                    <w:rPr>
                      <w:color w:val="000000"/>
                      <w:szCs w:val="21"/>
                    </w:rPr>
                    <w:t>ND</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62" w:hRule="atLeast"/>
                <w:jc w:val="center"/>
              </w:trPr>
              <w:tc>
                <w:tcPr>
                  <w:tcW w:w="2437" w:type="dxa"/>
                  <w:gridSpan w:val="3"/>
                  <w:tcBorders>
                    <w:tl2br w:val="nil"/>
                    <w:tr2bl w:val="nil"/>
                  </w:tcBorders>
                  <w:noWrap/>
                  <w:vAlign w:val="center"/>
                </w:tcPr>
                <w:p>
                  <w:pPr>
                    <w:jc w:val="center"/>
                    <w:rPr>
                      <w:b/>
                      <w:szCs w:val="21"/>
                    </w:rPr>
                  </w:pPr>
                  <w:r>
                    <w:rPr>
                      <w:b/>
                      <w:szCs w:val="21"/>
                    </w:rPr>
                    <w:t>标准值</w:t>
                  </w:r>
                </w:p>
              </w:tc>
              <w:tc>
                <w:tcPr>
                  <w:tcW w:w="870" w:type="dxa"/>
                  <w:tcBorders>
                    <w:tl2br w:val="nil"/>
                    <w:tr2bl w:val="nil"/>
                  </w:tcBorders>
                  <w:noWrap/>
                  <w:vAlign w:val="center"/>
                </w:tcPr>
                <w:p>
                  <w:pPr>
                    <w:jc w:val="center"/>
                    <w:rPr>
                      <w:b/>
                      <w:color w:val="000000"/>
                      <w:szCs w:val="21"/>
                    </w:rPr>
                  </w:pPr>
                  <w:r>
                    <w:rPr>
                      <w:b/>
                      <w:color w:val="000000"/>
                      <w:szCs w:val="21"/>
                    </w:rPr>
                    <w:t>≤6-9</w:t>
                  </w:r>
                </w:p>
              </w:tc>
              <w:tc>
                <w:tcPr>
                  <w:tcW w:w="1022" w:type="dxa"/>
                  <w:tcBorders>
                    <w:tl2br w:val="nil"/>
                    <w:tr2bl w:val="nil"/>
                  </w:tcBorders>
                  <w:noWrap/>
                  <w:vAlign w:val="center"/>
                </w:tcPr>
                <w:p>
                  <w:pPr>
                    <w:jc w:val="center"/>
                    <w:rPr>
                      <w:b/>
                      <w:color w:val="000000"/>
                      <w:szCs w:val="21"/>
                    </w:rPr>
                  </w:pPr>
                  <w:r>
                    <w:rPr>
                      <w:b/>
                      <w:color w:val="000000"/>
                      <w:szCs w:val="21"/>
                    </w:rPr>
                    <w:t>≤100</w:t>
                  </w:r>
                </w:p>
              </w:tc>
              <w:tc>
                <w:tcPr>
                  <w:tcW w:w="1015" w:type="dxa"/>
                  <w:tcBorders>
                    <w:tl2br w:val="nil"/>
                    <w:tr2bl w:val="nil"/>
                  </w:tcBorders>
                  <w:noWrap/>
                  <w:vAlign w:val="center"/>
                </w:tcPr>
                <w:p>
                  <w:pPr>
                    <w:jc w:val="center"/>
                    <w:rPr>
                      <w:b/>
                      <w:color w:val="000000"/>
                      <w:szCs w:val="21"/>
                    </w:rPr>
                  </w:pPr>
                  <w:r>
                    <w:rPr>
                      <w:b/>
                      <w:color w:val="000000"/>
                      <w:szCs w:val="21"/>
                    </w:rPr>
                    <w:t>≤5</w:t>
                  </w:r>
                </w:p>
              </w:tc>
              <w:tc>
                <w:tcPr>
                  <w:tcW w:w="1132" w:type="dxa"/>
                  <w:tcBorders>
                    <w:tl2br w:val="nil"/>
                    <w:tr2bl w:val="nil"/>
                  </w:tcBorders>
                  <w:noWrap/>
                  <w:vAlign w:val="center"/>
                </w:tcPr>
                <w:p>
                  <w:pPr>
                    <w:jc w:val="center"/>
                    <w:rPr>
                      <w:b/>
                      <w:color w:val="000000"/>
                      <w:szCs w:val="21"/>
                    </w:rPr>
                  </w:pPr>
                  <w:r>
                    <w:rPr>
                      <w:b/>
                      <w:color w:val="000000"/>
                      <w:szCs w:val="21"/>
                    </w:rPr>
                    <w:t>≤1.0</w:t>
                  </w:r>
                </w:p>
              </w:tc>
            </w:tr>
          </w:tbl>
          <w:p>
            <w:pPr>
              <w:spacing w:line="360" w:lineRule="auto"/>
              <w:ind w:firstLine="482"/>
              <w:rPr>
                <w:kern w:val="0"/>
                <w:sz w:val="24"/>
                <w:u w:val="single"/>
              </w:rPr>
            </w:pPr>
            <w:r>
              <w:rPr>
                <w:rFonts w:hint="eastAsia"/>
                <w:kern w:val="0"/>
                <w:sz w:val="24"/>
                <w:u w:val="single"/>
              </w:rPr>
              <w:t>本项目污水</w:t>
            </w:r>
            <w:r>
              <w:rPr>
                <w:kern w:val="0"/>
                <w:sz w:val="24"/>
                <w:u w:val="single"/>
              </w:rPr>
              <w:t>并且不含有抑制生化反应的有毒有害物质，不会对污水处理厂的正常运营产生影响和冲击。</w:t>
            </w:r>
            <w:r>
              <w:rPr>
                <w:rFonts w:hint="eastAsia"/>
                <w:kern w:val="0"/>
                <w:sz w:val="24"/>
                <w:u w:val="single"/>
              </w:rPr>
              <w:t>岳阳县污水处理厂接纳项目污水是可行的。</w:t>
            </w:r>
          </w:p>
          <w:p>
            <w:pPr>
              <w:autoSpaceDE w:val="0"/>
              <w:autoSpaceDN w:val="0"/>
              <w:adjustRightInd w:val="0"/>
              <w:spacing w:line="360" w:lineRule="auto"/>
              <w:ind w:firstLine="480" w:firstLineChars="200"/>
              <w:rPr>
                <w:kern w:val="0"/>
                <w:sz w:val="24"/>
                <w:u w:val="single"/>
              </w:rPr>
            </w:pPr>
            <w:r>
              <w:rPr>
                <w:rFonts w:hint="eastAsia" w:ascii="宋体" w:cs="宋体"/>
                <w:kern w:val="0"/>
                <w:sz w:val="24"/>
                <w:u w:val="single"/>
              </w:rPr>
              <w:t>综上所述，岳阳县污水处理厂尚有处理余量，项目废水经预处理后纳管排放水质符合岳阳县污水处理厂水质要求，对岳阳县污水处理厂的正常运行不会造成不利影响，因此，项目废水经预处理后通过</w:t>
            </w:r>
            <w:r>
              <w:rPr>
                <w:kern w:val="0"/>
                <w:sz w:val="24"/>
                <w:u w:val="single"/>
              </w:rPr>
              <w:t>项目废水经预处理后通过</w:t>
            </w:r>
            <w:r>
              <w:rPr>
                <w:rFonts w:hint="eastAsia"/>
                <w:kern w:val="0"/>
                <w:sz w:val="24"/>
                <w:u w:val="single"/>
              </w:rPr>
              <w:t>污水转运车转运至</w:t>
            </w:r>
            <w:r>
              <w:rPr>
                <w:kern w:val="0"/>
                <w:sz w:val="24"/>
                <w:u w:val="single"/>
              </w:rPr>
              <w:t>岳阳县污水处理厂统一处理是可行的</w:t>
            </w:r>
            <w:r>
              <w:rPr>
                <w:rFonts w:hint="eastAsia"/>
                <w:kern w:val="0"/>
                <w:sz w:val="24"/>
                <w:u w:val="single"/>
              </w:rPr>
              <w:t>。</w:t>
            </w:r>
          </w:p>
          <w:p>
            <w:pPr>
              <w:spacing w:line="360" w:lineRule="auto"/>
              <w:ind w:firstLine="482" w:firstLineChars="200"/>
              <w:rPr>
                <w:b/>
                <w:bCs/>
                <w:color w:val="000000"/>
                <w:sz w:val="24"/>
              </w:rPr>
            </w:pPr>
            <w:r>
              <w:rPr>
                <w:rFonts w:hint="eastAsia"/>
                <w:b/>
                <w:bCs/>
                <w:color w:val="000000"/>
                <w:sz w:val="24"/>
              </w:rPr>
              <w:t>3、噪声</w:t>
            </w:r>
          </w:p>
          <w:p>
            <w:pPr>
              <w:spacing w:line="360" w:lineRule="auto"/>
              <w:ind w:firstLine="555"/>
              <w:rPr>
                <w:rFonts w:cs="宋体"/>
                <w:sz w:val="24"/>
                <w:szCs w:val="24"/>
              </w:rPr>
            </w:pPr>
            <w:r>
              <w:rPr>
                <w:color w:val="000000"/>
                <w:sz w:val="24"/>
              </w:rPr>
              <w:t>项目建成后，</w:t>
            </w:r>
            <w:r>
              <w:rPr>
                <w:rFonts w:hint="eastAsia" w:cs="宋体"/>
                <w:sz w:val="24"/>
                <w:szCs w:val="24"/>
              </w:rPr>
              <w:t>本项目主要噪声源为船舶发动机以及自吸油泵产生的噪声。</w:t>
            </w:r>
            <w:bookmarkStart w:id="46" w:name="_Ref242447120"/>
          </w:p>
          <w:p>
            <w:pPr>
              <w:spacing w:line="360" w:lineRule="auto"/>
              <w:ind w:firstLine="555"/>
              <w:jc w:val="center"/>
              <w:rPr>
                <w:b/>
                <w:sz w:val="24"/>
              </w:rPr>
            </w:pPr>
            <w:r>
              <w:rPr>
                <w:rFonts w:hint="eastAsia" w:cs="宋体"/>
                <w:b/>
                <w:sz w:val="24"/>
              </w:rPr>
              <w:t>表</w:t>
            </w:r>
            <w:bookmarkEnd w:id="46"/>
            <w:r>
              <w:rPr>
                <w:rFonts w:hint="eastAsia"/>
                <w:b/>
                <w:sz w:val="24"/>
              </w:rPr>
              <w:t>4-6</w:t>
            </w:r>
            <w:r>
              <w:rPr>
                <w:rFonts w:hint="eastAsia" w:cs="宋体"/>
                <w:b/>
                <w:sz w:val="24"/>
              </w:rPr>
              <w:t>项目主要噪声源强表</w:t>
            </w:r>
          </w:p>
          <w:tbl>
            <w:tblPr>
              <w:tblStyle w:val="24"/>
              <w:tblW w:w="7918"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2431"/>
              <w:gridCol w:w="2027"/>
              <w:gridCol w:w="346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255" w:hRule="atLeast"/>
                <w:jc w:val="center"/>
              </w:trPr>
              <w:tc>
                <w:tcPr>
                  <w:tcW w:w="2431" w:type="dxa"/>
                  <w:noWrap/>
                  <w:vAlign w:val="center"/>
                </w:tcPr>
                <w:p>
                  <w:pPr>
                    <w:pStyle w:val="20"/>
                    <w:adjustRightInd w:val="0"/>
                    <w:snapToGrid w:val="0"/>
                    <w:spacing w:before="0" w:beforeAutospacing="0" w:after="0" w:afterAutospacing="0"/>
                    <w:jc w:val="center"/>
                    <w:rPr>
                      <w:szCs w:val="21"/>
                    </w:rPr>
                  </w:pPr>
                  <w:r>
                    <w:rPr>
                      <w:rFonts w:eastAsia="Times New Roman"/>
                      <w:kern w:val="2"/>
                      <w:sz w:val="21"/>
                      <w:szCs w:val="21"/>
                    </w:rPr>
                    <w:t>噪声产生源</w:t>
                  </w:r>
                </w:p>
              </w:tc>
              <w:tc>
                <w:tcPr>
                  <w:tcW w:w="2027" w:type="dxa"/>
                  <w:noWrap/>
                  <w:vAlign w:val="center"/>
                </w:tcPr>
                <w:p>
                  <w:pPr>
                    <w:pStyle w:val="20"/>
                    <w:adjustRightInd w:val="0"/>
                    <w:snapToGrid w:val="0"/>
                    <w:spacing w:before="0" w:beforeAutospacing="0" w:after="0" w:afterAutospacing="0"/>
                    <w:jc w:val="center"/>
                    <w:rPr>
                      <w:szCs w:val="21"/>
                    </w:rPr>
                  </w:pPr>
                  <w:r>
                    <w:rPr>
                      <w:rFonts w:eastAsia="Times New Roman"/>
                      <w:kern w:val="2"/>
                      <w:sz w:val="21"/>
                      <w:szCs w:val="21"/>
                    </w:rPr>
                    <w:t>产生方式</w:t>
                  </w:r>
                </w:p>
              </w:tc>
              <w:tc>
                <w:tcPr>
                  <w:tcW w:w="3460" w:type="dxa"/>
                  <w:noWrap/>
                  <w:vAlign w:val="center"/>
                </w:tcPr>
                <w:p>
                  <w:pPr>
                    <w:pStyle w:val="20"/>
                    <w:adjustRightInd w:val="0"/>
                    <w:snapToGrid w:val="0"/>
                    <w:spacing w:before="0" w:beforeAutospacing="0" w:after="0" w:afterAutospacing="0"/>
                    <w:jc w:val="center"/>
                    <w:rPr>
                      <w:szCs w:val="21"/>
                    </w:rPr>
                  </w:pPr>
                  <w:r>
                    <w:rPr>
                      <w:rFonts w:eastAsia="Times New Roman"/>
                      <w:kern w:val="2"/>
                      <w:sz w:val="21"/>
                      <w:szCs w:val="21"/>
                    </w:rPr>
                    <w:t>产生量（dB(A)）</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9" w:hRule="atLeast"/>
                <w:jc w:val="center"/>
              </w:trPr>
              <w:tc>
                <w:tcPr>
                  <w:tcW w:w="2431" w:type="dxa"/>
                  <w:noWrap/>
                  <w:vAlign w:val="center"/>
                </w:tcPr>
                <w:p>
                  <w:pPr>
                    <w:pStyle w:val="20"/>
                    <w:snapToGrid w:val="0"/>
                    <w:spacing w:before="0" w:beforeAutospacing="0" w:after="0" w:afterAutospacing="0"/>
                    <w:jc w:val="center"/>
                    <w:rPr>
                      <w:sz w:val="21"/>
                      <w:szCs w:val="21"/>
                    </w:rPr>
                  </w:pPr>
                  <w:r>
                    <w:rPr>
                      <w:rFonts w:hint="eastAsia"/>
                      <w:sz w:val="21"/>
                      <w:szCs w:val="21"/>
                    </w:rPr>
                    <w:t>船舶发动机</w:t>
                  </w:r>
                </w:p>
              </w:tc>
              <w:tc>
                <w:tcPr>
                  <w:tcW w:w="2027" w:type="dxa"/>
                  <w:noWrap/>
                  <w:vAlign w:val="center"/>
                </w:tcPr>
                <w:p>
                  <w:pPr>
                    <w:jc w:val="center"/>
                    <w:rPr>
                      <w:rFonts w:cs="宋体"/>
                      <w:szCs w:val="21"/>
                    </w:rPr>
                  </w:pPr>
                  <w:r>
                    <w:rPr>
                      <w:rFonts w:hint="eastAsia" w:cs="宋体"/>
                      <w:szCs w:val="21"/>
                    </w:rPr>
                    <w:t>连续</w:t>
                  </w:r>
                </w:p>
              </w:tc>
              <w:tc>
                <w:tcPr>
                  <w:tcW w:w="3460" w:type="dxa"/>
                  <w:noWrap/>
                  <w:vAlign w:val="center"/>
                </w:tcPr>
                <w:p>
                  <w:pPr>
                    <w:jc w:val="center"/>
                    <w:rPr>
                      <w:szCs w:val="21"/>
                    </w:rPr>
                  </w:pPr>
                  <w:r>
                    <w:rPr>
                      <w:rFonts w:hint="eastAsia"/>
                      <w:szCs w:val="21"/>
                    </w:rPr>
                    <w:t>95-100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284" w:hRule="atLeast"/>
                <w:jc w:val="center"/>
              </w:trPr>
              <w:tc>
                <w:tcPr>
                  <w:tcW w:w="2431" w:type="dxa"/>
                  <w:noWrap/>
                  <w:vAlign w:val="center"/>
                </w:tcPr>
                <w:p>
                  <w:pPr>
                    <w:pStyle w:val="20"/>
                    <w:snapToGrid w:val="0"/>
                    <w:spacing w:before="0" w:beforeAutospacing="0" w:after="0" w:afterAutospacing="0"/>
                    <w:jc w:val="center"/>
                  </w:pPr>
                  <w:r>
                    <w:rPr>
                      <w:rFonts w:hint="eastAsia"/>
                      <w:sz w:val="21"/>
                      <w:szCs w:val="21"/>
                    </w:rPr>
                    <w:t>自吸油泵</w:t>
                  </w:r>
                </w:p>
              </w:tc>
              <w:tc>
                <w:tcPr>
                  <w:tcW w:w="2027" w:type="dxa"/>
                  <w:noWrap/>
                  <w:vAlign w:val="center"/>
                </w:tcPr>
                <w:p>
                  <w:pPr>
                    <w:jc w:val="center"/>
                    <w:rPr>
                      <w:szCs w:val="21"/>
                    </w:rPr>
                  </w:pPr>
                  <w:r>
                    <w:rPr>
                      <w:rFonts w:hint="eastAsia" w:cs="宋体"/>
                      <w:szCs w:val="21"/>
                    </w:rPr>
                    <w:t>间断</w:t>
                  </w:r>
                </w:p>
              </w:tc>
              <w:tc>
                <w:tcPr>
                  <w:tcW w:w="3460" w:type="dxa"/>
                  <w:noWrap/>
                  <w:vAlign w:val="center"/>
                </w:tcPr>
                <w:p>
                  <w:pPr>
                    <w:jc w:val="center"/>
                    <w:rPr>
                      <w:szCs w:val="21"/>
                    </w:rPr>
                  </w:pPr>
                  <w:r>
                    <w:rPr>
                      <w:szCs w:val="21"/>
                    </w:rPr>
                    <w:t>≤85</w:t>
                  </w:r>
                </w:p>
              </w:tc>
            </w:tr>
          </w:tbl>
          <w:p>
            <w:pPr>
              <w:spacing w:line="360" w:lineRule="auto"/>
              <w:ind w:firstLine="480" w:firstLineChars="200"/>
              <w:rPr>
                <w:sz w:val="24"/>
                <w:szCs w:val="24"/>
              </w:rPr>
            </w:pPr>
            <w:r>
              <w:rPr>
                <w:rFonts w:hint="eastAsia" w:cs="宋体"/>
                <w:kern w:val="0"/>
                <w:sz w:val="24"/>
                <w:szCs w:val="34"/>
              </w:rPr>
              <w:t>本项目禁止夜间作业；白天运营时，船舶行驶在航道中，一般距河道两侧居民点200m以上，基本无影响</w:t>
            </w:r>
            <w:r>
              <w:rPr>
                <w:sz w:val="24"/>
                <w:szCs w:val="24"/>
              </w:rPr>
              <w:t>。</w:t>
            </w:r>
          </w:p>
          <w:p>
            <w:pPr>
              <w:spacing w:before="120" w:beforeLines="50" w:line="360" w:lineRule="auto"/>
              <w:ind w:firstLine="482" w:firstLineChars="200"/>
              <w:rPr>
                <w:rFonts w:ascii="宋体" w:hAnsi="宋体"/>
                <w:b/>
                <w:color w:val="000000"/>
                <w:sz w:val="24"/>
              </w:rPr>
            </w:pPr>
            <w:r>
              <w:rPr>
                <w:rFonts w:hint="eastAsia" w:ascii="宋体" w:hAnsi="宋体"/>
                <w:b/>
                <w:color w:val="000000"/>
                <w:sz w:val="24"/>
              </w:rPr>
              <w:t>4、</w:t>
            </w:r>
            <w:r>
              <w:rPr>
                <w:rFonts w:ascii="宋体" w:hAnsi="宋体"/>
                <w:b/>
                <w:color w:val="000000"/>
                <w:sz w:val="24"/>
              </w:rPr>
              <w:t>固</w:t>
            </w:r>
            <w:r>
              <w:rPr>
                <w:rFonts w:hint="eastAsia" w:ascii="宋体" w:hAnsi="宋体"/>
                <w:b/>
                <w:color w:val="000000"/>
                <w:sz w:val="24"/>
              </w:rPr>
              <w:t>废</w:t>
            </w:r>
          </w:p>
          <w:p>
            <w:pPr>
              <w:pStyle w:val="42"/>
              <w:spacing w:line="360" w:lineRule="auto"/>
              <w:ind w:firstLine="480" w:firstLineChars="200"/>
            </w:pPr>
            <w:r>
              <w:rPr>
                <w:rFonts w:hAnsi="宋体"/>
              </w:rPr>
              <w:t>本项目在</w:t>
            </w:r>
            <w:r>
              <w:rPr>
                <w:rFonts w:hint="eastAsia" w:hAnsi="宋体"/>
              </w:rPr>
              <w:t>营运</w:t>
            </w:r>
            <w:r>
              <w:rPr>
                <w:rFonts w:hAnsi="宋体"/>
              </w:rPr>
              <w:t>过程中会产生固体废弃物，其具体的产生情况见下：</w:t>
            </w:r>
          </w:p>
          <w:p>
            <w:pPr>
              <w:pStyle w:val="50"/>
              <w:spacing w:line="360" w:lineRule="auto"/>
              <w:rPr>
                <w:rFonts w:cs="Times New Roman"/>
              </w:rPr>
            </w:pPr>
            <w:r>
              <w:rPr>
                <w:rFonts w:hAnsi="宋体" w:cs="Times New Roman"/>
              </w:rPr>
              <w:t>（</w:t>
            </w:r>
            <w:r>
              <w:rPr>
                <w:rFonts w:cs="Times New Roman"/>
              </w:rPr>
              <w:t>1</w:t>
            </w:r>
            <w:r>
              <w:rPr>
                <w:rFonts w:hAnsi="宋体" w:cs="Times New Roman"/>
              </w:rPr>
              <w:t>）</w:t>
            </w:r>
            <w:r>
              <w:rPr>
                <w:rFonts w:hint="eastAsia" w:hAnsi="宋体" w:cs="Times New Roman"/>
              </w:rPr>
              <w:t>废油</w:t>
            </w:r>
          </w:p>
          <w:p>
            <w:pPr>
              <w:pStyle w:val="50"/>
              <w:spacing w:line="360" w:lineRule="auto"/>
              <w:rPr>
                <w:rFonts w:cs="Times New Roman"/>
              </w:rPr>
            </w:pPr>
            <w:r>
              <w:rPr>
                <w:rFonts w:cs="Times New Roman"/>
              </w:rPr>
              <w:t>本项目废油包括回收的含油废水处理产生的废油（</w:t>
            </w:r>
            <w:r>
              <w:rPr>
                <w:rFonts w:hint="eastAsia" w:cs="Times New Roman"/>
              </w:rPr>
              <w:t>7</w:t>
            </w:r>
            <w:r>
              <w:rPr>
                <w:rFonts w:cs="Times New Roman"/>
              </w:rPr>
              <w:t>00t/a）以及回收的</w:t>
            </w:r>
            <w:r>
              <w:rPr>
                <w:rFonts w:hint="eastAsia" w:cs="Times New Roman"/>
              </w:rPr>
              <w:t>废机</w:t>
            </w:r>
            <w:r>
              <w:rPr>
                <w:rFonts w:cs="Times New Roman"/>
              </w:rPr>
              <w:t>油（</w:t>
            </w:r>
            <w:r>
              <w:rPr>
                <w:rFonts w:hint="eastAsia" w:cs="Times New Roman"/>
              </w:rPr>
              <w:t>3</w:t>
            </w:r>
            <w:r>
              <w:rPr>
                <w:rFonts w:cs="Times New Roman"/>
              </w:rPr>
              <w:t>00t），共1000t/a，一起</w:t>
            </w:r>
            <w:r>
              <w:rPr>
                <w:rFonts w:cs="Times New Roman"/>
                <w:szCs w:val="24"/>
              </w:rPr>
              <w:t>交由远大（湖南）再生燃油股份有限公司处理</w:t>
            </w:r>
            <w:r>
              <w:rPr>
                <w:rFonts w:cs="Times New Roman"/>
              </w:rPr>
              <w:t>，</w:t>
            </w:r>
            <w:r>
              <w:rPr>
                <w:rFonts w:cs="Times New Roman"/>
                <w:szCs w:val="24"/>
              </w:rPr>
              <w:t>属于《国家危险废物名录》中HW08类</w:t>
            </w:r>
            <w:r>
              <w:rPr>
                <w:rFonts w:hint="eastAsia"/>
                <w:bCs/>
                <w:szCs w:val="21"/>
              </w:rPr>
              <w:t>（071-001-08）</w:t>
            </w:r>
            <w:r>
              <w:rPr>
                <w:rFonts w:cs="Times New Roman"/>
                <w:szCs w:val="24"/>
              </w:rPr>
              <w:t>危险物。</w:t>
            </w:r>
          </w:p>
          <w:p>
            <w:pPr>
              <w:spacing w:line="360" w:lineRule="auto"/>
              <w:ind w:firstLine="480"/>
              <w:rPr>
                <w:sz w:val="24"/>
              </w:rPr>
            </w:pPr>
            <w:r>
              <w:rPr>
                <w:rFonts w:hAnsi="宋体"/>
                <w:sz w:val="24"/>
                <w:szCs w:val="24"/>
              </w:rPr>
              <w:t>（</w:t>
            </w:r>
            <w:r>
              <w:rPr>
                <w:rFonts w:hint="eastAsia"/>
                <w:sz w:val="24"/>
                <w:szCs w:val="24"/>
              </w:rPr>
              <w:t>2</w:t>
            </w:r>
            <w:r>
              <w:rPr>
                <w:rFonts w:hAnsi="宋体"/>
                <w:sz w:val="24"/>
                <w:szCs w:val="24"/>
              </w:rPr>
              <w:t>）</w:t>
            </w:r>
            <w:r>
              <w:rPr>
                <w:rFonts w:hint="eastAsia" w:hAnsi="宋体"/>
                <w:sz w:val="24"/>
              </w:rPr>
              <w:t>生活垃圾</w:t>
            </w:r>
          </w:p>
          <w:p>
            <w:pPr>
              <w:pStyle w:val="50"/>
              <w:spacing w:line="360" w:lineRule="auto"/>
              <w:rPr>
                <w:color w:val="000000"/>
              </w:rPr>
            </w:pPr>
            <w:r>
              <w:t>本项目</w:t>
            </w:r>
            <w:r>
              <w:rPr>
                <w:rFonts w:hint="eastAsia"/>
              </w:rPr>
              <w:t>年接收生活垃圾600吨，生活垃圾经暂存后人员交由岳阳缘立清洁服务有限公司转运岳阳县市容环境卫生服务中心处理</w:t>
            </w:r>
            <w:r>
              <w:t>。</w:t>
            </w:r>
            <w:r>
              <w:rPr>
                <w:rFonts w:hint="eastAsia"/>
                <w:bCs/>
              </w:rPr>
              <w:br w:type="textWrapping"/>
            </w:r>
            <w:r>
              <w:t>本项目产生的固体废物的来源、数量、属性等具体情况见下表</w:t>
            </w:r>
            <w:r>
              <w:rPr>
                <w:color w:val="000000"/>
              </w:rPr>
              <w:t>。</w:t>
            </w:r>
          </w:p>
          <w:p>
            <w:pPr>
              <w:adjustRightInd w:val="0"/>
              <w:spacing w:line="360" w:lineRule="auto"/>
              <w:ind w:firstLine="422" w:firstLineChars="200"/>
              <w:jc w:val="center"/>
              <w:rPr>
                <w:b/>
                <w:color w:val="000000"/>
                <w:szCs w:val="21"/>
              </w:rPr>
            </w:pPr>
            <w:r>
              <w:rPr>
                <w:b/>
                <w:color w:val="000000"/>
                <w:szCs w:val="21"/>
              </w:rPr>
              <w:t>表</w:t>
            </w:r>
            <w:r>
              <w:rPr>
                <w:rFonts w:hint="eastAsia"/>
                <w:b/>
                <w:color w:val="000000"/>
                <w:szCs w:val="21"/>
              </w:rPr>
              <w:t>4-7</w:t>
            </w:r>
            <w:r>
              <w:rPr>
                <w:b/>
                <w:color w:val="000000"/>
                <w:szCs w:val="21"/>
              </w:rPr>
              <w:t xml:space="preserve">   本项目固体废物产生情况一览表</w:t>
            </w:r>
          </w:p>
          <w:tbl>
            <w:tblPr>
              <w:tblStyle w:val="24"/>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85"/>
              <w:gridCol w:w="1215"/>
              <w:gridCol w:w="819"/>
              <w:gridCol w:w="1092"/>
              <w:gridCol w:w="2544"/>
              <w:gridCol w:w="172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485" w:type="dxa"/>
                  <w:tcBorders>
                    <w:tl2br w:val="nil"/>
                    <w:tr2bl w:val="nil"/>
                  </w:tcBorders>
                  <w:noWrap/>
                  <w:vAlign w:val="center"/>
                </w:tcPr>
                <w:p>
                  <w:pPr>
                    <w:ind w:left="-42" w:leftChars="-20" w:right="-42" w:rightChars="-20"/>
                    <w:jc w:val="center"/>
                    <w:rPr>
                      <w:color w:val="000000"/>
                      <w:szCs w:val="21"/>
                    </w:rPr>
                  </w:pPr>
                  <w:r>
                    <w:rPr>
                      <w:color w:val="000000"/>
                      <w:szCs w:val="21"/>
                    </w:rPr>
                    <w:t>序号</w:t>
                  </w:r>
                </w:p>
              </w:tc>
              <w:tc>
                <w:tcPr>
                  <w:tcW w:w="1215" w:type="dxa"/>
                  <w:tcBorders>
                    <w:tl2br w:val="nil"/>
                    <w:tr2bl w:val="nil"/>
                  </w:tcBorders>
                  <w:noWrap/>
                  <w:vAlign w:val="center"/>
                </w:tcPr>
                <w:p>
                  <w:pPr>
                    <w:ind w:left="-42" w:leftChars="-20" w:right="-42" w:rightChars="-20"/>
                    <w:jc w:val="center"/>
                    <w:rPr>
                      <w:color w:val="000000"/>
                      <w:szCs w:val="21"/>
                    </w:rPr>
                  </w:pPr>
                  <w:r>
                    <w:rPr>
                      <w:color w:val="000000"/>
                      <w:szCs w:val="21"/>
                    </w:rPr>
                    <w:t>产污工序</w:t>
                  </w:r>
                </w:p>
              </w:tc>
              <w:tc>
                <w:tcPr>
                  <w:tcW w:w="819" w:type="dxa"/>
                  <w:tcBorders>
                    <w:tl2br w:val="nil"/>
                    <w:tr2bl w:val="nil"/>
                  </w:tcBorders>
                  <w:noWrap/>
                  <w:vAlign w:val="center"/>
                </w:tcPr>
                <w:p>
                  <w:pPr>
                    <w:ind w:left="-42" w:leftChars="-20" w:right="-42" w:rightChars="-20"/>
                    <w:jc w:val="center"/>
                    <w:rPr>
                      <w:color w:val="000000"/>
                      <w:szCs w:val="21"/>
                    </w:rPr>
                  </w:pPr>
                  <w:r>
                    <w:rPr>
                      <w:color w:val="000000"/>
                      <w:szCs w:val="21"/>
                    </w:rPr>
                    <w:t>污染物</w:t>
                  </w:r>
                </w:p>
              </w:tc>
              <w:tc>
                <w:tcPr>
                  <w:tcW w:w="1092" w:type="dxa"/>
                  <w:tcBorders>
                    <w:tl2br w:val="nil"/>
                    <w:tr2bl w:val="nil"/>
                  </w:tcBorders>
                  <w:noWrap/>
                  <w:vAlign w:val="center"/>
                </w:tcPr>
                <w:p>
                  <w:pPr>
                    <w:ind w:left="-42" w:leftChars="-20" w:right="-42" w:rightChars="-20"/>
                    <w:jc w:val="center"/>
                    <w:rPr>
                      <w:color w:val="000000"/>
                      <w:szCs w:val="21"/>
                    </w:rPr>
                  </w:pPr>
                  <w:r>
                    <w:rPr>
                      <w:color w:val="000000"/>
                      <w:szCs w:val="21"/>
                    </w:rPr>
                    <w:t>产生量（t/a）</w:t>
                  </w:r>
                </w:p>
              </w:tc>
              <w:tc>
                <w:tcPr>
                  <w:tcW w:w="2544" w:type="dxa"/>
                  <w:tcBorders>
                    <w:tl2br w:val="nil"/>
                    <w:tr2bl w:val="nil"/>
                  </w:tcBorders>
                  <w:noWrap/>
                  <w:vAlign w:val="center"/>
                </w:tcPr>
                <w:p>
                  <w:pPr>
                    <w:ind w:right="-42" w:rightChars="-20"/>
                    <w:jc w:val="center"/>
                    <w:rPr>
                      <w:color w:val="000000"/>
                      <w:szCs w:val="21"/>
                    </w:rPr>
                  </w:pPr>
                  <w:r>
                    <w:rPr>
                      <w:color w:val="000000"/>
                      <w:szCs w:val="21"/>
                    </w:rPr>
                    <w:t>属性</w:t>
                  </w:r>
                </w:p>
              </w:tc>
              <w:tc>
                <w:tcPr>
                  <w:tcW w:w="1721" w:type="dxa"/>
                  <w:tcBorders>
                    <w:tl2br w:val="nil"/>
                    <w:tr2bl w:val="nil"/>
                  </w:tcBorders>
                  <w:noWrap/>
                  <w:vAlign w:val="center"/>
                </w:tcPr>
                <w:p>
                  <w:pPr>
                    <w:ind w:right="-42" w:rightChars="-20"/>
                    <w:jc w:val="center"/>
                    <w:rPr>
                      <w:color w:val="000000"/>
                      <w:szCs w:val="21"/>
                    </w:rPr>
                  </w:pPr>
                  <w:r>
                    <w:rPr>
                      <w:rFonts w:hint="eastAsia"/>
                      <w:color w:val="000000"/>
                      <w:szCs w:val="21"/>
                    </w:rPr>
                    <w:t>处置方式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485" w:type="dxa"/>
                  <w:tcBorders>
                    <w:tl2br w:val="nil"/>
                    <w:tr2bl w:val="nil"/>
                  </w:tcBorders>
                  <w:noWrap/>
                  <w:vAlign w:val="center"/>
                </w:tcPr>
                <w:p>
                  <w:pPr>
                    <w:ind w:left="-42" w:leftChars="-20" w:right="-42" w:rightChars="-20"/>
                    <w:jc w:val="center"/>
                    <w:rPr>
                      <w:color w:val="000000"/>
                      <w:szCs w:val="21"/>
                    </w:rPr>
                  </w:pPr>
                  <w:r>
                    <w:rPr>
                      <w:rFonts w:hint="eastAsia"/>
                      <w:color w:val="000000"/>
                      <w:szCs w:val="21"/>
                    </w:rPr>
                    <w:t>1</w:t>
                  </w:r>
                </w:p>
              </w:tc>
              <w:tc>
                <w:tcPr>
                  <w:tcW w:w="1215" w:type="dxa"/>
                  <w:tcBorders>
                    <w:tl2br w:val="nil"/>
                    <w:tr2bl w:val="nil"/>
                  </w:tcBorders>
                  <w:noWrap/>
                  <w:vAlign w:val="center"/>
                </w:tcPr>
                <w:p>
                  <w:pPr>
                    <w:ind w:left="-42" w:leftChars="-20" w:right="-42" w:rightChars="-20"/>
                    <w:jc w:val="center"/>
                    <w:rPr>
                      <w:color w:val="000000"/>
                      <w:szCs w:val="21"/>
                    </w:rPr>
                  </w:pPr>
                  <w:r>
                    <w:rPr>
                      <w:rFonts w:hint="eastAsia"/>
                      <w:color w:val="000000"/>
                      <w:szCs w:val="21"/>
                    </w:rPr>
                    <w:t>生活垃圾</w:t>
                  </w:r>
                </w:p>
              </w:tc>
              <w:tc>
                <w:tcPr>
                  <w:tcW w:w="819" w:type="dxa"/>
                  <w:tcBorders>
                    <w:tl2br w:val="nil"/>
                    <w:tr2bl w:val="nil"/>
                  </w:tcBorders>
                  <w:noWrap/>
                  <w:vAlign w:val="center"/>
                </w:tcPr>
                <w:p>
                  <w:pPr>
                    <w:ind w:left="-42" w:leftChars="-20" w:right="-42" w:rightChars="-20"/>
                    <w:jc w:val="center"/>
                    <w:rPr>
                      <w:color w:val="000000"/>
                      <w:szCs w:val="21"/>
                    </w:rPr>
                  </w:pPr>
                  <w:r>
                    <w:rPr>
                      <w:rFonts w:hint="eastAsia"/>
                      <w:color w:val="000000"/>
                      <w:szCs w:val="21"/>
                    </w:rPr>
                    <w:t>生活垃圾</w:t>
                  </w:r>
                </w:p>
              </w:tc>
              <w:tc>
                <w:tcPr>
                  <w:tcW w:w="1092" w:type="dxa"/>
                  <w:tcBorders>
                    <w:tl2br w:val="nil"/>
                    <w:tr2bl w:val="nil"/>
                  </w:tcBorders>
                  <w:noWrap/>
                  <w:vAlign w:val="center"/>
                </w:tcPr>
                <w:p>
                  <w:pPr>
                    <w:ind w:left="-42" w:leftChars="-20" w:right="-42" w:rightChars="-20"/>
                    <w:jc w:val="center"/>
                    <w:rPr>
                      <w:color w:val="000000"/>
                      <w:szCs w:val="21"/>
                    </w:rPr>
                  </w:pPr>
                  <w:r>
                    <w:rPr>
                      <w:rFonts w:hint="eastAsia"/>
                      <w:color w:val="000000"/>
                      <w:szCs w:val="21"/>
                    </w:rPr>
                    <w:t>600</w:t>
                  </w:r>
                </w:p>
              </w:tc>
              <w:tc>
                <w:tcPr>
                  <w:tcW w:w="2544" w:type="dxa"/>
                  <w:tcBorders>
                    <w:tl2br w:val="nil"/>
                    <w:tr2bl w:val="nil"/>
                  </w:tcBorders>
                  <w:noWrap/>
                  <w:vAlign w:val="center"/>
                </w:tcPr>
                <w:p>
                  <w:pPr>
                    <w:jc w:val="center"/>
                    <w:rPr>
                      <w:szCs w:val="21"/>
                    </w:rPr>
                  </w:pPr>
                  <w:r>
                    <w:rPr>
                      <w:color w:val="000000"/>
                      <w:szCs w:val="21"/>
                    </w:rPr>
                    <w:t>一般固废</w:t>
                  </w:r>
                </w:p>
              </w:tc>
              <w:tc>
                <w:tcPr>
                  <w:tcW w:w="1721" w:type="dxa"/>
                  <w:tcBorders>
                    <w:tl2br w:val="nil"/>
                    <w:tr2bl w:val="nil"/>
                  </w:tcBorders>
                  <w:noWrap/>
                  <w:vAlign w:val="center"/>
                </w:tcPr>
                <w:p>
                  <w:pPr>
                    <w:ind w:right="-42" w:rightChars="-20"/>
                    <w:jc w:val="center"/>
                    <w:rPr>
                      <w:color w:val="000000"/>
                      <w:szCs w:val="21"/>
                    </w:rPr>
                  </w:pPr>
                  <w:r>
                    <w:rPr>
                      <w:rFonts w:hint="eastAsia"/>
                    </w:rPr>
                    <w:t>交由环卫部门处理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485" w:type="dxa"/>
                  <w:tcBorders>
                    <w:tl2br w:val="nil"/>
                    <w:tr2bl w:val="nil"/>
                  </w:tcBorders>
                  <w:noWrap/>
                  <w:vAlign w:val="center"/>
                </w:tcPr>
                <w:p>
                  <w:pPr>
                    <w:ind w:left="-42" w:leftChars="-20" w:right="-42" w:rightChars="-20"/>
                    <w:jc w:val="center"/>
                    <w:rPr>
                      <w:color w:val="000000"/>
                      <w:szCs w:val="21"/>
                    </w:rPr>
                  </w:pPr>
                  <w:r>
                    <w:rPr>
                      <w:rFonts w:hint="eastAsia"/>
                      <w:color w:val="000000"/>
                      <w:szCs w:val="21"/>
                    </w:rPr>
                    <w:t>2</w:t>
                  </w:r>
                </w:p>
              </w:tc>
              <w:tc>
                <w:tcPr>
                  <w:tcW w:w="1215" w:type="dxa"/>
                  <w:tcBorders>
                    <w:tl2br w:val="nil"/>
                    <w:tr2bl w:val="nil"/>
                  </w:tcBorders>
                  <w:noWrap/>
                  <w:vAlign w:val="center"/>
                </w:tcPr>
                <w:p>
                  <w:pPr>
                    <w:ind w:left="-42" w:leftChars="-20" w:right="-42" w:rightChars="-20"/>
                    <w:jc w:val="center"/>
                    <w:rPr>
                      <w:color w:val="000000"/>
                      <w:szCs w:val="21"/>
                    </w:rPr>
                  </w:pPr>
                  <w:r>
                    <w:rPr>
                      <w:rFonts w:hint="eastAsia"/>
                      <w:color w:val="000000"/>
                      <w:szCs w:val="21"/>
                    </w:rPr>
                    <w:t>接收废机油</w:t>
                  </w:r>
                </w:p>
              </w:tc>
              <w:tc>
                <w:tcPr>
                  <w:tcW w:w="819" w:type="dxa"/>
                  <w:tcBorders>
                    <w:tl2br w:val="nil"/>
                    <w:tr2bl w:val="nil"/>
                  </w:tcBorders>
                  <w:noWrap/>
                  <w:vAlign w:val="center"/>
                </w:tcPr>
                <w:p>
                  <w:pPr>
                    <w:ind w:left="-42" w:leftChars="-20" w:right="-42" w:rightChars="-20"/>
                    <w:jc w:val="center"/>
                    <w:rPr>
                      <w:color w:val="000000"/>
                      <w:szCs w:val="21"/>
                    </w:rPr>
                  </w:pPr>
                  <w:r>
                    <w:rPr>
                      <w:rFonts w:hint="eastAsia"/>
                      <w:color w:val="000000"/>
                      <w:szCs w:val="21"/>
                    </w:rPr>
                    <w:t>废油</w:t>
                  </w:r>
                </w:p>
              </w:tc>
              <w:tc>
                <w:tcPr>
                  <w:tcW w:w="1092" w:type="dxa"/>
                  <w:tcBorders>
                    <w:tl2br w:val="nil"/>
                    <w:tr2bl w:val="nil"/>
                  </w:tcBorders>
                  <w:noWrap/>
                  <w:vAlign w:val="center"/>
                </w:tcPr>
                <w:p>
                  <w:pPr>
                    <w:ind w:left="-42" w:leftChars="-20" w:right="-42" w:rightChars="-20"/>
                    <w:jc w:val="center"/>
                    <w:rPr>
                      <w:color w:val="000000"/>
                      <w:szCs w:val="21"/>
                    </w:rPr>
                  </w:pPr>
                  <w:r>
                    <w:rPr>
                      <w:rFonts w:hint="eastAsia"/>
                      <w:color w:val="000000"/>
                      <w:szCs w:val="21"/>
                    </w:rPr>
                    <w:t>1000</w:t>
                  </w:r>
                </w:p>
              </w:tc>
              <w:tc>
                <w:tcPr>
                  <w:tcW w:w="2544" w:type="dxa"/>
                  <w:tcBorders>
                    <w:tl2br w:val="nil"/>
                    <w:tr2bl w:val="nil"/>
                  </w:tcBorders>
                  <w:noWrap/>
                  <w:vAlign w:val="center"/>
                </w:tcPr>
                <w:p>
                  <w:pPr>
                    <w:jc w:val="center"/>
                    <w:rPr>
                      <w:color w:val="000000"/>
                      <w:szCs w:val="21"/>
                    </w:rPr>
                  </w:pPr>
                  <w:r>
                    <w:rPr>
                      <w:rFonts w:hint="eastAsia"/>
                      <w:color w:val="000000"/>
                      <w:szCs w:val="21"/>
                    </w:rPr>
                    <w:t>危险废物，</w:t>
                  </w:r>
                  <w:r>
                    <w:rPr>
                      <w:rFonts w:hint="eastAsia"/>
                      <w:bCs/>
                      <w:szCs w:val="21"/>
                    </w:rPr>
                    <w:t>（</w:t>
                  </w:r>
                  <w:r>
                    <w:rPr>
                      <w:rFonts w:hint="eastAsia"/>
                      <w:bCs/>
                      <w:szCs w:val="21"/>
                      <w:lang w:val="en-US" w:eastAsia="zh-CN"/>
                    </w:rPr>
                    <w:t>900</w:t>
                  </w:r>
                  <w:r>
                    <w:rPr>
                      <w:rFonts w:hint="eastAsia"/>
                      <w:bCs/>
                      <w:szCs w:val="21"/>
                    </w:rPr>
                    <w:t>-</w:t>
                  </w:r>
                  <w:r>
                    <w:rPr>
                      <w:rFonts w:hint="eastAsia"/>
                      <w:bCs/>
                      <w:szCs w:val="21"/>
                      <w:lang w:val="en-US" w:eastAsia="zh-CN"/>
                    </w:rPr>
                    <w:t>210</w:t>
                  </w:r>
                  <w:r>
                    <w:rPr>
                      <w:rFonts w:hint="eastAsia"/>
                      <w:bCs/>
                      <w:szCs w:val="21"/>
                    </w:rPr>
                    <w:t>-08</w:t>
                  </w:r>
                  <w:r>
                    <w:rPr>
                      <w:rFonts w:hint="eastAsia"/>
                      <w:bCs/>
                      <w:szCs w:val="21"/>
                      <w:lang w:eastAsia="zh-CN"/>
                    </w:rPr>
                    <w:t>、900-214-08、</w:t>
                  </w:r>
                  <w:r>
                    <w:rPr>
                      <w:rFonts w:hint="eastAsia"/>
                      <w:bCs/>
                      <w:szCs w:val="21"/>
                      <w:lang w:val="en-US" w:eastAsia="zh-CN"/>
                    </w:rPr>
                    <w:t>900-249-08、900-199-08、251-001-08、900-201-08、900-217-08、900-218-08、900-221.08</w:t>
                  </w:r>
                  <w:r>
                    <w:rPr>
                      <w:rFonts w:hint="eastAsia"/>
                      <w:bCs/>
                      <w:szCs w:val="21"/>
                    </w:rPr>
                    <w:t>）</w:t>
                  </w:r>
                </w:p>
              </w:tc>
              <w:tc>
                <w:tcPr>
                  <w:tcW w:w="1721" w:type="dxa"/>
                  <w:tcBorders>
                    <w:tl2br w:val="nil"/>
                    <w:tr2bl w:val="nil"/>
                  </w:tcBorders>
                  <w:noWrap/>
                  <w:vAlign w:val="center"/>
                </w:tcPr>
                <w:p>
                  <w:pPr>
                    <w:jc w:val="center"/>
                    <w:rPr>
                      <w:rFonts w:ascii="宋体" w:hAnsi="宋体"/>
                      <w:color w:val="000000"/>
                      <w:szCs w:val="21"/>
                    </w:rPr>
                  </w:pPr>
                  <w:r>
                    <w:rPr>
                      <w:rFonts w:hint="eastAsia"/>
                      <w:szCs w:val="21"/>
                    </w:rPr>
                    <w:t>交由远大（湖南）燃油股份有限公司处理</w:t>
                  </w:r>
                </w:p>
              </w:tc>
            </w:tr>
          </w:tbl>
          <w:p>
            <w:pPr>
              <w:snapToGrid w:val="0"/>
              <w:spacing w:line="360" w:lineRule="auto"/>
              <w:ind w:firstLine="472" w:firstLineChars="200"/>
              <w:rPr>
                <w:color w:val="000000"/>
                <w:spacing w:val="-2"/>
                <w:sz w:val="24"/>
              </w:rPr>
            </w:pPr>
            <w:r>
              <w:rPr>
                <w:rFonts w:hint="eastAsia"/>
                <w:color w:val="000000"/>
                <w:spacing w:val="-2"/>
                <w:sz w:val="24"/>
              </w:rPr>
              <w:t>本次评价要求建设单位在对船舶生活垃圾进行收集暂存时满足以下要求：</w:t>
            </w:r>
          </w:p>
          <w:p>
            <w:pPr>
              <w:snapToGrid w:val="0"/>
              <w:spacing w:line="360" w:lineRule="auto"/>
              <w:ind w:firstLine="472" w:firstLineChars="200"/>
              <w:rPr>
                <w:color w:val="000000"/>
                <w:spacing w:val="-2"/>
                <w:sz w:val="24"/>
              </w:rPr>
            </w:pPr>
            <w:r>
              <w:rPr>
                <w:rFonts w:hint="eastAsia"/>
                <w:color w:val="000000"/>
                <w:spacing w:val="-2"/>
                <w:sz w:val="24"/>
              </w:rPr>
              <w:t>（1）垃圾桶应进行加盖密闭处理，避免在收集及临时贮存过程发生遗撒、气味泄漏。</w:t>
            </w:r>
          </w:p>
          <w:p>
            <w:pPr>
              <w:snapToGrid w:val="0"/>
              <w:spacing w:line="360" w:lineRule="auto"/>
              <w:ind w:firstLine="472" w:firstLineChars="200"/>
              <w:rPr>
                <w:color w:val="000000"/>
                <w:spacing w:val="-2"/>
                <w:sz w:val="24"/>
              </w:rPr>
            </w:pPr>
            <w:r>
              <w:rPr>
                <w:rFonts w:hint="eastAsia"/>
                <w:color w:val="000000"/>
                <w:spacing w:val="-2"/>
                <w:sz w:val="24"/>
              </w:rPr>
              <w:t>（2）进行垃圾收集时，垃圾桶应固定在回收船甲板上，垃圾收集过程应尽量避免垃圾洒落至水中，若不慎洒落，则应立即进行清理。</w:t>
            </w:r>
          </w:p>
          <w:p>
            <w:pPr>
              <w:snapToGrid w:val="0"/>
              <w:spacing w:line="360" w:lineRule="auto"/>
              <w:ind w:firstLine="472" w:firstLineChars="200"/>
              <w:rPr>
                <w:color w:val="000000"/>
                <w:spacing w:val="-2"/>
                <w:sz w:val="24"/>
              </w:rPr>
            </w:pPr>
            <w:r>
              <w:rPr>
                <w:rFonts w:hint="eastAsia"/>
                <w:color w:val="000000"/>
                <w:spacing w:val="-2"/>
                <w:sz w:val="24"/>
              </w:rPr>
              <w:t>（3）垃圾吊装上岸前应将垃圾箱固定牢固，避免垃圾箱翻落，造成水体污染。</w:t>
            </w:r>
          </w:p>
          <w:p>
            <w:pPr>
              <w:snapToGrid w:val="0"/>
              <w:spacing w:line="360" w:lineRule="auto"/>
              <w:ind w:firstLine="472" w:firstLineChars="200"/>
              <w:rPr>
                <w:sz w:val="24"/>
                <w:szCs w:val="24"/>
              </w:rPr>
            </w:pPr>
            <w:r>
              <w:rPr>
                <w:rFonts w:hint="eastAsia"/>
                <w:color w:val="000000"/>
                <w:spacing w:val="-2"/>
                <w:sz w:val="24"/>
              </w:rPr>
              <w:t>采取上述措施后，项目收集的生活垃圾可得到妥善处置，对周围环境影响在可接受程度。</w:t>
            </w:r>
          </w:p>
          <w:p>
            <w:pPr>
              <w:spacing w:before="120" w:beforeLines="50" w:after="120" w:afterLines="50" w:line="400" w:lineRule="exact"/>
              <w:ind w:firstLine="482" w:firstLineChars="200"/>
              <w:jc w:val="left"/>
              <w:rPr>
                <w:b/>
                <w:sz w:val="24"/>
              </w:rPr>
            </w:pPr>
            <w:r>
              <w:rPr>
                <w:rFonts w:hint="eastAsia"/>
                <w:b/>
                <w:sz w:val="24"/>
              </w:rPr>
              <w:t>5</w:t>
            </w:r>
            <w:r>
              <w:rPr>
                <w:b/>
                <w:sz w:val="24"/>
              </w:rPr>
              <w:t>、 “三本帐”</w:t>
            </w:r>
            <w:r>
              <w:rPr>
                <w:rFonts w:hint="eastAsia"/>
                <w:b/>
                <w:sz w:val="24"/>
              </w:rPr>
              <w:t>分析</w:t>
            </w:r>
          </w:p>
          <w:p>
            <w:pPr>
              <w:spacing w:line="360" w:lineRule="auto"/>
              <w:ind w:firstLine="480"/>
              <w:rPr>
                <w:b/>
                <w:szCs w:val="21"/>
              </w:rPr>
            </w:pPr>
            <w:r>
              <w:rPr>
                <w:rFonts w:hAnsi="宋体"/>
                <w:sz w:val="24"/>
              </w:rPr>
              <w:t>根据项目整治前现有工程主要污染物排放情况、整改后项目主要污染物排放情况，汇总整改前后污染物排放量及排放增减情况，具体见下表</w:t>
            </w:r>
            <w:r>
              <w:rPr>
                <w:sz w:val="24"/>
              </w:rPr>
              <w:t>。</w:t>
            </w:r>
          </w:p>
          <w:p>
            <w:pPr>
              <w:spacing w:before="120" w:beforeLines="50"/>
              <w:jc w:val="center"/>
              <w:rPr>
                <w:b/>
                <w:szCs w:val="21"/>
              </w:rPr>
            </w:pPr>
          </w:p>
          <w:p>
            <w:pPr>
              <w:spacing w:before="120" w:beforeLines="50"/>
              <w:jc w:val="center"/>
              <w:rPr>
                <w:b/>
                <w:szCs w:val="21"/>
              </w:rPr>
            </w:pPr>
          </w:p>
          <w:p>
            <w:pPr>
              <w:spacing w:before="120" w:beforeLines="50"/>
              <w:jc w:val="center"/>
              <w:rPr>
                <w:b/>
                <w:szCs w:val="21"/>
              </w:rPr>
            </w:pPr>
          </w:p>
          <w:p>
            <w:pPr>
              <w:spacing w:before="120" w:beforeLines="50"/>
              <w:jc w:val="center"/>
              <w:rPr>
                <w:b/>
                <w:szCs w:val="21"/>
              </w:rPr>
            </w:pPr>
          </w:p>
          <w:p>
            <w:pPr>
              <w:spacing w:before="120" w:beforeLines="50"/>
              <w:jc w:val="center"/>
              <w:rPr>
                <w:b/>
                <w:szCs w:val="21"/>
              </w:rPr>
            </w:pPr>
            <w:r>
              <w:rPr>
                <w:b/>
                <w:szCs w:val="21"/>
              </w:rPr>
              <w:t>表</w:t>
            </w:r>
            <w:r>
              <w:rPr>
                <w:rFonts w:hint="eastAsia"/>
                <w:b/>
                <w:szCs w:val="21"/>
              </w:rPr>
              <w:t>4-8</w:t>
            </w:r>
            <w:r>
              <w:rPr>
                <w:b/>
                <w:szCs w:val="21"/>
              </w:rPr>
              <w:t xml:space="preserve">  项目</w:t>
            </w:r>
            <w:r>
              <w:rPr>
                <w:rFonts w:hint="eastAsia"/>
                <w:b/>
                <w:szCs w:val="21"/>
              </w:rPr>
              <w:t>改</w:t>
            </w:r>
            <w:r>
              <w:rPr>
                <w:b/>
                <w:szCs w:val="21"/>
              </w:rPr>
              <w:t>建前后“三本帐”一览表 单位：t/a</w:t>
            </w:r>
          </w:p>
          <w:tbl>
            <w:tblPr>
              <w:tblStyle w:val="24"/>
              <w:tblpPr w:leftFromText="180" w:rightFromText="180" w:vertAnchor="text" w:horzAnchor="page" w:tblpXSpec="center" w:tblpY="415"/>
              <w:tblOverlap w:val="never"/>
              <w:tblW w:w="775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69"/>
              <w:gridCol w:w="1084"/>
              <w:gridCol w:w="1058"/>
              <w:gridCol w:w="868"/>
              <w:gridCol w:w="839"/>
              <w:gridCol w:w="952"/>
              <w:gridCol w:w="893"/>
              <w:gridCol w:w="89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06" w:hRule="atLeast"/>
                <w:jc w:val="center"/>
              </w:trPr>
              <w:tc>
                <w:tcPr>
                  <w:tcW w:w="1169" w:type="dxa"/>
                  <w:noWrap/>
                  <w:vAlign w:val="center"/>
                </w:tcPr>
                <w:p>
                  <w:pPr>
                    <w:snapToGrid w:val="0"/>
                    <w:spacing w:before="120" w:beforeLines="50" w:after="120" w:afterLines="50"/>
                    <w:jc w:val="center"/>
                    <w:rPr>
                      <w:szCs w:val="21"/>
                    </w:rPr>
                  </w:pPr>
                </w:p>
                <w:p>
                  <w:pPr>
                    <w:pStyle w:val="35"/>
                    <w:jc w:val="center"/>
                    <w:rPr>
                      <w:rFonts w:ascii="Times New Roman"/>
                      <w:color w:val="auto"/>
                      <w:sz w:val="21"/>
                      <w:szCs w:val="21"/>
                    </w:rPr>
                  </w:pPr>
                  <w:r>
                    <w:rPr>
                      <w:rFonts w:ascii="Times New Roman"/>
                      <w:color w:val="auto"/>
                      <w:sz w:val="21"/>
                      <w:szCs w:val="21"/>
                    </w:rPr>
                    <w:t>类型</w:t>
                  </w:r>
                </w:p>
                <w:p>
                  <w:pPr>
                    <w:spacing w:before="120" w:beforeLines="50" w:after="120" w:afterLines="50"/>
                    <w:jc w:val="center"/>
                    <w:rPr>
                      <w:szCs w:val="21"/>
                    </w:rPr>
                  </w:pPr>
                  <w:r>
                    <w:rPr>
                      <w:szCs w:val="21"/>
                    </w:rPr>
                    <w:t>内容</w:t>
                  </w:r>
                </w:p>
              </w:tc>
              <w:tc>
                <w:tcPr>
                  <w:tcW w:w="1084" w:type="dxa"/>
                  <w:noWrap/>
                  <w:vAlign w:val="center"/>
                </w:tcPr>
                <w:p>
                  <w:pPr>
                    <w:spacing w:before="120" w:beforeLines="50" w:after="120" w:afterLines="50"/>
                    <w:jc w:val="center"/>
                    <w:rPr>
                      <w:b/>
                      <w:szCs w:val="21"/>
                    </w:rPr>
                  </w:pPr>
                  <w:r>
                    <w:rPr>
                      <w:b/>
                      <w:szCs w:val="21"/>
                    </w:rPr>
                    <w:t>排放源</w:t>
                  </w:r>
                </w:p>
              </w:tc>
              <w:tc>
                <w:tcPr>
                  <w:tcW w:w="1058" w:type="dxa"/>
                  <w:noWrap/>
                  <w:vAlign w:val="center"/>
                </w:tcPr>
                <w:p>
                  <w:pPr>
                    <w:spacing w:before="120" w:beforeLines="50" w:after="120" w:afterLines="50"/>
                    <w:jc w:val="center"/>
                    <w:rPr>
                      <w:bCs/>
                      <w:szCs w:val="21"/>
                    </w:rPr>
                  </w:pPr>
                  <w:r>
                    <w:rPr>
                      <w:b/>
                      <w:szCs w:val="21"/>
                    </w:rPr>
                    <w:t>污染物</w:t>
                  </w:r>
                </w:p>
              </w:tc>
              <w:tc>
                <w:tcPr>
                  <w:tcW w:w="868" w:type="dxa"/>
                  <w:noWrap/>
                  <w:vAlign w:val="center"/>
                </w:tcPr>
                <w:p>
                  <w:pPr>
                    <w:spacing w:before="120" w:beforeLines="50" w:after="120" w:afterLines="50"/>
                    <w:jc w:val="center"/>
                    <w:rPr>
                      <w:b/>
                      <w:szCs w:val="21"/>
                    </w:rPr>
                  </w:pPr>
                  <w:r>
                    <w:rPr>
                      <w:b/>
                      <w:szCs w:val="21"/>
                    </w:rPr>
                    <w:t>改扩建前排放量</w:t>
                  </w:r>
                </w:p>
              </w:tc>
              <w:tc>
                <w:tcPr>
                  <w:tcW w:w="839" w:type="dxa"/>
                  <w:noWrap/>
                  <w:vAlign w:val="center"/>
                </w:tcPr>
                <w:p>
                  <w:pPr>
                    <w:spacing w:before="120" w:beforeLines="50" w:after="120" w:afterLines="50"/>
                    <w:jc w:val="center"/>
                    <w:rPr>
                      <w:b/>
                      <w:szCs w:val="21"/>
                    </w:rPr>
                  </w:pPr>
                  <w:r>
                    <w:rPr>
                      <w:b/>
                      <w:szCs w:val="21"/>
                    </w:rPr>
                    <w:t>改扩建排放量</w:t>
                  </w:r>
                </w:p>
              </w:tc>
              <w:tc>
                <w:tcPr>
                  <w:tcW w:w="952" w:type="dxa"/>
                  <w:noWrap/>
                  <w:vAlign w:val="center"/>
                </w:tcPr>
                <w:p>
                  <w:pPr>
                    <w:spacing w:before="120" w:beforeLines="50" w:after="120" w:afterLines="50"/>
                    <w:jc w:val="center"/>
                    <w:rPr>
                      <w:b/>
                      <w:szCs w:val="21"/>
                    </w:rPr>
                  </w:pPr>
                  <w:r>
                    <w:rPr>
                      <w:b/>
                      <w:szCs w:val="21"/>
                    </w:rPr>
                    <w:t>以新带老削减量</w:t>
                  </w:r>
                </w:p>
              </w:tc>
              <w:tc>
                <w:tcPr>
                  <w:tcW w:w="893" w:type="dxa"/>
                  <w:noWrap/>
                  <w:vAlign w:val="center"/>
                </w:tcPr>
                <w:p>
                  <w:pPr>
                    <w:spacing w:before="120" w:beforeLines="50" w:after="120" w:afterLines="50"/>
                    <w:jc w:val="center"/>
                    <w:rPr>
                      <w:b/>
                      <w:szCs w:val="21"/>
                    </w:rPr>
                  </w:pPr>
                  <w:r>
                    <w:rPr>
                      <w:b/>
                      <w:szCs w:val="21"/>
                    </w:rPr>
                    <w:t>增减量</w:t>
                  </w:r>
                </w:p>
              </w:tc>
              <w:tc>
                <w:tcPr>
                  <w:tcW w:w="893" w:type="dxa"/>
                  <w:noWrap/>
                  <w:vAlign w:val="center"/>
                </w:tcPr>
                <w:p>
                  <w:pPr>
                    <w:spacing w:before="120" w:beforeLines="50" w:after="120" w:afterLines="50"/>
                    <w:jc w:val="center"/>
                    <w:rPr>
                      <w:b/>
                      <w:szCs w:val="21"/>
                    </w:rPr>
                  </w:pPr>
                  <w:r>
                    <w:rPr>
                      <w:b/>
                      <w:szCs w:val="21"/>
                    </w:rPr>
                    <w:t>改扩建后排放总量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11" w:hRule="atLeast"/>
                <w:jc w:val="center"/>
              </w:trPr>
              <w:tc>
                <w:tcPr>
                  <w:tcW w:w="1169" w:type="dxa"/>
                  <w:vMerge w:val="restart"/>
                  <w:noWrap/>
                  <w:vAlign w:val="center"/>
                </w:tcPr>
                <w:p>
                  <w:pPr>
                    <w:spacing w:before="120" w:beforeLines="50" w:after="120" w:afterLines="50"/>
                    <w:jc w:val="center"/>
                    <w:rPr>
                      <w:bCs/>
                      <w:szCs w:val="21"/>
                    </w:rPr>
                  </w:pPr>
                  <w:r>
                    <w:rPr>
                      <w:bCs/>
                      <w:szCs w:val="21"/>
                    </w:rPr>
                    <w:t>废气</w:t>
                  </w:r>
                </w:p>
              </w:tc>
              <w:tc>
                <w:tcPr>
                  <w:tcW w:w="1084" w:type="dxa"/>
                  <w:vMerge w:val="restart"/>
                  <w:noWrap/>
                  <w:vAlign w:val="center"/>
                </w:tcPr>
                <w:p>
                  <w:pPr>
                    <w:spacing w:before="120" w:beforeLines="50" w:after="120" w:afterLines="50"/>
                    <w:jc w:val="center"/>
                    <w:rPr>
                      <w:bCs/>
                      <w:szCs w:val="21"/>
                    </w:rPr>
                  </w:pPr>
                  <w:r>
                    <w:rPr>
                      <w:bCs/>
                      <w:szCs w:val="21"/>
                    </w:rPr>
                    <w:t>柴油发电机</w:t>
                  </w:r>
                </w:p>
              </w:tc>
              <w:tc>
                <w:tcPr>
                  <w:tcW w:w="1058" w:type="dxa"/>
                  <w:noWrap/>
                  <w:vAlign w:val="center"/>
                </w:tcPr>
                <w:p>
                  <w:pPr>
                    <w:spacing w:before="120" w:beforeLines="50" w:after="120" w:afterLines="50"/>
                    <w:jc w:val="center"/>
                    <w:rPr>
                      <w:bCs/>
                      <w:szCs w:val="21"/>
                    </w:rPr>
                  </w:pPr>
                  <w:r>
                    <w:rPr>
                      <w:bCs/>
                      <w:szCs w:val="21"/>
                    </w:rPr>
                    <w:t>SO</w:t>
                  </w:r>
                  <w:r>
                    <w:rPr>
                      <w:bCs/>
                      <w:szCs w:val="21"/>
                      <w:vertAlign w:val="subscript"/>
                    </w:rPr>
                    <w:t>2</w:t>
                  </w:r>
                </w:p>
              </w:tc>
              <w:tc>
                <w:tcPr>
                  <w:tcW w:w="868" w:type="dxa"/>
                  <w:noWrap/>
                  <w:vAlign w:val="center"/>
                </w:tcPr>
                <w:p>
                  <w:pPr>
                    <w:spacing w:before="120" w:beforeLines="50" w:after="120" w:afterLines="50"/>
                    <w:jc w:val="center"/>
                    <w:rPr>
                      <w:bCs/>
                      <w:szCs w:val="21"/>
                    </w:rPr>
                  </w:pPr>
                  <w:r>
                    <w:rPr>
                      <w:rFonts w:hint="eastAsia"/>
                      <w:bCs/>
                      <w:szCs w:val="21"/>
                    </w:rPr>
                    <w:t>4.8</w:t>
                  </w:r>
                  <w:r>
                    <w:rPr>
                      <w:bCs/>
                      <w:szCs w:val="21"/>
                    </w:rPr>
                    <w:t>kg/a</w:t>
                  </w:r>
                </w:p>
              </w:tc>
              <w:tc>
                <w:tcPr>
                  <w:tcW w:w="839" w:type="dxa"/>
                  <w:noWrap/>
                  <w:vAlign w:val="center"/>
                </w:tcPr>
                <w:p>
                  <w:pPr>
                    <w:spacing w:before="120" w:beforeLines="50" w:after="120" w:afterLines="50"/>
                    <w:jc w:val="center"/>
                    <w:rPr>
                      <w:bCs/>
                      <w:szCs w:val="21"/>
                    </w:rPr>
                  </w:pPr>
                  <w:r>
                    <w:rPr>
                      <w:rFonts w:hint="eastAsia"/>
                      <w:bCs/>
                      <w:szCs w:val="21"/>
                    </w:rPr>
                    <w:t>15</w:t>
                  </w:r>
                  <w:r>
                    <w:rPr>
                      <w:bCs/>
                      <w:szCs w:val="21"/>
                    </w:rPr>
                    <w:t>kg/a</w:t>
                  </w:r>
                </w:p>
              </w:tc>
              <w:tc>
                <w:tcPr>
                  <w:tcW w:w="952" w:type="dxa"/>
                  <w:noWrap/>
                  <w:vAlign w:val="center"/>
                </w:tcPr>
                <w:p>
                  <w:pPr>
                    <w:spacing w:before="120" w:beforeLines="50" w:after="120" w:afterLines="50"/>
                    <w:jc w:val="center"/>
                    <w:rPr>
                      <w:bCs/>
                      <w:szCs w:val="21"/>
                    </w:rPr>
                  </w:pPr>
                  <w:r>
                    <w:rPr>
                      <w:rFonts w:hint="eastAsia"/>
                      <w:bCs/>
                      <w:szCs w:val="21"/>
                    </w:rPr>
                    <w:t>4.8</w:t>
                  </w:r>
                  <w:r>
                    <w:rPr>
                      <w:bCs/>
                      <w:szCs w:val="21"/>
                    </w:rPr>
                    <w:t>kg/a</w:t>
                  </w:r>
                </w:p>
              </w:tc>
              <w:tc>
                <w:tcPr>
                  <w:tcW w:w="893" w:type="dxa"/>
                  <w:noWrap/>
                  <w:vAlign w:val="center"/>
                </w:tcPr>
                <w:p>
                  <w:pPr>
                    <w:spacing w:before="120" w:beforeLines="50" w:after="120" w:afterLines="50"/>
                    <w:jc w:val="center"/>
                    <w:rPr>
                      <w:bCs/>
                      <w:szCs w:val="21"/>
                    </w:rPr>
                  </w:pPr>
                  <w:r>
                    <w:rPr>
                      <w:rFonts w:hint="eastAsia"/>
                      <w:bCs/>
                      <w:szCs w:val="21"/>
                    </w:rPr>
                    <w:t>+10.2</w:t>
                  </w:r>
                  <w:r>
                    <w:rPr>
                      <w:bCs/>
                      <w:szCs w:val="21"/>
                    </w:rPr>
                    <w:t>kg/a</w:t>
                  </w:r>
                </w:p>
              </w:tc>
              <w:tc>
                <w:tcPr>
                  <w:tcW w:w="893" w:type="dxa"/>
                  <w:noWrap/>
                  <w:vAlign w:val="center"/>
                </w:tcPr>
                <w:p>
                  <w:pPr>
                    <w:spacing w:before="120" w:beforeLines="50" w:after="120" w:afterLines="50"/>
                    <w:jc w:val="center"/>
                    <w:rPr>
                      <w:bCs/>
                      <w:szCs w:val="21"/>
                    </w:rPr>
                  </w:pPr>
                  <w:r>
                    <w:rPr>
                      <w:rFonts w:hint="eastAsia"/>
                      <w:bCs/>
                      <w:szCs w:val="21"/>
                    </w:rPr>
                    <w:t>15</w:t>
                  </w:r>
                  <w:r>
                    <w:rPr>
                      <w:bCs/>
                      <w:szCs w:val="21"/>
                    </w:rPr>
                    <w:t>kg/a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11" w:hRule="atLeast"/>
                <w:jc w:val="center"/>
              </w:trPr>
              <w:tc>
                <w:tcPr>
                  <w:tcW w:w="1169" w:type="dxa"/>
                  <w:vMerge w:val="continue"/>
                  <w:noWrap/>
                  <w:vAlign w:val="center"/>
                </w:tcPr>
                <w:p>
                  <w:pPr>
                    <w:spacing w:before="120" w:beforeLines="50" w:after="120" w:afterLines="50"/>
                    <w:jc w:val="center"/>
                    <w:rPr>
                      <w:bCs/>
                      <w:szCs w:val="21"/>
                    </w:rPr>
                  </w:pPr>
                </w:p>
              </w:tc>
              <w:tc>
                <w:tcPr>
                  <w:tcW w:w="1084" w:type="dxa"/>
                  <w:vMerge w:val="continue"/>
                  <w:noWrap/>
                  <w:vAlign w:val="center"/>
                </w:tcPr>
                <w:p>
                  <w:pPr>
                    <w:spacing w:before="120" w:beforeLines="50" w:after="120" w:afterLines="50"/>
                    <w:jc w:val="center"/>
                    <w:rPr>
                      <w:bCs/>
                      <w:szCs w:val="21"/>
                    </w:rPr>
                  </w:pPr>
                </w:p>
              </w:tc>
              <w:tc>
                <w:tcPr>
                  <w:tcW w:w="1058" w:type="dxa"/>
                  <w:noWrap/>
                  <w:vAlign w:val="center"/>
                </w:tcPr>
                <w:p>
                  <w:pPr>
                    <w:spacing w:before="120" w:beforeLines="50" w:after="120" w:afterLines="50"/>
                    <w:jc w:val="center"/>
                    <w:rPr>
                      <w:bCs/>
                      <w:szCs w:val="21"/>
                    </w:rPr>
                  </w:pPr>
                  <w:r>
                    <w:rPr>
                      <w:bCs/>
                      <w:szCs w:val="21"/>
                    </w:rPr>
                    <w:t>NO</w:t>
                  </w:r>
                  <w:r>
                    <w:rPr>
                      <w:bCs/>
                      <w:szCs w:val="21"/>
                      <w:vertAlign w:val="subscript"/>
                    </w:rPr>
                    <w:t>X</w:t>
                  </w:r>
                </w:p>
              </w:tc>
              <w:tc>
                <w:tcPr>
                  <w:tcW w:w="868" w:type="dxa"/>
                  <w:noWrap/>
                  <w:vAlign w:val="center"/>
                </w:tcPr>
                <w:p>
                  <w:pPr>
                    <w:spacing w:before="120" w:beforeLines="50" w:after="120" w:afterLines="50"/>
                    <w:jc w:val="center"/>
                    <w:rPr>
                      <w:bCs/>
                      <w:szCs w:val="21"/>
                    </w:rPr>
                  </w:pPr>
                  <w:r>
                    <w:rPr>
                      <w:rFonts w:hint="eastAsia"/>
                      <w:bCs/>
                      <w:szCs w:val="21"/>
                    </w:rPr>
                    <w:t>79.64</w:t>
                  </w:r>
                  <w:r>
                    <w:rPr>
                      <w:bCs/>
                      <w:szCs w:val="21"/>
                    </w:rPr>
                    <w:t>kg/a</w:t>
                  </w:r>
                </w:p>
              </w:tc>
              <w:tc>
                <w:tcPr>
                  <w:tcW w:w="839" w:type="dxa"/>
                  <w:noWrap/>
                  <w:vAlign w:val="center"/>
                </w:tcPr>
                <w:p>
                  <w:pPr>
                    <w:spacing w:before="120" w:beforeLines="50" w:after="120" w:afterLines="50"/>
                    <w:jc w:val="center"/>
                    <w:rPr>
                      <w:bCs/>
                      <w:szCs w:val="21"/>
                    </w:rPr>
                  </w:pPr>
                  <w:r>
                    <w:rPr>
                      <w:rFonts w:hint="eastAsia"/>
                      <w:bCs/>
                      <w:szCs w:val="21"/>
                    </w:rPr>
                    <w:t>229.3</w:t>
                  </w:r>
                  <w:r>
                    <w:rPr>
                      <w:bCs/>
                      <w:szCs w:val="21"/>
                    </w:rPr>
                    <w:t>kg/a</w:t>
                  </w:r>
                </w:p>
              </w:tc>
              <w:tc>
                <w:tcPr>
                  <w:tcW w:w="952" w:type="dxa"/>
                  <w:noWrap/>
                  <w:vAlign w:val="center"/>
                </w:tcPr>
                <w:p>
                  <w:pPr>
                    <w:spacing w:before="120" w:beforeLines="50" w:after="120" w:afterLines="50"/>
                    <w:jc w:val="center"/>
                    <w:rPr>
                      <w:bCs/>
                      <w:szCs w:val="21"/>
                    </w:rPr>
                  </w:pPr>
                  <w:r>
                    <w:rPr>
                      <w:rFonts w:hint="eastAsia"/>
                      <w:bCs/>
                      <w:szCs w:val="21"/>
                    </w:rPr>
                    <w:t>79.64</w:t>
                  </w:r>
                  <w:r>
                    <w:rPr>
                      <w:bCs/>
                      <w:szCs w:val="21"/>
                    </w:rPr>
                    <w:t>kg/a</w:t>
                  </w:r>
                </w:p>
              </w:tc>
              <w:tc>
                <w:tcPr>
                  <w:tcW w:w="893" w:type="dxa"/>
                  <w:noWrap/>
                  <w:vAlign w:val="center"/>
                </w:tcPr>
                <w:p>
                  <w:pPr>
                    <w:spacing w:before="120" w:beforeLines="50" w:after="120" w:afterLines="50"/>
                    <w:jc w:val="center"/>
                    <w:rPr>
                      <w:bCs/>
                      <w:szCs w:val="21"/>
                    </w:rPr>
                  </w:pPr>
                  <w:r>
                    <w:rPr>
                      <w:rFonts w:hint="eastAsia"/>
                      <w:bCs/>
                      <w:szCs w:val="21"/>
                    </w:rPr>
                    <w:t>+149.66</w:t>
                  </w:r>
                  <w:r>
                    <w:rPr>
                      <w:bCs/>
                      <w:szCs w:val="21"/>
                    </w:rPr>
                    <w:t>kg/a</w:t>
                  </w:r>
                </w:p>
              </w:tc>
              <w:tc>
                <w:tcPr>
                  <w:tcW w:w="893" w:type="dxa"/>
                  <w:noWrap/>
                  <w:vAlign w:val="center"/>
                </w:tcPr>
                <w:p>
                  <w:pPr>
                    <w:spacing w:before="120" w:beforeLines="50" w:after="120" w:afterLines="50"/>
                    <w:jc w:val="center"/>
                    <w:rPr>
                      <w:bCs/>
                      <w:szCs w:val="21"/>
                    </w:rPr>
                  </w:pPr>
                  <w:r>
                    <w:rPr>
                      <w:rFonts w:hint="eastAsia"/>
                      <w:bCs/>
                      <w:szCs w:val="21"/>
                    </w:rPr>
                    <w:t>229.3</w:t>
                  </w:r>
                  <w:r>
                    <w:rPr>
                      <w:bCs/>
                      <w:szCs w:val="21"/>
                    </w:rPr>
                    <w:t>kg/a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169" w:type="dxa"/>
                  <w:vMerge w:val="continue"/>
                  <w:noWrap/>
                  <w:vAlign w:val="center"/>
                </w:tcPr>
                <w:p>
                  <w:pPr>
                    <w:spacing w:before="120" w:beforeLines="50" w:after="120" w:afterLines="50"/>
                    <w:jc w:val="center"/>
                    <w:rPr>
                      <w:bCs/>
                      <w:szCs w:val="21"/>
                    </w:rPr>
                  </w:pPr>
                </w:p>
              </w:tc>
              <w:tc>
                <w:tcPr>
                  <w:tcW w:w="1084" w:type="dxa"/>
                  <w:vMerge w:val="continue"/>
                  <w:noWrap/>
                  <w:vAlign w:val="center"/>
                </w:tcPr>
                <w:p>
                  <w:pPr>
                    <w:spacing w:before="120" w:beforeLines="50" w:after="120" w:afterLines="50"/>
                    <w:jc w:val="center"/>
                    <w:rPr>
                      <w:bCs/>
                      <w:szCs w:val="21"/>
                    </w:rPr>
                  </w:pPr>
                </w:p>
              </w:tc>
              <w:tc>
                <w:tcPr>
                  <w:tcW w:w="1058" w:type="dxa"/>
                  <w:noWrap/>
                  <w:vAlign w:val="center"/>
                </w:tcPr>
                <w:p>
                  <w:pPr>
                    <w:spacing w:before="120" w:beforeLines="50" w:after="120" w:afterLines="50"/>
                    <w:jc w:val="center"/>
                    <w:rPr>
                      <w:bCs/>
                      <w:szCs w:val="21"/>
                    </w:rPr>
                  </w:pPr>
                  <w:r>
                    <w:rPr>
                      <w:bCs/>
                      <w:szCs w:val="21"/>
                    </w:rPr>
                    <w:t>烟尘</w:t>
                  </w:r>
                </w:p>
              </w:tc>
              <w:tc>
                <w:tcPr>
                  <w:tcW w:w="868" w:type="dxa"/>
                  <w:noWrap/>
                  <w:vAlign w:val="center"/>
                </w:tcPr>
                <w:p>
                  <w:pPr>
                    <w:spacing w:before="120" w:beforeLines="50" w:after="120" w:afterLines="50"/>
                    <w:jc w:val="center"/>
                    <w:rPr>
                      <w:bCs/>
                      <w:szCs w:val="21"/>
                    </w:rPr>
                  </w:pPr>
                  <w:r>
                    <w:rPr>
                      <w:rFonts w:hint="eastAsia"/>
                      <w:bCs/>
                      <w:szCs w:val="21"/>
                    </w:rPr>
                    <w:t>29.47</w:t>
                  </w:r>
                  <w:r>
                    <w:rPr>
                      <w:bCs/>
                      <w:szCs w:val="21"/>
                    </w:rPr>
                    <w:t>kg/a</w:t>
                  </w:r>
                </w:p>
              </w:tc>
              <w:tc>
                <w:tcPr>
                  <w:tcW w:w="839" w:type="dxa"/>
                  <w:noWrap/>
                  <w:vAlign w:val="center"/>
                </w:tcPr>
                <w:p>
                  <w:pPr>
                    <w:spacing w:before="120" w:beforeLines="50" w:after="120" w:afterLines="50"/>
                    <w:jc w:val="center"/>
                    <w:rPr>
                      <w:szCs w:val="21"/>
                    </w:rPr>
                  </w:pPr>
                  <w:r>
                    <w:rPr>
                      <w:rFonts w:hint="eastAsia"/>
                      <w:bCs/>
                      <w:szCs w:val="21"/>
                    </w:rPr>
                    <w:t>92.1</w:t>
                  </w:r>
                  <w:r>
                    <w:rPr>
                      <w:bCs/>
                      <w:szCs w:val="21"/>
                    </w:rPr>
                    <w:t>kg/a</w:t>
                  </w:r>
                </w:p>
              </w:tc>
              <w:tc>
                <w:tcPr>
                  <w:tcW w:w="952" w:type="dxa"/>
                  <w:noWrap/>
                  <w:vAlign w:val="center"/>
                </w:tcPr>
                <w:p>
                  <w:pPr>
                    <w:spacing w:before="120" w:beforeLines="50" w:after="120" w:afterLines="50"/>
                    <w:jc w:val="center"/>
                    <w:rPr>
                      <w:bCs/>
                      <w:szCs w:val="21"/>
                    </w:rPr>
                  </w:pPr>
                  <w:r>
                    <w:rPr>
                      <w:rFonts w:hint="eastAsia"/>
                      <w:bCs/>
                      <w:szCs w:val="21"/>
                    </w:rPr>
                    <w:t>29.47</w:t>
                  </w:r>
                  <w:r>
                    <w:rPr>
                      <w:bCs/>
                      <w:szCs w:val="21"/>
                    </w:rPr>
                    <w:t>kg/a</w:t>
                  </w:r>
                </w:p>
              </w:tc>
              <w:tc>
                <w:tcPr>
                  <w:tcW w:w="893" w:type="dxa"/>
                  <w:noWrap/>
                  <w:vAlign w:val="center"/>
                </w:tcPr>
                <w:p>
                  <w:pPr>
                    <w:spacing w:before="120" w:beforeLines="50" w:after="120" w:afterLines="50"/>
                    <w:jc w:val="center"/>
                    <w:rPr>
                      <w:bCs/>
                      <w:szCs w:val="21"/>
                    </w:rPr>
                  </w:pPr>
                  <w:r>
                    <w:rPr>
                      <w:rFonts w:hint="eastAsia"/>
                      <w:bCs/>
                      <w:szCs w:val="21"/>
                    </w:rPr>
                    <w:t>+62.63</w:t>
                  </w:r>
                  <w:r>
                    <w:rPr>
                      <w:bCs/>
                      <w:szCs w:val="21"/>
                    </w:rPr>
                    <w:t>kg/a</w:t>
                  </w:r>
                </w:p>
              </w:tc>
              <w:tc>
                <w:tcPr>
                  <w:tcW w:w="893" w:type="dxa"/>
                  <w:noWrap/>
                  <w:vAlign w:val="center"/>
                </w:tcPr>
                <w:p>
                  <w:pPr>
                    <w:spacing w:before="120" w:beforeLines="50" w:after="120" w:afterLines="50"/>
                    <w:jc w:val="center"/>
                    <w:rPr>
                      <w:bCs/>
                      <w:szCs w:val="21"/>
                    </w:rPr>
                  </w:pPr>
                  <w:r>
                    <w:rPr>
                      <w:rFonts w:hint="eastAsia"/>
                      <w:bCs/>
                      <w:szCs w:val="21"/>
                    </w:rPr>
                    <w:t>92.1</w:t>
                  </w:r>
                  <w:r>
                    <w:rPr>
                      <w:bCs/>
                      <w:szCs w:val="21"/>
                    </w:rPr>
                    <w:t>kg/a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169" w:type="dxa"/>
                  <w:vMerge w:val="continue"/>
                  <w:noWrap/>
                  <w:vAlign w:val="center"/>
                </w:tcPr>
                <w:p>
                  <w:pPr>
                    <w:spacing w:before="120" w:beforeLines="50" w:after="120" w:afterLines="50"/>
                    <w:jc w:val="center"/>
                    <w:rPr>
                      <w:bCs/>
                      <w:szCs w:val="21"/>
                    </w:rPr>
                  </w:pPr>
                </w:p>
              </w:tc>
              <w:tc>
                <w:tcPr>
                  <w:tcW w:w="1084" w:type="dxa"/>
                  <w:noWrap/>
                  <w:vAlign w:val="center"/>
                </w:tcPr>
                <w:p>
                  <w:pPr>
                    <w:spacing w:before="120" w:beforeLines="50" w:after="120" w:afterLines="50"/>
                    <w:jc w:val="center"/>
                    <w:rPr>
                      <w:bCs/>
                      <w:szCs w:val="21"/>
                    </w:rPr>
                  </w:pPr>
                  <w:r>
                    <w:rPr>
                      <w:bCs/>
                      <w:szCs w:val="21"/>
                    </w:rPr>
                    <w:t>挥发性气体</w:t>
                  </w:r>
                </w:p>
              </w:tc>
              <w:tc>
                <w:tcPr>
                  <w:tcW w:w="1058" w:type="dxa"/>
                  <w:noWrap/>
                  <w:vAlign w:val="center"/>
                </w:tcPr>
                <w:p>
                  <w:pPr>
                    <w:spacing w:before="120" w:beforeLines="50" w:after="120" w:afterLines="50"/>
                    <w:jc w:val="center"/>
                    <w:rPr>
                      <w:bCs/>
                      <w:szCs w:val="21"/>
                    </w:rPr>
                  </w:pPr>
                  <w:r>
                    <w:rPr>
                      <w:bCs/>
                      <w:szCs w:val="21"/>
                    </w:rPr>
                    <w:t>非甲烷总烃</w:t>
                  </w:r>
                </w:p>
              </w:tc>
              <w:tc>
                <w:tcPr>
                  <w:tcW w:w="868" w:type="dxa"/>
                  <w:noWrap/>
                  <w:vAlign w:val="center"/>
                </w:tcPr>
                <w:p>
                  <w:pPr>
                    <w:spacing w:before="120" w:beforeLines="50" w:after="120" w:afterLines="50"/>
                    <w:jc w:val="center"/>
                    <w:rPr>
                      <w:bCs/>
                      <w:szCs w:val="21"/>
                    </w:rPr>
                  </w:pPr>
                  <w:r>
                    <w:rPr>
                      <w:bCs/>
                      <w:szCs w:val="21"/>
                    </w:rPr>
                    <w:t>0.0026</w:t>
                  </w:r>
                  <w:r>
                    <w:rPr>
                      <w:rFonts w:hint="eastAsia"/>
                      <w:bCs/>
                      <w:szCs w:val="21"/>
                    </w:rPr>
                    <w:t>t</w:t>
                  </w:r>
                  <w:r>
                    <w:rPr>
                      <w:bCs/>
                      <w:szCs w:val="21"/>
                    </w:rPr>
                    <w:t>/a</w:t>
                  </w:r>
                </w:p>
              </w:tc>
              <w:tc>
                <w:tcPr>
                  <w:tcW w:w="839" w:type="dxa"/>
                  <w:noWrap/>
                  <w:vAlign w:val="center"/>
                </w:tcPr>
                <w:p>
                  <w:pPr>
                    <w:spacing w:before="120" w:beforeLines="50" w:after="120" w:afterLines="50"/>
                    <w:jc w:val="center"/>
                    <w:rPr>
                      <w:bCs/>
                      <w:szCs w:val="21"/>
                    </w:rPr>
                  </w:pPr>
                  <w:r>
                    <w:rPr>
                      <w:bCs/>
                      <w:szCs w:val="21"/>
                    </w:rPr>
                    <w:t>0.0</w:t>
                  </w:r>
                  <w:r>
                    <w:rPr>
                      <w:rFonts w:hint="eastAsia"/>
                      <w:bCs/>
                      <w:szCs w:val="21"/>
                    </w:rPr>
                    <w:t>7463t</w:t>
                  </w:r>
                  <w:r>
                    <w:rPr>
                      <w:bCs/>
                      <w:szCs w:val="21"/>
                    </w:rPr>
                    <w:t>/a</w:t>
                  </w:r>
                </w:p>
              </w:tc>
              <w:tc>
                <w:tcPr>
                  <w:tcW w:w="952" w:type="dxa"/>
                  <w:noWrap/>
                  <w:vAlign w:val="center"/>
                </w:tcPr>
                <w:p>
                  <w:pPr>
                    <w:spacing w:before="120" w:beforeLines="50" w:after="120" w:afterLines="50"/>
                    <w:jc w:val="center"/>
                    <w:rPr>
                      <w:bCs/>
                      <w:szCs w:val="21"/>
                    </w:rPr>
                  </w:pPr>
                  <w:r>
                    <w:rPr>
                      <w:bCs/>
                      <w:szCs w:val="21"/>
                    </w:rPr>
                    <w:t>0.0026</w:t>
                  </w:r>
                  <w:r>
                    <w:rPr>
                      <w:rFonts w:hint="eastAsia"/>
                      <w:bCs/>
                      <w:szCs w:val="21"/>
                    </w:rPr>
                    <w:t>t</w:t>
                  </w:r>
                  <w:r>
                    <w:rPr>
                      <w:bCs/>
                      <w:szCs w:val="21"/>
                    </w:rPr>
                    <w:t>/a</w:t>
                  </w:r>
                </w:p>
              </w:tc>
              <w:tc>
                <w:tcPr>
                  <w:tcW w:w="893" w:type="dxa"/>
                  <w:noWrap/>
                  <w:vAlign w:val="center"/>
                </w:tcPr>
                <w:p>
                  <w:pPr>
                    <w:spacing w:before="120" w:beforeLines="50" w:after="120" w:afterLines="50"/>
                    <w:jc w:val="center"/>
                    <w:rPr>
                      <w:bCs/>
                      <w:szCs w:val="21"/>
                    </w:rPr>
                  </w:pPr>
                  <w:r>
                    <w:rPr>
                      <w:rFonts w:hint="eastAsia"/>
                      <w:bCs/>
                      <w:szCs w:val="21"/>
                    </w:rPr>
                    <w:t>+</w:t>
                  </w:r>
                  <w:r>
                    <w:rPr>
                      <w:bCs/>
                      <w:szCs w:val="21"/>
                    </w:rPr>
                    <w:t>0.0</w:t>
                  </w:r>
                  <w:r>
                    <w:rPr>
                      <w:rFonts w:hint="eastAsia"/>
                      <w:bCs/>
                      <w:szCs w:val="21"/>
                    </w:rPr>
                    <w:t>72t/a</w:t>
                  </w:r>
                </w:p>
              </w:tc>
              <w:tc>
                <w:tcPr>
                  <w:tcW w:w="893" w:type="dxa"/>
                  <w:noWrap/>
                  <w:vAlign w:val="center"/>
                </w:tcPr>
                <w:p>
                  <w:pPr>
                    <w:spacing w:before="120" w:beforeLines="50" w:after="120" w:afterLines="50"/>
                    <w:jc w:val="center"/>
                    <w:rPr>
                      <w:bCs/>
                      <w:szCs w:val="21"/>
                    </w:rPr>
                  </w:pPr>
                  <w:r>
                    <w:rPr>
                      <w:bCs/>
                      <w:szCs w:val="21"/>
                    </w:rPr>
                    <w:t>0.0</w:t>
                  </w:r>
                  <w:r>
                    <w:rPr>
                      <w:rFonts w:hint="eastAsia"/>
                      <w:bCs/>
                      <w:szCs w:val="21"/>
                    </w:rPr>
                    <w:t>7463t</w:t>
                  </w:r>
                  <w:r>
                    <w:rPr>
                      <w:bCs/>
                      <w:szCs w:val="21"/>
                    </w:rPr>
                    <w: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1169" w:type="dxa"/>
                  <w:vMerge w:val="restart"/>
                  <w:noWrap/>
                  <w:vAlign w:val="center"/>
                </w:tcPr>
                <w:p>
                  <w:pPr>
                    <w:spacing w:before="120" w:beforeLines="50" w:after="120" w:afterLines="50"/>
                    <w:jc w:val="center"/>
                    <w:rPr>
                      <w:bCs/>
                      <w:szCs w:val="21"/>
                    </w:rPr>
                  </w:pPr>
                  <w:r>
                    <w:rPr>
                      <w:bCs/>
                      <w:szCs w:val="21"/>
                    </w:rPr>
                    <w:t>废水</w:t>
                  </w:r>
                </w:p>
              </w:tc>
              <w:tc>
                <w:tcPr>
                  <w:tcW w:w="1084" w:type="dxa"/>
                  <w:vMerge w:val="restart"/>
                  <w:noWrap/>
                  <w:vAlign w:val="center"/>
                </w:tcPr>
                <w:p>
                  <w:pPr>
                    <w:spacing w:before="120" w:beforeLines="50" w:after="120" w:afterLines="50"/>
                    <w:jc w:val="center"/>
                    <w:rPr>
                      <w:bCs/>
                      <w:szCs w:val="21"/>
                    </w:rPr>
                  </w:pPr>
                  <w:r>
                    <w:rPr>
                      <w:bCs/>
                      <w:szCs w:val="21"/>
                    </w:rPr>
                    <w:t>含油污水</w:t>
                  </w:r>
                </w:p>
              </w:tc>
              <w:tc>
                <w:tcPr>
                  <w:tcW w:w="1058" w:type="dxa"/>
                  <w:noWrap/>
                  <w:vAlign w:val="center"/>
                </w:tcPr>
                <w:p>
                  <w:pPr>
                    <w:spacing w:before="120" w:beforeLines="50" w:after="120" w:afterLines="50"/>
                    <w:jc w:val="center"/>
                    <w:rPr>
                      <w:bCs/>
                      <w:szCs w:val="21"/>
                    </w:rPr>
                  </w:pPr>
                  <w:r>
                    <w:rPr>
                      <w:bCs/>
                      <w:szCs w:val="21"/>
                    </w:rPr>
                    <w:t>COD</w:t>
                  </w:r>
                </w:p>
              </w:tc>
              <w:tc>
                <w:tcPr>
                  <w:tcW w:w="868" w:type="dxa"/>
                  <w:noWrap/>
                  <w:vAlign w:val="center"/>
                </w:tcPr>
                <w:p>
                  <w:pPr>
                    <w:widowControl/>
                    <w:jc w:val="center"/>
                    <w:textAlignment w:val="center"/>
                    <w:rPr>
                      <w:bCs/>
                      <w:szCs w:val="21"/>
                    </w:rPr>
                  </w:pPr>
                  <w:r>
                    <w:rPr>
                      <w:rFonts w:hint="eastAsia"/>
                      <w:color w:val="000000"/>
                      <w:kern w:val="0"/>
                      <w:szCs w:val="21"/>
                    </w:rPr>
                    <w:t>0.09</w:t>
                  </w:r>
                </w:p>
              </w:tc>
              <w:tc>
                <w:tcPr>
                  <w:tcW w:w="839" w:type="dxa"/>
                  <w:noWrap/>
                  <w:vAlign w:val="center"/>
                </w:tcPr>
                <w:p>
                  <w:pPr>
                    <w:widowControl/>
                    <w:jc w:val="center"/>
                    <w:textAlignment w:val="center"/>
                    <w:rPr>
                      <w:bCs/>
                      <w:szCs w:val="21"/>
                    </w:rPr>
                  </w:pPr>
                  <w:r>
                    <w:rPr>
                      <w:color w:val="000000"/>
                      <w:kern w:val="0"/>
                      <w:szCs w:val="21"/>
                      <w:lang w:bidi="ar"/>
                    </w:rPr>
                    <w:t>0.465</w:t>
                  </w:r>
                </w:p>
              </w:tc>
              <w:tc>
                <w:tcPr>
                  <w:tcW w:w="952" w:type="dxa"/>
                  <w:noWrap/>
                  <w:vAlign w:val="center"/>
                </w:tcPr>
                <w:p>
                  <w:pPr>
                    <w:spacing w:before="120" w:beforeLines="50" w:after="120" w:afterLines="50"/>
                    <w:jc w:val="center"/>
                    <w:rPr>
                      <w:bCs/>
                      <w:szCs w:val="21"/>
                    </w:rPr>
                  </w:pPr>
                  <w:r>
                    <w:rPr>
                      <w:bCs/>
                      <w:szCs w:val="21"/>
                    </w:rPr>
                    <w:t>0</w:t>
                  </w:r>
                </w:p>
              </w:tc>
              <w:tc>
                <w:tcPr>
                  <w:tcW w:w="893" w:type="dxa"/>
                  <w:noWrap/>
                  <w:vAlign w:val="center"/>
                </w:tcPr>
                <w:p>
                  <w:pPr>
                    <w:spacing w:before="120" w:beforeLines="50" w:after="120" w:afterLines="50"/>
                    <w:jc w:val="center"/>
                    <w:rPr>
                      <w:bCs/>
                      <w:szCs w:val="21"/>
                    </w:rPr>
                  </w:pPr>
                  <w:r>
                    <w:rPr>
                      <w:bCs/>
                      <w:szCs w:val="21"/>
                    </w:rPr>
                    <w:t>+0.</w:t>
                  </w:r>
                  <w:r>
                    <w:rPr>
                      <w:rFonts w:hint="eastAsia"/>
                      <w:bCs/>
                      <w:szCs w:val="21"/>
                    </w:rPr>
                    <w:t>375</w:t>
                  </w:r>
                </w:p>
              </w:tc>
              <w:tc>
                <w:tcPr>
                  <w:tcW w:w="893" w:type="dxa"/>
                  <w:noWrap/>
                  <w:vAlign w:val="center"/>
                </w:tcPr>
                <w:p>
                  <w:pPr>
                    <w:spacing w:before="120" w:beforeLines="50" w:after="120" w:afterLines="50"/>
                    <w:jc w:val="center"/>
                    <w:rPr>
                      <w:szCs w:val="21"/>
                    </w:rPr>
                  </w:pPr>
                  <w:r>
                    <w:rPr>
                      <w:rFonts w:hint="eastAsia"/>
                      <w:szCs w:val="21"/>
                    </w:rPr>
                    <w:t>0.465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1169" w:type="dxa"/>
                  <w:vMerge w:val="continue"/>
                  <w:noWrap/>
                  <w:vAlign w:val="center"/>
                </w:tcPr>
                <w:p>
                  <w:pPr>
                    <w:spacing w:before="120" w:beforeLines="50" w:after="120" w:afterLines="50"/>
                    <w:jc w:val="center"/>
                    <w:rPr>
                      <w:bCs/>
                      <w:szCs w:val="21"/>
                    </w:rPr>
                  </w:pPr>
                </w:p>
              </w:tc>
              <w:tc>
                <w:tcPr>
                  <w:tcW w:w="1084" w:type="dxa"/>
                  <w:vMerge w:val="continue"/>
                  <w:noWrap/>
                  <w:vAlign w:val="center"/>
                </w:tcPr>
                <w:p>
                  <w:pPr>
                    <w:spacing w:before="120" w:beforeLines="50" w:after="120" w:afterLines="50"/>
                    <w:jc w:val="center"/>
                    <w:rPr>
                      <w:bCs/>
                      <w:szCs w:val="21"/>
                    </w:rPr>
                  </w:pPr>
                </w:p>
              </w:tc>
              <w:tc>
                <w:tcPr>
                  <w:tcW w:w="1058" w:type="dxa"/>
                  <w:noWrap/>
                  <w:vAlign w:val="center"/>
                </w:tcPr>
                <w:p>
                  <w:pPr>
                    <w:spacing w:before="120" w:beforeLines="50" w:after="120" w:afterLines="50"/>
                    <w:jc w:val="center"/>
                    <w:rPr>
                      <w:bCs/>
                      <w:szCs w:val="21"/>
                    </w:rPr>
                  </w:pPr>
                  <w:r>
                    <w:rPr>
                      <w:bCs/>
                      <w:szCs w:val="21"/>
                    </w:rPr>
                    <w:t>BOD</w:t>
                  </w:r>
                </w:p>
              </w:tc>
              <w:tc>
                <w:tcPr>
                  <w:tcW w:w="868" w:type="dxa"/>
                  <w:noWrap/>
                  <w:vAlign w:val="center"/>
                </w:tcPr>
                <w:p>
                  <w:pPr>
                    <w:widowControl/>
                    <w:jc w:val="center"/>
                    <w:textAlignment w:val="center"/>
                    <w:rPr>
                      <w:szCs w:val="21"/>
                    </w:rPr>
                  </w:pPr>
                  <w:r>
                    <w:rPr>
                      <w:color w:val="000000"/>
                      <w:kern w:val="0"/>
                      <w:szCs w:val="21"/>
                    </w:rPr>
                    <w:t>0.04</w:t>
                  </w:r>
                </w:p>
              </w:tc>
              <w:tc>
                <w:tcPr>
                  <w:tcW w:w="839" w:type="dxa"/>
                  <w:noWrap/>
                  <w:vAlign w:val="center"/>
                </w:tcPr>
                <w:p>
                  <w:pPr>
                    <w:widowControl/>
                    <w:jc w:val="center"/>
                    <w:textAlignment w:val="center"/>
                    <w:rPr>
                      <w:bCs/>
                      <w:szCs w:val="21"/>
                    </w:rPr>
                  </w:pPr>
                  <w:r>
                    <w:rPr>
                      <w:color w:val="000000"/>
                      <w:kern w:val="0"/>
                      <w:szCs w:val="21"/>
                      <w:lang w:bidi="ar"/>
                    </w:rPr>
                    <w:t>0.093</w:t>
                  </w:r>
                </w:p>
              </w:tc>
              <w:tc>
                <w:tcPr>
                  <w:tcW w:w="952" w:type="dxa"/>
                  <w:noWrap/>
                  <w:vAlign w:val="center"/>
                </w:tcPr>
                <w:p>
                  <w:pPr>
                    <w:spacing w:before="120" w:beforeLines="50" w:after="120" w:afterLines="50"/>
                    <w:jc w:val="center"/>
                    <w:rPr>
                      <w:bCs/>
                      <w:szCs w:val="21"/>
                    </w:rPr>
                  </w:pPr>
                  <w:r>
                    <w:rPr>
                      <w:bCs/>
                      <w:szCs w:val="21"/>
                    </w:rPr>
                    <w:t>0</w:t>
                  </w:r>
                </w:p>
              </w:tc>
              <w:tc>
                <w:tcPr>
                  <w:tcW w:w="893" w:type="dxa"/>
                  <w:noWrap/>
                  <w:vAlign w:val="center"/>
                </w:tcPr>
                <w:p>
                  <w:pPr>
                    <w:spacing w:before="120" w:beforeLines="50" w:after="120" w:afterLines="50"/>
                    <w:jc w:val="center"/>
                    <w:rPr>
                      <w:bCs/>
                      <w:szCs w:val="21"/>
                    </w:rPr>
                  </w:pPr>
                  <w:r>
                    <w:rPr>
                      <w:rFonts w:hint="eastAsia"/>
                      <w:bCs/>
                      <w:szCs w:val="21"/>
                    </w:rPr>
                    <w:t>+0.053</w:t>
                  </w:r>
                </w:p>
              </w:tc>
              <w:tc>
                <w:tcPr>
                  <w:tcW w:w="893" w:type="dxa"/>
                  <w:noWrap/>
                  <w:vAlign w:val="center"/>
                </w:tcPr>
                <w:p>
                  <w:pPr>
                    <w:spacing w:before="120" w:beforeLines="50" w:after="120" w:afterLines="50"/>
                    <w:jc w:val="center"/>
                    <w:rPr>
                      <w:szCs w:val="21"/>
                    </w:rPr>
                  </w:pPr>
                  <w:r>
                    <w:rPr>
                      <w:rFonts w:hint="eastAsia"/>
                      <w:szCs w:val="21"/>
                    </w:rPr>
                    <w:t>0.093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1169" w:type="dxa"/>
                  <w:vMerge w:val="continue"/>
                  <w:noWrap/>
                  <w:vAlign w:val="center"/>
                </w:tcPr>
                <w:p>
                  <w:pPr>
                    <w:spacing w:before="120" w:beforeLines="50" w:after="120" w:afterLines="50"/>
                    <w:jc w:val="center"/>
                    <w:rPr>
                      <w:bCs/>
                      <w:szCs w:val="21"/>
                    </w:rPr>
                  </w:pPr>
                </w:p>
              </w:tc>
              <w:tc>
                <w:tcPr>
                  <w:tcW w:w="1084" w:type="dxa"/>
                  <w:vMerge w:val="continue"/>
                  <w:noWrap/>
                  <w:vAlign w:val="center"/>
                </w:tcPr>
                <w:p>
                  <w:pPr>
                    <w:spacing w:before="120" w:beforeLines="50" w:after="120" w:afterLines="50"/>
                    <w:jc w:val="center"/>
                    <w:rPr>
                      <w:bCs/>
                      <w:szCs w:val="21"/>
                    </w:rPr>
                  </w:pPr>
                </w:p>
              </w:tc>
              <w:tc>
                <w:tcPr>
                  <w:tcW w:w="1058" w:type="dxa"/>
                  <w:noWrap/>
                  <w:vAlign w:val="center"/>
                </w:tcPr>
                <w:p>
                  <w:pPr>
                    <w:spacing w:before="120" w:beforeLines="50" w:after="120" w:afterLines="50"/>
                    <w:jc w:val="center"/>
                    <w:rPr>
                      <w:bCs/>
                      <w:szCs w:val="21"/>
                    </w:rPr>
                  </w:pPr>
                  <w:r>
                    <w:rPr>
                      <w:bCs/>
                      <w:szCs w:val="21"/>
                    </w:rPr>
                    <w:t>SS</w:t>
                  </w:r>
                </w:p>
              </w:tc>
              <w:tc>
                <w:tcPr>
                  <w:tcW w:w="868" w:type="dxa"/>
                  <w:noWrap/>
                  <w:vAlign w:val="center"/>
                </w:tcPr>
                <w:p>
                  <w:pPr>
                    <w:widowControl/>
                    <w:jc w:val="center"/>
                    <w:textAlignment w:val="center"/>
                    <w:rPr>
                      <w:szCs w:val="21"/>
                    </w:rPr>
                  </w:pPr>
                  <w:r>
                    <w:rPr>
                      <w:color w:val="000000"/>
                      <w:kern w:val="0"/>
                      <w:szCs w:val="21"/>
                    </w:rPr>
                    <w:t>0.09</w:t>
                  </w:r>
                </w:p>
              </w:tc>
              <w:tc>
                <w:tcPr>
                  <w:tcW w:w="839" w:type="dxa"/>
                  <w:noWrap/>
                  <w:vAlign w:val="center"/>
                </w:tcPr>
                <w:p>
                  <w:pPr>
                    <w:widowControl/>
                    <w:jc w:val="center"/>
                    <w:textAlignment w:val="center"/>
                    <w:rPr>
                      <w:bCs/>
                      <w:szCs w:val="21"/>
                    </w:rPr>
                  </w:pPr>
                  <w:r>
                    <w:rPr>
                      <w:color w:val="000000"/>
                      <w:kern w:val="0"/>
                      <w:szCs w:val="21"/>
                      <w:lang w:bidi="ar"/>
                    </w:rPr>
                    <w:t>0.093</w:t>
                  </w:r>
                </w:p>
              </w:tc>
              <w:tc>
                <w:tcPr>
                  <w:tcW w:w="952" w:type="dxa"/>
                  <w:noWrap/>
                  <w:vAlign w:val="center"/>
                </w:tcPr>
                <w:p>
                  <w:pPr>
                    <w:spacing w:before="120" w:beforeLines="50" w:after="120" w:afterLines="50"/>
                    <w:jc w:val="center"/>
                    <w:rPr>
                      <w:bCs/>
                      <w:szCs w:val="21"/>
                    </w:rPr>
                  </w:pPr>
                  <w:r>
                    <w:rPr>
                      <w:rFonts w:hint="eastAsia"/>
                      <w:bCs/>
                      <w:szCs w:val="21"/>
                    </w:rPr>
                    <w:t>0</w:t>
                  </w:r>
                </w:p>
              </w:tc>
              <w:tc>
                <w:tcPr>
                  <w:tcW w:w="893" w:type="dxa"/>
                  <w:noWrap/>
                  <w:vAlign w:val="center"/>
                </w:tcPr>
                <w:p>
                  <w:pPr>
                    <w:spacing w:before="120" w:beforeLines="50" w:after="120" w:afterLines="50"/>
                    <w:jc w:val="center"/>
                    <w:rPr>
                      <w:bCs/>
                      <w:szCs w:val="21"/>
                    </w:rPr>
                  </w:pPr>
                  <w:r>
                    <w:rPr>
                      <w:rFonts w:hint="eastAsia"/>
                      <w:bCs/>
                      <w:szCs w:val="21"/>
                    </w:rPr>
                    <w:t>-0.003</w:t>
                  </w:r>
                </w:p>
              </w:tc>
              <w:tc>
                <w:tcPr>
                  <w:tcW w:w="893" w:type="dxa"/>
                  <w:noWrap/>
                  <w:vAlign w:val="center"/>
                </w:tcPr>
                <w:p>
                  <w:pPr>
                    <w:spacing w:before="120" w:beforeLines="50" w:after="120" w:afterLines="50"/>
                    <w:jc w:val="center"/>
                    <w:rPr>
                      <w:szCs w:val="21"/>
                    </w:rPr>
                  </w:pPr>
                  <w:r>
                    <w:rPr>
                      <w:rFonts w:hint="eastAsia"/>
                      <w:szCs w:val="21"/>
                    </w:rPr>
                    <w:t>0.093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1169" w:type="dxa"/>
                  <w:vMerge w:val="continue"/>
                  <w:noWrap/>
                  <w:vAlign w:val="center"/>
                </w:tcPr>
                <w:p>
                  <w:pPr>
                    <w:spacing w:before="120" w:beforeLines="50" w:after="120" w:afterLines="50"/>
                    <w:jc w:val="center"/>
                    <w:rPr>
                      <w:bCs/>
                      <w:szCs w:val="21"/>
                    </w:rPr>
                  </w:pPr>
                </w:p>
              </w:tc>
              <w:tc>
                <w:tcPr>
                  <w:tcW w:w="1084" w:type="dxa"/>
                  <w:vMerge w:val="continue"/>
                  <w:noWrap/>
                  <w:vAlign w:val="center"/>
                </w:tcPr>
                <w:p>
                  <w:pPr>
                    <w:spacing w:before="120" w:beforeLines="50" w:after="120" w:afterLines="50"/>
                    <w:jc w:val="center"/>
                    <w:rPr>
                      <w:bCs/>
                      <w:szCs w:val="21"/>
                    </w:rPr>
                  </w:pPr>
                </w:p>
              </w:tc>
              <w:tc>
                <w:tcPr>
                  <w:tcW w:w="1058" w:type="dxa"/>
                  <w:noWrap/>
                  <w:vAlign w:val="center"/>
                </w:tcPr>
                <w:p>
                  <w:pPr>
                    <w:spacing w:before="120" w:beforeLines="50" w:after="120" w:afterLines="50"/>
                    <w:jc w:val="center"/>
                    <w:rPr>
                      <w:bCs/>
                      <w:szCs w:val="21"/>
                    </w:rPr>
                  </w:pPr>
                  <w:r>
                    <w:rPr>
                      <w:bCs/>
                      <w:szCs w:val="21"/>
                    </w:rPr>
                    <w:t>氨氮</w:t>
                  </w:r>
                </w:p>
              </w:tc>
              <w:tc>
                <w:tcPr>
                  <w:tcW w:w="868" w:type="dxa"/>
                  <w:noWrap/>
                  <w:vAlign w:val="center"/>
                </w:tcPr>
                <w:p>
                  <w:pPr>
                    <w:widowControl/>
                    <w:jc w:val="center"/>
                    <w:textAlignment w:val="center"/>
                    <w:rPr>
                      <w:szCs w:val="21"/>
                    </w:rPr>
                  </w:pPr>
                  <w:r>
                    <w:rPr>
                      <w:color w:val="000000"/>
                      <w:kern w:val="0"/>
                      <w:szCs w:val="21"/>
                    </w:rPr>
                    <w:t>0.02</w:t>
                  </w:r>
                </w:p>
              </w:tc>
              <w:tc>
                <w:tcPr>
                  <w:tcW w:w="839" w:type="dxa"/>
                  <w:noWrap/>
                  <w:vAlign w:val="center"/>
                </w:tcPr>
                <w:p>
                  <w:pPr>
                    <w:widowControl/>
                    <w:jc w:val="center"/>
                    <w:textAlignment w:val="center"/>
                    <w:rPr>
                      <w:bCs/>
                      <w:szCs w:val="21"/>
                    </w:rPr>
                  </w:pPr>
                  <w:r>
                    <w:rPr>
                      <w:color w:val="000000"/>
                      <w:kern w:val="0"/>
                      <w:szCs w:val="21"/>
                      <w:lang w:bidi="ar"/>
                    </w:rPr>
                    <w:t>0.0465</w:t>
                  </w:r>
                </w:p>
              </w:tc>
              <w:tc>
                <w:tcPr>
                  <w:tcW w:w="952" w:type="dxa"/>
                  <w:noWrap/>
                  <w:vAlign w:val="center"/>
                </w:tcPr>
                <w:p>
                  <w:pPr>
                    <w:spacing w:before="120" w:beforeLines="50" w:after="120" w:afterLines="50"/>
                    <w:jc w:val="center"/>
                    <w:rPr>
                      <w:bCs/>
                      <w:szCs w:val="21"/>
                    </w:rPr>
                  </w:pPr>
                  <w:r>
                    <w:rPr>
                      <w:bCs/>
                      <w:szCs w:val="21"/>
                    </w:rPr>
                    <w:t>0</w:t>
                  </w:r>
                </w:p>
              </w:tc>
              <w:tc>
                <w:tcPr>
                  <w:tcW w:w="893" w:type="dxa"/>
                  <w:noWrap/>
                  <w:vAlign w:val="center"/>
                </w:tcPr>
                <w:p>
                  <w:pPr>
                    <w:spacing w:before="120" w:beforeLines="50" w:after="120" w:afterLines="50"/>
                    <w:jc w:val="center"/>
                    <w:rPr>
                      <w:bCs/>
                      <w:szCs w:val="21"/>
                    </w:rPr>
                  </w:pPr>
                  <w:r>
                    <w:rPr>
                      <w:rFonts w:hint="eastAsia"/>
                      <w:bCs/>
                      <w:szCs w:val="21"/>
                    </w:rPr>
                    <w:t>+0.027</w:t>
                  </w:r>
                </w:p>
              </w:tc>
              <w:tc>
                <w:tcPr>
                  <w:tcW w:w="893" w:type="dxa"/>
                  <w:noWrap/>
                  <w:vAlign w:val="center"/>
                </w:tcPr>
                <w:p>
                  <w:pPr>
                    <w:spacing w:before="120" w:beforeLines="50" w:after="120" w:afterLines="50"/>
                    <w:jc w:val="center"/>
                    <w:rPr>
                      <w:szCs w:val="21"/>
                    </w:rPr>
                  </w:pPr>
                  <w:r>
                    <w:rPr>
                      <w:rFonts w:hint="eastAsia"/>
                      <w:szCs w:val="21"/>
                    </w:rPr>
                    <w:t>0.0465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169" w:type="dxa"/>
                  <w:vMerge w:val="continue"/>
                  <w:noWrap/>
                  <w:vAlign w:val="center"/>
                </w:tcPr>
                <w:p>
                  <w:pPr>
                    <w:spacing w:before="120" w:beforeLines="50" w:after="120" w:afterLines="50"/>
                    <w:jc w:val="center"/>
                    <w:rPr>
                      <w:bCs/>
                      <w:szCs w:val="21"/>
                    </w:rPr>
                  </w:pPr>
                </w:p>
              </w:tc>
              <w:tc>
                <w:tcPr>
                  <w:tcW w:w="1084" w:type="dxa"/>
                  <w:vMerge w:val="continue"/>
                  <w:tcBorders>
                    <w:bottom w:val="single" w:color="auto" w:sz="4" w:space="0"/>
                  </w:tcBorders>
                  <w:noWrap/>
                  <w:vAlign w:val="center"/>
                </w:tcPr>
                <w:p>
                  <w:pPr>
                    <w:spacing w:before="120" w:beforeLines="50" w:after="120" w:afterLines="50"/>
                    <w:jc w:val="center"/>
                    <w:rPr>
                      <w:bCs/>
                      <w:szCs w:val="21"/>
                    </w:rPr>
                  </w:pPr>
                </w:p>
              </w:tc>
              <w:tc>
                <w:tcPr>
                  <w:tcW w:w="1058" w:type="dxa"/>
                  <w:noWrap/>
                  <w:vAlign w:val="center"/>
                </w:tcPr>
                <w:p>
                  <w:pPr>
                    <w:spacing w:before="120" w:beforeLines="50" w:after="120" w:afterLines="50"/>
                    <w:jc w:val="center"/>
                    <w:rPr>
                      <w:bCs/>
                      <w:szCs w:val="21"/>
                    </w:rPr>
                  </w:pPr>
                  <w:r>
                    <w:rPr>
                      <w:bCs/>
                      <w:szCs w:val="21"/>
                    </w:rPr>
                    <w:t>石油类</w:t>
                  </w:r>
                </w:p>
              </w:tc>
              <w:tc>
                <w:tcPr>
                  <w:tcW w:w="868" w:type="dxa"/>
                  <w:noWrap/>
                  <w:vAlign w:val="center"/>
                </w:tcPr>
                <w:p>
                  <w:pPr>
                    <w:widowControl/>
                    <w:jc w:val="center"/>
                    <w:textAlignment w:val="center"/>
                    <w:rPr>
                      <w:bCs/>
                      <w:szCs w:val="21"/>
                    </w:rPr>
                  </w:pPr>
                  <w:r>
                    <w:rPr>
                      <w:color w:val="000000"/>
                      <w:kern w:val="0"/>
                      <w:szCs w:val="21"/>
                    </w:rPr>
                    <w:t>0.0</w:t>
                  </w:r>
                  <w:r>
                    <w:rPr>
                      <w:rFonts w:hint="eastAsia"/>
                      <w:color w:val="000000"/>
                      <w:kern w:val="0"/>
                      <w:szCs w:val="21"/>
                    </w:rPr>
                    <w:t>003</w:t>
                  </w:r>
                </w:p>
              </w:tc>
              <w:tc>
                <w:tcPr>
                  <w:tcW w:w="839" w:type="dxa"/>
                  <w:noWrap/>
                  <w:vAlign w:val="center"/>
                </w:tcPr>
                <w:p>
                  <w:pPr>
                    <w:widowControl/>
                    <w:jc w:val="center"/>
                    <w:textAlignment w:val="center"/>
                    <w:rPr>
                      <w:bCs/>
                      <w:szCs w:val="21"/>
                    </w:rPr>
                  </w:pPr>
                  <w:r>
                    <w:rPr>
                      <w:color w:val="000000"/>
                      <w:kern w:val="0"/>
                      <w:szCs w:val="21"/>
                      <w:lang w:bidi="ar"/>
                    </w:rPr>
                    <w:t>0.00</w:t>
                  </w:r>
                  <w:r>
                    <w:rPr>
                      <w:rFonts w:hint="eastAsia"/>
                      <w:color w:val="000000"/>
                      <w:kern w:val="0"/>
                      <w:szCs w:val="21"/>
                      <w:lang w:bidi="ar"/>
                    </w:rPr>
                    <w:t>23</w:t>
                  </w:r>
                </w:p>
              </w:tc>
              <w:tc>
                <w:tcPr>
                  <w:tcW w:w="952" w:type="dxa"/>
                  <w:noWrap/>
                  <w:vAlign w:val="center"/>
                </w:tcPr>
                <w:p>
                  <w:pPr>
                    <w:spacing w:before="120" w:beforeLines="50" w:after="120" w:afterLines="50"/>
                    <w:jc w:val="center"/>
                    <w:rPr>
                      <w:bCs/>
                      <w:szCs w:val="21"/>
                    </w:rPr>
                  </w:pPr>
                  <w:r>
                    <w:rPr>
                      <w:rFonts w:hint="eastAsia"/>
                      <w:bCs/>
                      <w:szCs w:val="21"/>
                    </w:rPr>
                    <w:t>0</w:t>
                  </w:r>
                </w:p>
              </w:tc>
              <w:tc>
                <w:tcPr>
                  <w:tcW w:w="893" w:type="dxa"/>
                  <w:noWrap/>
                  <w:vAlign w:val="center"/>
                </w:tcPr>
                <w:p>
                  <w:pPr>
                    <w:spacing w:before="120" w:beforeLines="50" w:after="120" w:afterLines="50"/>
                    <w:jc w:val="center"/>
                    <w:rPr>
                      <w:bCs/>
                      <w:szCs w:val="21"/>
                    </w:rPr>
                  </w:pPr>
                  <w:r>
                    <w:rPr>
                      <w:rFonts w:hint="eastAsia"/>
                      <w:bCs/>
                      <w:szCs w:val="21"/>
                    </w:rPr>
                    <w:t>-0.002</w:t>
                  </w:r>
                </w:p>
              </w:tc>
              <w:tc>
                <w:tcPr>
                  <w:tcW w:w="893" w:type="dxa"/>
                  <w:noWrap/>
                  <w:vAlign w:val="center"/>
                </w:tcPr>
                <w:p>
                  <w:pPr>
                    <w:spacing w:before="120" w:beforeLines="50" w:after="120" w:afterLines="50"/>
                    <w:jc w:val="center"/>
                    <w:rPr>
                      <w:bCs/>
                      <w:szCs w:val="21"/>
                    </w:rPr>
                  </w:pPr>
                  <w:r>
                    <w:rPr>
                      <w:bCs/>
                      <w:szCs w:val="21"/>
                    </w:rPr>
                    <w:t>0.00</w:t>
                  </w:r>
                  <w:r>
                    <w:rPr>
                      <w:rFonts w:hint="eastAsia"/>
                      <w:bCs/>
                      <w:szCs w:val="21"/>
                    </w:rPr>
                    <w:t>23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169" w:type="dxa"/>
                  <w:vMerge w:val="continue"/>
                  <w:noWrap/>
                  <w:vAlign w:val="center"/>
                </w:tcPr>
                <w:p>
                  <w:pPr>
                    <w:spacing w:before="120" w:beforeLines="50" w:after="120" w:afterLines="50"/>
                    <w:jc w:val="center"/>
                    <w:rPr>
                      <w:bCs/>
                      <w:szCs w:val="21"/>
                    </w:rPr>
                  </w:pPr>
                </w:p>
              </w:tc>
              <w:tc>
                <w:tcPr>
                  <w:tcW w:w="1084" w:type="dxa"/>
                  <w:vMerge w:val="restart"/>
                  <w:noWrap/>
                  <w:vAlign w:val="center"/>
                </w:tcPr>
                <w:p>
                  <w:pPr>
                    <w:spacing w:before="120" w:beforeLines="50" w:after="120" w:afterLines="50"/>
                    <w:jc w:val="center"/>
                    <w:rPr>
                      <w:bCs/>
                      <w:szCs w:val="21"/>
                    </w:rPr>
                  </w:pPr>
                  <w:r>
                    <w:rPr>
                      <w:bCs/>
                      <w:szCs w:val="21"/>
                    </w:rPr>
                    <w:t>生活污水</w:t>
                  </w:r>
                </w:p>
              </w:tc>
              <w:tc>
                <w:tcPr>
                  <w:tcW w:w="1058" w:type="dxa"/>
                  <w:noWrap/>
                  <w:vAlign w:val="center"/>
                </w:tcPr>
                <w:p>
                  <w:pPr>
                    <w:spacing w:before="120" w:beforeLines="50" w:after="120" w:afterLines="50"/>
                    <w:jc w:val="center"/>
                    <w:rPr>
                      <w:bCs/>
                      <w:szCs w:val="21"/>
                    </w:rPr>
                  </w:pPr>
                  <w:r>
                    <w:rPr>
                      <w:bCs/>
                      <w:szCs w:val="21"/>
                    </w:rPr>
                    <w:t>COD</w:t>
                  </w:r>
                </w:p>
              </w:tc>
              <w:tc>
                <w:tcPr>
                  <w:tcW w:w="868" w:type="dxa"/>
                  <w:noWrap/>
                  <w:vAlign w:val="center"/>
                </w:tcPr>
                <w:p>
                  <w:pPr>
                    <w:spacing w:before="120" w:beforeLines="50" w:after="120" w:afterLines="50"/>
                    <w:jc w:val="center"/>
                    <w:rPr>
                      <w:bCs/>
                      <w:szCs w:val="21"/>
                    </w:rPr>
                  </w:pPr>
                  <w:r>
                    <w:rPr>
                      <w:bCs/>
                      <w:szCs w:val="21"/>
                    </w:rPr>
                    <w:t>0</w:t>
                  </w:r>
                </w:p>
              </w:tc>
              <w:tc>
                <w:tcPr>
                  <w:tcW w:w="839" w:type="dxa"/>
                  <w:noWrap/>
                  <w:vAlign w:val="center"/>
                </w:tcPr>
                <w:p>
                  <w:pPr>
                    <w:widowControl/>
                    <w:jc w:val="center"/>
                    <w:textAlignment w:val="center"/>
                    <w:rPr>
                      <w:bCs/>
                      <w:szCs w:val="21"/>
                    </w:rPr>
                  </w:pPr>
                  <w:r>
                    <w:rPr>
                      <w:color w:val="000000"/>
                      <w:kern w:val="0"/>
                      <w:szCs w:val="21"/>
                      <w:lang w:bidi="ar"/>
                    </w:rPr>
                    <w:t>0.5</w:t>
                  </w:r>
                </w:p>
              </w:tc>
              <w:tc>
                <w:tcPr>
                  <w:tcW w:w="952" w:type="dxa"/>
                  <w:noWrap/>
                  <w:vAlign w:val="center"/>
                </w:tcPr>
                <w:p>
                  <w:pPr>
                    <w:spacing w:before="120" w:beforeLines="50" w:after="120" w:afterLines="50"/>
                    <w:jc w:val="center"/>
                    <w:rPr>
                      <w:bCs/>
                      <w:szCs w:val="21"/>
                    </w:rPr>
                  </w:pPr>
                  <w:r>
                    <w:rPr>
                      <w:bCs/>
                      <w:szCs w:val="21"/>
                    </w:rPr>
                    <w:t>0</w:t>
                  </w:r>
                </w:p>
              </w:tc>
              <w:tc>
                <w:tcPr>
                  <w:tcW w:w="893" w:type="dxa"/>
                  <w:noWrap/>
                  <w:vAlign w:val="center"/>
                </w:tcPr>
                <w:p>
                  <w:pPr>
                    <w:spacing w:before="120" w:beforeLines="50" w:after="120" w:afterLines="50"/>
                    <w:jc w:val="center"/>
                    <w:rPr>
                      <w:bCs/>
                      <w:szCs w:val="21"/>
                    </w:rPr>
                  </w:pPr>
                  <w:r>
                    <w:rPr>
                      <w:bCs/>
                      <w:szCs w:val="21"/>
                    </w:rPr>
                    <w:t>+0.5</w:t>
                  </w:r>
                </w:p>
              </w:tc>
              <w:tc>
                <w:tcPr>
                  <w:tcW w:w="893" w:type="dxa"/>
                  <w:noWrap/>
                  <w:vAlign w:val="center"/>
                </w:tcPr>
                <w:p>
                  <w:pPr>
                    <w:widowControl/>
                    <w:jc w:val="center"/>
                    <w:textAlignment w:val="center"/>
                    <w:rPr>
                      <w:bCs/>
                      <w:szCs w:val="21"/>
                    </w:rPr>
                  </w:pPr>
                  <w:r>
                    <w:rPr>
                      <w:color w:val="000000"/>
                      <w:kern w:val="0"/>
                      <w:szCs w:val="21"/>
                      <w:lang w:bidi="ar"/>
                    </w:rPr>
                    <w:t>0.5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169" w:type="dxa"/>
                  <w:vMerge w:val="continue"/>
                  <w:noWrap/>
                  <w:vAlign w:val="center"/>
                </w:tcPr>
                <w:p>
                  <w:pPr>
                    <w:spacing w:before="120" w:beforeLines="50" w:after="120" w:afterLines="50"/>
                    <w:jc w:val="center"/>
                    <w:rPr>
                      <w:bCs/>
                      <w:szCs w:val="21"/>
                    </w:rPr>
                  </w:pPr>
                </w:p>
              </w:tc>
              <w:tc>
                <w:tcPr>
                  <w:tcW w:w="1084" w:type="dxa"/>
                  <w:vMerge w:val="continue"/>
                  <w:noWrap/>
                  <w:vAlign w:val="center"/>
                </w:tcPr>
                <w:p>
                  <w:pPr>
                    <w:spacing w:before="120" w:beforeLines="50" w:after="120" w:afterLines="50"/>
                    <w:jc w:val="center"/>
                    <w:rPr>
                      <w:bCs/>
                      <w:szCs w:val="21"/>
                    </w:rPr>
                  </w:pPr>
                </w:p>
              </w:tc>
              <w:tc>
                <w:tcPr>
                  <w:tcW w:w="1058" w:type="dxa"/>
                  <w:noWrap/>
                  <w:vAlign w:val="center"/>
                </w:tcPr>
                <w:p>
                  <w:pPr>
                    <w:spacing w:before="120" w:beforeLines="50" w:after="120" w:afterLines="50"/>
                    <w:jc w:val="center"/>
                    <w:rPr>
                      <w:bCs/>
                      <w:szCs w:val="21"/>
                    </w:rPr>
                  </w:pPr>
                  <w:r>
                    <w:rPr>
                      <w:bCs/>
                      <w:szCs w:val="21"/>
                    </w:rPr>
                    <w:t>BOD</w:t>
                  </w:r>
                </w:p>
              </w:tc>
              <w:tc>
                <w:tcPr>
                  <w:tcW w:w="868" w:type="dxa"/>
                  <w:noWrap/>
                  <w:vAlign w:val="center"/>
                </w:tcPr>
                <w:p>
                  <w:pPr>
                    <w:spacing w:before="120" w:beforeLines="50" w:after="120" w:afterLines="50"/>
                    <w:jc w:val="center"/>
                    <w:rPr>
                      <w:bCs/>
                      <w:szCs w:val="21"/>
                    </w:rPr>
                  </w:pPr>
                  <w:r>
                    <w:rPr>
                      <w:bCs/>
                      <w:szCs w:val="21"/>
                    </w:rPr>
                    <w:t>0</w:t>
                  </w:r>
                </w:p>
              </w:tc>
              <w:tc>
                <w:tcPr>
                  <w:tcW w:w="839" w:type="dxa"/>
                  <w:noWrap/>
                  <w:vAlign w:val="center"/>
                </w:tcPr>
                <w:p>
                  <w:pPr>
                    <w:widowControl/>
                    <w:jc w:val="center"/>
                    <w:textAlignment w:val="center"/>
                    <w:rPr>
                      <w:bCs/>
                      <w:szCs w:val="21"/>
                    </w:rPr>
                  </w:pPr>
                  <w:r>
                    <w:rPr>
                      <w:color w:val="000000"/>
                      <w:kern w:val="0"/>
                      <w:szCs w:val="21"/>
                      <w:lang w:bidi="ar"/>
                    </w:rPr>
                    <w:t>0.1</w:t>
                  </w:r>
                </w:p>
              </w:tc>
              <w:tc>
                <w:tcPr>
                  <w:tcW w:w="952" w:type="dxa"/>
                  <w:noWrap/>
                  <w:vAlign w:val="center"/>
                </w:tcPr>
                <w:p>
                  <w:pPr>
                    <w:spacing w:before="120" w:beforeLines="50" w:after="120" w:afterLines="50"/>
                    <w:jc w:val="center"/>
                    <w:rPr>
                      <w:bCs/>
                      <w:szCs w:val="21"/>
                    </w:rPr>
                  </w:pPr>
                  <w:r>
                    <w:rPr>
                      <w:bCs/>
                      <w:szCs w:val="21"/>
                    </w:rPr>
                    <w:t>0</w:t>
                  </w:r>
                </w:p>
              </w:tc>
              <w:tc>
                <w:tcPr>
                  <w:tcW w:w="893" w:type="dxa"/>
                  <w:noWrap/>
                  <w:vAlign w:val="center"/>
                </w:tcPr>
                <w:p>
                  <w:pPr>
                    <w:spacing w:before="120" w:beforeLines="50" w:after="120" w:afterLines="50"/>
                    <w:jc w:val="center"/>
                    <w:rPr>
                      <w:bCs/>
                      <w:szCs w:val="21"/>
                    </w:rPr>
                  </w:pPr>
                  <w:r>
                    <w:rPr>
                      <w:bCs/>
                      <w:szCs w:val="21"/>
                    </w:rPr>
                    <w:t>+0.1</w:t>
                  </w:r>
                </w:p>
              </w:tc>
              <w:tc>
                <w:tcPr>
                  <w:tcW w:w="893" w:type="dxa"/>
                  <w:noWrap/>
                  <w:vAlign w:val="center"/>
                </w:tcPr>
                <w:p>
                  <w:pPr>
                    <w:widowControl/>
                    <w:jc w:val="center"/>
                    <w:textAlignment w:val="center"/>
                    <w:rPr>
                      <w:bCs/>
                      <w:szCs w:val="21"/>
                    </w:rPr>
                  </w:pPr>
                  <w:r>
                    <w:rPr>
                      <w:color w:val="000000"/>
                      <w:kern w:val="0"/>
                      <w:szCs w:val="21"/>
                      <w:lang w:bidi="ar"/>
                    </w:rPr>
                    <w:t>0.1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169" w:type="dxa"/>
                  <w:vMerge w:val="continue"/>
                  <w:noWrap/>
                  <w:vAlign w:val="center"/>
                </w:tcPr>
                <w:p>
                  <w:pPr>
                    <w:spacing w:before="120" w:beforeLines="50" w:after="120" w:afterLines="50"/>
                    <w:jc w:val="center"/>
                    <w:rPr>
                      <w:bCs/>
                      <w:szCs w:val="21"/>
                    </w:rPr>
                  </w:pPr>
                </w:p>
              </w:tc>
              <w:tc>
                <w:tcPr>
                  <w:tcW w:w="1084" w:type="dxa"/>
                  <w:vMerge w:val="continue"/>
                  <w:noWrap/>
                  <w:vAlign w:val="center"/>
                </w:tcPr>
                <w:p>
                  <w:pPr>
                    <w:spacing w:before="120" w:beforeLines="50" w:after="120" w:afterLines="50"/>
                    <w:jc w:val="center"/>
                    <w:rPr>
                      <w:bCs/>
                      <w:szCs w:val="21"/>
                    </w:rPr>
                  </w:pPr>
                </w:p>
              </w:tc>
              <w:tc>
                <w:tcPr>
                  <w:tcW w:w="1058" w:type="dxa"/>
                  <w:noWrap/>
                  <w:vAlign w:val="center"/>
                </w:tcPr>
                <w:p>
                  <w:pPr>
                    <w:spacing w:before="120" w:beforeLines="50" w:after="120" w:afterLines="50"/>
                    <w:jc w:val="center"/>
                    <w:rPr>
                      <w:bCs/>
                      <w:szCs w:val="21"/>
                    </w:rPr>
                  </w:pPr>
                  <w:r>
                    <w:rPr>
                      <w:bCs/>
                      <w:szCs w:val="21"/>
                    </w:rPr>
                    <w:t>SS</w:t>
                  </w:r>
                </w:p>
              </w:tc>
              <w:tc>
                <w:tcPr>
                  <w:tcW w:w="868" w:type="dxa"/>
                  <w:noWrap/>
                  <w:vAlign w:val="center"/>
                </w:tcPr>
                <w:p>
                  <w:pPr>
                    <w:spacing w:before="120" w:beforeLines="50" w:after="120" w:afterLines="50"/>
                    <w:jc w:val="center"/>
                    <w:rPr>
                      <w:bCs/>
                      <w:szCs w:val="21"/>
                    </w:rPr>
                  </w:pPr>
                  <w:r>
                    <w:rPr>
                      <w:bCs/>
                      <w:szCs w:val="21"/>
                    </w:rPr>
                    <w:t>0</w:t>
                  </w:r>
                </w:p>
              </w:tc>
              <w:tc>
                <w:tcPr>
                  <w:tcW w:w="839" w:type="dxa"/>
                  <w:noWrap/>
                  <w:vAlign w:val="center"/>
                </w:tcPr>
                <w:p>
                  <w:pPr>
                    <w:widowControl/>
                    <w:jc w:val="center"/>
                    <w:textAlignment w:val="center"/>
                    <w:rPr>
                      <w:bCs/>
                      <w:szCs w:val="21"/>
                    </w:rPr>
                  </w:pPr>
                  <w:r>
                    <w:rPr>
                      <w:color w:val="000000"/>
                      <w:kern w:val="0"/>
                      <w:szCs w:val="21"/>
                      <w:lang w:bidi="ar"/>
                    </w:rPr>
                    <w:t>0.1</w:t>
                  </w:r>
                </w:p>
              </w:tc>
              <w:tc>
                <w:tcPr>
                  <w:tcW w:w="952" w:type="dxa"/>
                  <w:noWrap/>
                  <w:vAlign w:val="center"/>
                </w:tcPr>
                <w:p>
                  <w:pPr>
                    <w:spacing w:before="120" w:beforeLines="50" w:after="120" w:afterLines="50"/>
                    <w:jc w:val="center"/>
                    <w:rPr>
                      <w:bCs/>
                      <w:szCs w:val="21"/>
                    </w:rPr>
                  </w:pPr>
                  <w:r>
                    <w:rPr>
                      <w:bCs/>
                      <w:szCs w:val="21"/>
                    </w:rPr>
                    <w:t>0</w:t>
                  </w:r>
                </w:p>
              </w:tc>
              <w:tc>
                <w:tcPr>
                  <w:tcW w:w="893" w:type="dxa"/>
                  <w:noWrap/>
                  <w:vAlign w:val="center"/>
                </w:tcPr>
                <w:p>
                  <w:pPr>
                    <w:spacing w:before="120" w:beforeLines="50" w:after="120" w:afterLines="50"/>
                    <w:jc w:val="center"/>
                    <w:rPr>
                      <w:bCs/>
                      <w:szCs w:val="21"/>
                    </w:rPr>
                  </w:pPr>
                  <w:r>
                    <w:rPr>
                      <w:bCs/>
                      <w:szCs w:val="21"/>
                    </w:rPr>
                    <w:t>+0.1</w:t>
                  </w:r>
                </w:p>
              </w:tc>
              <w:tc>
                <w:tcPr>
                  <w:tcW w:w="893" w:type="dxa"/>
                  <w:noWrap/>
                  <w:vAlign w:val="center"/>
                </w:tcPr>
                <w:p>
                  <w:pPr>
                    <w:widowControl/>
                    <w:jc w:val="center"/>
                    <w:textAlignment w:val="center"/>
                    <w:rPr>
                      <w:bCs/>
                      <w:szCs w:val="21"/>
                    </w:rPr>
                  </w:pPr>
                  <w:r>
                    <w:rPr>
                      <w:color w:val="000000"/>
                      <w:kern w:val="0"/>
                      <w:szCs w:val="21"/>
                      <w:lang w:bidi="ar"/>
                    </w:rPr>
                    <w:t>0.1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169" w:type="dxa"/>
                  <w:vMerge w:val="continue"/>
                  <w:noWrap/>
                  <w:vAlign w:val="center"/>
                </w:tcPr>
                <w:p>
                  <w:pPr>
                    <w:spacing w:before="120" w:beforeLines="50" w:after="120" w:afterLines="50"/>
                    <w:jc w:val="center"/>
                    <w:rPr>
                      <w:bCs/>
                      <w:szCs w:val="21"/>
                    </w:rPr>
                  </w:pPr>
                </w:p>
              </w:tc>
              <w:tc>
                <w:tcPr>
                  <w:tcW w:w="1084" w:type="dxa"/>
                  <w:vMerge w:val="continue"/>
                  <w:noWrap/>
                  <w:vAlign w:val="center"/>
                </w:tcPr>
                <w:p>
                  <w:pPr>
                    <w:spacing w:before="120" w:beforeLines="50" w:after="120" w:afterLines="50"/>
                    <w:jc w:val="center"/>
                    <w:rPr>
                      <w:bCs/>
                      <w:szCs w:val="21"/>
                    </w:rPr>
                  </w:pPr>
                </w:p>
              </w:tc>
              <w:tc>
                <w:tcPr>
                  <w:tcW w:w="1058" w:type="dxa"/>
                  <w:noWrap/>
                  <w:vAlign w:val="center"/>
                </w:tcPr>
                <w:p>
                  <w:pPr>
                    <w:spacing w:before="120" w:beforeLines="50" w:after="120" w:afterLines="50"/>
                    <w:jc w:val="center"/>
                    <w:rPr>
                      <w:bCs/>
                      <w:szCs w:val="21"/>
                    </w:rPr>
                  </w:pPr>
                  <w:r>
                    <w:rPr>
                      <w:bCs/>
                      <w:szCs w:val="21"/>
                    </w:rPr>
                    <w:t>氨氮</w:t>
                  </w:r>
                </w:p>
              </w:tc>
              <w:tc>
                <w:tcPr>
                  <w:tcW w:w="868" w:type="dxa"/>
                  <w:noWrap/>
                  <w:vAlign w:val="center"/>
                </w:tcPr>
                <w:p>
                  <w:pPr>
                    <w:spacing w:before="120" w:beforeLines="50" w:after="120" w:afterLines="50"/>
                    <w:jc w:val="center"/>
                    <w:rPr>
                      <w:bCs/>
                      <w:szCs w:val="21"/>
                    </w:rPr>
                  </w:pPr>
                  <w:r>
                    <w:rPr>
                      <w:bCs/>
                      <w:szCs w:val="21"/>
                    </w:rPr>
                    <w:t>0</w:t>
                  </w:r>
                </w:p>
              </w:tc>
              <w:tc>
                <w:tcPr>
                  <w:tcW w:w="839" w:type="dxa"/>
                  <w:noWrap/>
                  <w:vAlign w:val="center"/>
                </w:tcPr>
                <w:p>
                  <w:pPr>
                    <w:widowControl/>
                    <w:jc w:val="center"/>
                    <w:textAlignment w:val="center"/>
                    <w:rPr>
                      <w:bCs/>
                      <w:szCs w:val="21"/>
                    </w:rPr>
                  </w:pPr>
                  <w:r>
                    <w:rPr>
                      <w:color w:val="000000"/>
                      <w:kern w:val="0"/>
                      <w:szCs w:val="21"/>
                      <w:lang w:bidi="ar"/>
                    </w:rPr>
                    <w:t>0.05</w:t>
                  </w:r>
                </w:p>
              </w:tc>
              <w:tc>
                <w:tcPr>
                  <w:tcW w:w="952" w:type="dxa"/>
                  <w:noWrap/>
                  <w:vAlign w:val="center"/>
                </w:tcPr>
                <w:p>
                  <w:pPr>
                    <w:spacing w:before="120" w:beforeLines="50" w:after="120" w:afterLines="50"/>
                    <w:jc w:val="center"/>
                    <w:rPr>
                      <w:bCs/>
                      <w:szCs w:val="21"/>
                    </w:rPr>
                  </w:pPr>
                  <w:r>
                    <w:rPr>
                      <w:bCs/>
                      <w:szCs w:val="21"/>
                    </w:rPr>
                    <w:t>0</w:t>
                  </w:r>
                </w:p>
              </w:tc>
              <w:tc>
                <w:tcPr>
                  <w:tcW w:w="893" w:type="dxa"/>
                  <w:noWrap/>
                  <w:vAlign w:val="center"/>
                </w:tcPr>
                <w:p>
                  <w:pPr>
                    <w:spacing w:before="120" w:beforeLines="50" w:after="120" w:afterLines="50"/>
                    <w:jc w:val="center"/>
                    <w:rPr>
                      <w:bCs/>
                      <w:szCs w:val="21"/>
                    </w:rPr>
                  </w:pPr>
                  <w:r>
                    <w:rPr>
                      <w:bCs/>
                      <w:szCs w:val="21"/>
                    </w:rPr>
                    <w:t>+0.05</w:t>
                  </w:r>
                </w:p>
              </w:tc>
              <w:tc>
                <w:tcPr>
                  <w:tcW w:w="893" w:type="dxa"/>
                  <w:noWrap/>
                  <w:vAlign w:val="center"/>
                </w:tcPr>
                <w:p>
                  <w:pPr>
                    <w:widowControl/>
                    <w:jc w:val="center"/>
                    <w:textAlignment w:val="center"/>
                    <w:rPr>
                      <w:bCs/>
                      <w:szCs w:val="21"/>
                    </w:rPr>
                  </w:pPr>
                  <w:r>
                    <w:rPr>
                      <w:color w:val="000000"/>
                      <w:kern w:val="0"/>
                      <w:szCs w:val="21"/>
                      <w:lang w:bidi="ar"/>
                    </w:rPr>
                    <w:t>0.05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169" w:type="dxa"/>
                  <w:vMerge w:val="continue"/>
                  <w:tcBorders>
                    <w:bottom w:val="single" w:color="auto" w:sz="4" w:space="0"/>
                  </w:tcBorders>
                  <w:noWrap/>
                  <w:vAlign w:val="center"/>
                </w:tcPr>
                <w:p>
                  <w:pPr>
                    <w:spacing w:before="120" w:beforeLines="50" w:after="120" w:afterLines="50"/>
                    <w:jc w:val="center"/>
                    <w:rPr>
                      <w:bCs/>
                      <w:szCs w:val="21"/>
                    </w:rPr>
                  </w:pPr>
                </w:p>
              </w:tc>
              <w:tc>
                <w:tcPr>
                  <w:tcW w:w="1084" w:type="dxa"/>
                  <w:vMerge w:val="continue"/>
                  <w:tcBorders>
                    <w:bottom w:val="single" w:color="auto" w:sz="4" w:space="0"/>
                  </w:tcBorders>
                  <w:noWrap/>
                  <w:vAlign w:val="center"/>
                </w:tcPr>
                <w:p>
                  <w:pPr>
                    <w:spacing w:before="120" w:beforeLines="50" w:after="120" w:afterLines="50"/>
                    <w:jc w:val="center"/>
                    <w:rPr>
                      <w:bCs/>
                      <w:szCs w:val="21"/>
                    </w:rPr>
                  </w:pPr>
                </w:p>
              </w:tc>
              <w:tc>
                <w:tcPr>
                  <w:tcW w:w="1058" w:type="dxa"/>
                  <w:noWrap/>
                  <w:vAlign w:val="center"/>
                </w:tcPr>
                <w:p>
                  <w:pPr>
                    <w:spacing w:before="120" w:beforeLines="50" w:after="120" w:afterLines="50"/>
                    <w:jc w:val="center"/>
                    <w:rPr>
                      <w:bCs/>
                      <w:szCs w:val="21"/>
                    </w:rPr>
                  </w:pPr>
                  <w:r>
                    <w:rPr>
                      <w:bCs/>
                      <w:szCs w:val="21"/>
                    </w:rPr>
                    <w:t>动植物油</w:t>
                  </w:r>
                </w:p>
              </w:tc>
              <w:tc>
                <w:tcPr>
                  <w:tcW w:w="868" w:type="dxa"/>
                  <w:noWrap/>
                  <w:vAlign w:val="center"/>
                </w:tcPr>
                <w:p>
                  <w:pPr>
                    <w:spacing w:before="120" w:beforeLines="50" w:after="120" w:afterLines="50"/>
                    <w:jc w:val="center"/>
                    <w:rPr>
                      <w:bCs/>
                      <w:szCs w:val="21"/>
                    </w:rPr>
                  </w:pPr>
                  <w:r>
                    <w:rPr>
                      <w:bCs/>
                      <w:szCs w:val="21"/>
                    </w:rPr>
                    <w:t>0</w:t>
                  </w:r>
                </w:p>
              </w:tc>
              <w:tc>
                <w:tcPr>
                  <w:tcW w:w="839" w:type="dxa"/>
                  <w:noWrap/>
                  <w:vAlign w:val="center"/>
                </w:tcPr>
                <w:p>
                  <w:pPr>
                    <w:widowControl/>
                    <w:jc w:val="center"/>
                    <w:textAlignment w:val="center"/>
                    <w:rPr>
                      <w:bCs/>
                      <w:szCs w:val="21"/>
                    </w:rPr>
                  </w:pPr>
                  <w:r>
                    <w:rPr>
                      <w:color w:val="000000"/>
                      <w:kern w:val="0"/>
                      <w:szCs w:val="21"/>
                      <w:lang w:bidi="ar"/>
                    </w:rPr>
                    <w:t>0.01</w:t>
                  </w:r>
                </w:p>
              </w:tc>
              <w:tc>
                <w:tcPr>
                  <w:tcW w:w="952" w:type="dxa"/>
                  <w:noWrap/>
                  <w:vAlign w:val="center"/>
                </w:tcPr>
                <w:p>
                  <w:pPr>
                    <w:spacing w:before="120" w:beforeLines="50" w:after="120" w:afterLines="50"/>
                    <w:jc w:val="center"/>
                    <w:rPr>
                      <w:bCs/>
                      <w:szCs w:val="21"/>
                    </w:rPr>
                  </w:pPr>
                  <w:r>
                    <w:rPr>
                      <w:bCs/>
                      <w:szCs w:val="21"/>
                    </w:rPr>
                    <w:t>0</w:t>
                  </w:r>
                </w:p>
              </w:tc>
              <w:tc>
                <w:tcPr>
                  <w:tcW w:w="893" w:type="dxa"/>
                  <w:noWrap/>
                  <w:vAlign w:val="center"/>
                </w:tcPr>
                <w:p>
                  <w:pPr>
                    <w:spacing w:before="120" w:beforeLines="50" w:after="120" w:afterLines="50"/>
                    <w:jc w:val="center"/>
                    <w:rPr>
                      <w:bCs/>
                      <w:szCs w:val="21"/>
                    </w:rPr>
                  </w:pPr>
                  <w:r>
                    <w:rPr>
                      <w:bCs/>
                      <w:szCs w:val="21"/>
                    </w:rPr>
                    <w:t>+0.01</w:t>
                  </w:r>
                </w:p>
              </w:tc>
              <w:tc>
                <w:tcPr>
                  <w:tcW w:w="893" w:type="dxa"/>
                  <w:noWrap/>
                  <w:vAlign w:val="center"/>
                </w:tcPr>
                <w:p>
                  <w:pPr>
                    <w:widowControl/>
                    <w:jc w:val="center"/>
                    <w:textAlignment w:val="center"/>
                    <w:rPr>
                      <w:bCs/>
                      <w:szCs w:val="21"/>
                    </w:rPr>
                  </w:pPr>
                  <w:r>
                    <w:rPr>
                      <w:color w:val="000000"/>
                      <w:kern w:val="0"/>
                      <w:szCs w:val="21"/>
                      <w:lang w:bidi="ar"/>
                    </w:rPr>
                    <w:t>0.01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69" w:type="dxa"/>
                  <w:vMerge w:val="restart"/>
                  <w:tcBorders>
                    <w:top w:val="single" w:color="auto" w:sz="4" w:space="0"/>
                  </w:tcBorders>
                  <w:noWrap/>
                  <w:vAlign w:val="center"/>
                </w:tcPr>
                <w:p>
                  <w:pPr>
                    <w:spacing w:before="120" w:beforeLines="50" w:after="120" w:afterLines="50"/>
                    <w:jc w:val="center"/>
                    <w:rPr>
                      <w:bCs/>
                      <w:szCs w:val="21"/>
                    </w:rPr>
                  </w:pPr>
                  <w:r>
                    <w:rPr>
                      <w:bCs/>
                      <w:szCs w:val="21"/>
                    </w:rPr>
                    <w:t>固废</w:t>
                  </w:r>
                </w:p>
              </w:tc>
              <w:tc>
                <w:tcPr>
                  <w:tcW w:w="1084" w:type="dxa"/>
                  <w:tcBorders>
                    <w:top w:val="single" w:color="auto" w:sz="4" w:space="0"/>
                  </w:tcBorders>
                  <w:noWrap/>
                  <w:vAlign w:val="center"/>
                </w:tcPr>
                <w:p>
                  <w:pPr>
                    <w:spacing w:before="120" w:beforeLines="50" w:after="120" w:afterLines="50"/>
                    <w:jc w:val="center"/>
                    <w:rPr>
                      <w:bCs/>
                      <w:szCs w:val="21"/>
                    </w:rPr>
                  </w:pPr>
                  <w:r>
                    <w:rPr>
                      <w:rFonts w:hint="eastAsia"/>
                      <w:bCs/>
                      <w:szCs w:val="21"/>
                    </w:rPr>
                    <w:t>废油收集</w:t>
                  </w:r>
                </w:p>
              </w:tc>
              <w:tc>
                <w:tcPr>
                  <w:tcW w:w="1058" w:type="dxa"/>
                  <w:tcBorders>
                    <w:top w:val="single" w:color="000000" w:sz="12" w:space="0"/>
                  </w:tcBorders>
                  <w:noWrap/>
                  <w:vAlign w:val="center"/>
                </w:tcPr>
                <w:p>
                  <w:pPr>
                    <w:spacing w:before="120" w:beforeLines="50" w:after="120" w:afterLines="50"/>
                    <w:jc w:val="center"/>
                    <w:rPr>
                      <w:bCs/>
                      <w:szCs w:val="21"/>
                    </w:rPr>
                  </w:pPr>
                  <w:r>
                    <w:rPr>
                      <w:bCs/>
                      <w:szCs w:val="21"/>
                    </w:rPr>
                    <w:t>废油</w:t>
                  </w:r>
                </w:p>
              </w:tc>
              <w:tc>
                <w:tcPr>
                  <w:tcW w:w="868" w:type="dxa"/>
                  <w:noWrap/>
                  <w:vAlign w:val="center"/>
                </w:tcPr>
                <w:p>
                  <w:pPr>
                    <w:spacing w:before="120" w:beforeLines="50" w:after="120" w:afterLines="50"/>
                    <w:jc w:val="center"/>
                    <w:rPr>
                      <w:bCs/>
                      <w:szCs w:val="21"/>
                    </w:rPr>
                  </w:pPr>
                  <w:r>
                    <w:rPr>
                      <w:bCs/>
                      <w:szCs w:val="21"/>
                    </w:rPr>
                    <w:t>200</w:t>
                  </w:r>
                </w:p>
              </w:tc>
              <w:tc>
                <w:tcPr>
                  <w:tcW w:w="839" w:type="dxa"/>
                  <w:noWrap/>
                  <w:vAlign w:val="center"/>
                </w:tcPr>
                <w:p>
                  <w:pPr>
                    <w:spacing w:before="120" w:beforeLines="50" w:after="120" w:afterLines="50"/>
                    <w:jc w:val="center"/>
                    <w:rPr>
                      <w:bCs/>
                      <w:szCs w:val="21"/>
                    </w:rPr>
                  </w:pPr>
                  <w:r>
                    <w:rPr>
                      <w:bCs/>
                      <w:szCs w:val="21"/>
                    </w:rPr>
                    <w:t>1000</w:t>
                  </w:r>
                </w:p>
              </w:tc>
              <w:tc>
                <w:tcPr>
                  <w:tcW w:w="952" w:type="dxa"/>
                  <w:noWrap/>
                  <w:vAlign w:val="center"/>
                </w:tcPr>
                <w:p>
                  <w:pPr>
                    <w:spacing w:before="120" w:beforeLines="50" w:after="120" w:afterLines="50"/>
                    <w:jc w:val="center"/>
                    <w:rPr>
                      <w:bCs/>
                      <w:szCs w:val="21"/>
                    </w:rPr>
                  </w:pPr>
                  <w:r>
                    <w:rPr>
                      <w:bCs/>
                      <w:szCs w:val="21"/>
                    </w:rPr>
                    <w:t>0</w:t>
                  </w:r>
                </w:p>
              </w:tc>
              <w:tc>
                <w:tcPr>
                  <w:tcW w:w="893" w:type="dxa"/>
                  <w:noWrap/>
                  <w:vAlign w:val="center"/>
                </w:tcPr>
                <w:p>
                  <w:pPr>
                    <w:spacing w:before="120" w:beforeLines="50" w:after="120" w:afterLines="50"/>
                    <w:jc w:val="center"/>
                    <w:rPr>
                      <w:bCs/>
                      <w:szCs w:val="21"/>
                    </w:rPr>
                  </w:pPr>
                  <w:r>
                    <w:rPr>
                      <w:szCs w:val="21"/>
                    </w:rPr>
                    <w:t>+800</w:t>
                  </w:r>
                </w:p>
              </w:tc>
              <w:tc>
                <w:tcPr>
                  <w:tcW w:w="893" w:type="dxa"/>
                  <w:noWrap/>
                  <w:vAlign w:val="center"/>
                </w:tcPr>
                <w:p>
                  <w:pPr>
                    <w:spacing w:before="120" w:beforeLines="50" w:after="120" w:afterLines="50"/>
                    <w:jc w:val="center"/>
                    <w:rPr>
                      <w:bCs/>
                      <w:szCs w:val="21"/>
                    </w:rPr>
                  </w:pPr>
                  <w:r>
                    <w:rPr>
                      <w:bCs/>
                      <w:szCs w:val="21"/>
                    </w:rPr>
                    <w:t>1000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1169" w:type="dxa"/>
                  <w:vMerge w:val="continue"/>
                  <w:noWrap/>
                  <w:vAlign w:val="center"/>
                </w:tcPr>
                <w:p>
                  <w:pPr>
                    <w:spacing w:before="120" w:beforeLines="50" w:after="120" w:afterLines="50"/>
                    <w:jc w:val="center"/>
                    <w:rPr>
                      <w:bCs/>
                      <w:szCs w:val="21"/>
                    </w:rPr>
                  </w:pPr>
                </w:p>
              </w:tc>
              <w:tc>
                <w:tcPr>
                  <w:tcW w:w="1084" w:type="dxa"/>
                  <w:noWrap/>
                  <w:vAlign w:val="center"/>
                </w:tcPr>
                <w:p>
                  <w:pPr>
                    <w:spacing w:before="120" w:beforeLines="50" w:after="120" w:afterLines="50"/>
                    <w:jc w:val="center"/>
                    <w:rPr>
                      <w:bCs/>
                      <w:szCs w:val="21"/>
                    </w:rPr>
                  </w:pPr>
                  <w:r>
                    <w:rPr>
                      <w:bCs/>
                      <w:szCs w:val="21"/>
                    </w:rPr>
                    <w:t>生活垃圾</w:t>
                  </w:r>
                </w:p>
              </w:tc>
              <w:tc>
                <w:tcPr>
                  <w:tcW w:w="1058" w:type="dxa"/>
                  <w:noWrap/>
                  <w:vAlign w:val="center"/>
                </w:tcPr>
                <w:p>
                  <w:pPr>
                    <w:spacing w:before="120" w:beforeLines="50" w:after="120" w:afterLines="50"/>
                    <w:jc w:val="center"/>
                    <w:rPr>
                      <w:bCs/>
                      <w:szCs w:val="21"/>
                    </w:rPr>
                  </w:pPr>
                  <w:r>
                    <w:rPr>
                      <w:bCs/>
                      <w:szCs w:val="21"/>
                    </w:rPr>
                    <w:t>生活垃圾</w:t>
                  </w:r>
                </w:p>
              </w:tc>
              <w:tc>
                <w:tcPr>
                  <w:tcW w:w="868" w:type="dxa"/>
                  <w:noWrap/>
                  <w:vAlign w:val="center"/>
                </w:tcPr>
                <w:p>
                  <w:pPr>
                    <w:spacing w:before="120" w:beforeLines="50" w:after="120" w:afterLines="50"/>
                    <w:jc w:val="center"/>
                    <w:rPr>
                      <w:bCs/>
                      <w:szCs w:val="21"/>
                    </w:rPr>
                  </w:pPr>
                  <w:r>
                    <w:rPr>
                      <w:rFonts w:hint="eastAsia"/>
                      <w:bCs/>
                      <w:szCs w:val="21"/>
                    </w:rPr>
                    <w:t>/</w:t>
                  </w:r>
                </w:p>
              </w:tc>
              <w:tc>
                <w:tcPr>
                  <w:tcW w:w="839" w:type="dxa"/>
                  <w:noWrap/>
                  <w:vAlign w:val="center"/>
                </w:tcPr>
                <w:p>
                  <w:pPr>
                    <w:spacing w:before="120" w:beforeLines="50" w:after="120" w:afterLines="50"/>
                    <w:jc w:val="center"/>
                    <w:rPr>
                      <w:bCs/>
                      <w:szCs w:val="21"/>
                    </w:rPr>
                  </w:pPr>
                  <w:r>
                    <w:rPr>
                      <w:rFonts w:hint="eastAsia"/>
                      <w:bCs/>
                      <w:szCs w:val="21"/>
                    </w:rPr>
                    <w:t>6</w:t>
                  </w:r>
                  <w:r>
                    <w:rPr>
                      <w:bCs/>
                      <w:szCs w:val="21"/>
                    </w:rPr>
                    <w:t>0</w:t>
                  </w:r>
                  <w:r>
                    <w:rPr>
                      <w:rFonts w:hint="eastAsia"/>
                      <w:bCs/>
                      <w:szCs w:val="21"/>
                    </w:rPr>
                    <w:t>0</w:t>
                  </w:r>
                </w:p>
              </w:tc>
              <w:tc>
                <w:tcPr>
                  <w:tcW w:w="952" w:type="dxa"/>
                  <w:noWrap/>
                  <w:vAlign w:val="center"/>
                </w:tcPr>
                <w:p>
                  <w:pPr>
                    <w:spacing w:before="120" w:beforeLines="50" w:after="120" w:afterLines="50"/>
                    <w:jc w:val="center"/>
                    <w:rPr>
                      <w:bCs/>
                      <w:szCs w:val="21"/>
                    </w:rPr>
                  </w:pPr>
                  <w:r>
                    <w:rPr>
                      <w:bCs/>
                      <w:szCs w:val="21"/>
                    </w:rPr>
                    <w:t>0</w:t>
                  </w:r>
                </w:p>
              </w:tc>
              <w:tc>
                <w:tcPr>
                  <w:tcW w:w="893" w:type="dxa"/>
                  <w:noWrap/>
                  <w:vAlign w:val="center"/>
                </w:tcPr>
                <w:p>
                  <w:pPr>
                    <w:spacing w:before="120" w:beforeLines="50" w:after="120" w:afterLines="50"/>
                    <w:jc w:val="center"/>
                    <w:rPr>
                      <w:bCs/>
                      <w:szCs w:val="21"/>
                    </w:rPr>
                  </w:pPr>
                  <w:r>
                    <w:rPr>
                      <w:bCs/>
                      <w:szCs w:val="21"/>
                    </w:rPr>
                    <w:t>+</w:t>
                  </w:r>
                  <w:r>
                    <w:rPr>
                      <w:rFonts w:hint="eastAsia"/>
                      <w:bCs/>
                      <w:szCs w:val="21"/>
                    </w:rPr>
                    <w:t>6</w:t>
                  </w:r>
                  <w:r>
                    <w:rPr>
                      <w:bCs/>
                      <w:szCs w:val="21"/>
                    </w:rPr>
                    <w:t>0</w:t>
                  </w:r>
                  <w:r>
                    <w:rPr>
                      <w:rFonts w:hint="eastAsia"/>
                      <w:bCs/>
                      <w:szCs w:val="21"/>
                    </w:rPr>
                    <w:t>0</w:t>
                  </w:r>
                </w:p>
              </w:tc>
              <w:tc>
                <w:tcPr>
                  <w:tcW w:w="893" w:type="dxa"/>
                  <w:noWrap/>
                  <w:vAlign w:val="center"/>
                </w:tcPr>
                <w:p>
                  <w:pPr>
                    <w:spacing w:before="120" w:beforeLines="50" w:after="120" w:afterLines="50"/>
                    <w:jc w:val="center"/>
                    <w:rPr>
                      <w:bCs/>
                      <w:szCs w:val="21"/>
                    </w:rPr>
                  </w:pPr>
                  <w:r>
                    <w:rPr>
                      <w:rFonts w:hint="eastAsia"/>
                      <w:bCs/>
                      <w:szCs w:val="21"/>
                    </w:rPr>
                    <w:t>6</w:t>
                  </w:r>
                  <w:r>
                    <w:rPr>
                      <w:bCs/>
                      <w:szCs w:val="21"/>
                    </w:rPr>
                    <w:t>0</w:t>
                  </w:r>
                  <w:r>
                    <w:rPr>
                      <w:rFonts w:hint="eastAsia"/>
                      <w:bCs/>
                      <w:szCs w:val="21"/>
                    </w:rPr>
                    <w:t>0</w:t>
                  </w:r>
                </w:p>
              </w:tc>
            </w:tr>
          </w:tbl>
          <w:p>
            <w:pPr>
              <w:adjustRightInd w:val="0"/>
              <w:snapToGrid w:val="0"/>
              <w:spacing w:line="360" w:lineRule="auto"/>
              <w:rPr>
                <w:b/>
                <w:sz w:val="24"/>
              </w:rPr>
            </w:pPr>
            <w:r>
              <w:rPr>
                <w:rFonts w:hint="eastAsia" w:ascii="宋体" w:hAnsi="宋体" w:cs="宋体"/>
                <w:b/>
                <w:spacing w:val="-10"/>
                <w:sz w:val="24"/>
              </w:rPr>
              <w:t>6、</w:t>
            </w:r>
            <w:r>
              <w:rPr>
                <w:b/>
                <w:sz w:val="24"/>
              </w:rPr>
              <w:t>环境风险分析</w:t>
            </w:r>
          </w:p>
          <w:p>
            <w:pPr>
              <w:spacing w:line="360" w:lineRule="auto"/>
              <w:rPr>
                <w:b/>
                <w:sz w:val="24"/>
                <w:u w:val="single"/>
              </w:rPr>
            </w:pPr>
            <w:r>
              <w:rPr>
                <w:rFonts w:hint="eastAsia"/>
                <w:b/>
                <w:sz w:val="24"/>
                <w:u w:val="single"/>
              </w:rPr>
              <w:t>一、风险识别</w:t>
            </w:r>
          </w:p>
          <w:p>
            <w:pPr>
              <w:pStyle w:val="66"/>
              <w:widowControl/>
              <w:spacing w:line="360" w:lineRule="auto"/>
              <w:ind w:firstLine="480"/>
              <w:rPr>
                <w:rFonts w:hAnsi="Times New Roman" w:cs="宋体"/>
                <w:color w:val="auto"/>
                <w:kern w:val="2"/>
                <w:sz w:val="24"/>
                <w:u w:val="single"/>
              </w:rPr>
            </w:pPr>
            <w:r>
              <w:rPr>
                <w:rFonts w:hint="eastAsia" w:hAnsi="Times New Roman" w:cs="宋体"/>
                <w:color w:val="auto"/>
                <w:kern w:val="2"/>
                <w:sz w:val="24"/>
                <w:u w:val="single"/>
              </w:rPr>
              <w:t>本项目风险来自运营期船舶溢油、船舶生活垃圾及污废水输送管道泄漏、废油泄漏，造成洞庭湖水环境污染。</w:t>
            </w:r>
          </w:p>
          <w:p>
            <w:pPr>
              <w:pStyle w:val="66"/>
              <w:widowControl/>
              <w:numPr>
                <w:ilvl w:val="0"/>
                <w:numId w:val="16"/>
              </w:numPr>
              <w:spacing w:line="360" w:lineRule="auto"/>
              <w:ind w:firstLine="480" w:firstLineChars="0"/>
              <w:rPr>
                <w:rFonts w:hAnsi="Times New Roman" w:cs="宋体"/>
                <w:color w:val="auto"/>
                <w:kern w:val="2"/>
                <w:sz w:val="24"/>
                <w:u w:val="single"/>
              </w:rPr>
            </w:pPr>
            <w:r>
              <w:rPr>
                <w:rFonts w:hint="eastAsia" w:hAnsi="Times New Roman" w:cs="宋体"/>
                <w:color w:val="auto"/>
                <w:kern w:val="2"/>
                <w:sz w:val="24"/>
                <w:u w:val="single"/>
              </w:rPr>
              <w:t>船舶溢油</w:t>
            </w:r>
          </w:p>
          <w:p>
            <w:pPr>
              <w:pStyle w:val="66"/>
              <w:widowControl/>
              <w:spacing w:line="360" w:lineRule="auto"/>
              <w:ind w:firstLine="480"/>
              <w:rPr>
                <w:rFonts w:hAnsi="Times New Roman" w:cs="宋体"/>
                <w:color w:val="auto"/>
                <w:kern w:val="2"/>
                <w:sz w:val="24"/>
                <w:u w:val="single"/>
              </w:rPr>
            </w:pPr>
            <w:r>
              <w:rPr>
                <w:rFonts w:hint="eastAsia" w:hAnsi="Times New Roman" w:cs="宋体"/>
                <w:color w:val="auto"/>
                <w:kern w:val="2"/>
                <w:sz w:val="24"/>
                <w:u w:val="single"/>
              </w:rPr>
              <w:t>本项目收集船涉及少量柴油的使用，项目风险主要为进出港船舶、船舶航行过程中发生碰撞使船舶油仓收到损害致使燃料油泄漏，从而对洞庭湖水质以及收集沿线造成污染。</w:t>
            </w:r>
          </w:p>
          <w:p>
            <w:pPr>
              <w:pStyle w:val="66"/>
              <w:widowControl/>
              <w:numPr>
                <w:ilvl w:val="0"/>
                <w:numId w:val="16"/>
              </w:numPr>
              <w:spacing w:line="360" w:lineRule="auto"/>
              <w:ind w:firstLine="480" w:firstLineChars="0"/>
              <w:rPr>
                <w:rFonts w:hAnsi="Times New Roman" w:cs="宋体"/>
                <w:color w:val="auto"/>
                <w:kern w:val="2"/>
                <w:sz w:val="24"/>
                <w:u w:val="single"/>
              </w:rPr>
            </w:pPr>
            <w:r>
              <w:rPr>
                <w:rFonts w:hint="eastAsia" w:hAnsi="Times New Roman" w:cs="宋体"/>
                <w:color w:val="auto"/>
                <w:kern w:val="2"/>
                <w:sz w:val="24"/>
                <w:u w:val="single"/>
              </w:rPr>
              <w:t>船舶生活垃圾在卸船过程中泄漏</w:t>
            </w:r>
          </w:p>
          <w:p>
            <w:pPr>
              <w:pStyle w:val="66"/>
              <w:widowControl/>
              <w:spacing w:line="360" w:lineRule="auto"/>
              <w:ind w:firstLine="480"/>
              <w:rPr>
                <w:rFonts w:hAnsi="Times New Roman" w:cs="宋体"/>
                <w:color w:val="auto"/>
                <w:kern w:val="2"/>
                <w:sz w:val="24"/>
                <w:u w:val="single"/>
              </w:rPr>
            </w:pPr>
            <w:r>
              <w:rPr>
                <w:rFonts w:hint="eastAsia" w:hAnsi="Times New Roman" w:cs="宋体"/>
                <w:color w:val="auto"/>
                <w:kern w:val="2"/>
                <w:sz w:val="24"/>
                <w:u w:val="single"/>
              </w:rPr>
              <w:t>本项目收集船在收集船垃圾泊位进行垃圾装卸工作时,由于操作不当等原因使得垃圾袋破损而遗撒至项目所在洞庭湖内，造成该区域水环境的污染。</w:t>
            </w:r>
          </w:p>
          <w:p>
            <w:pPr>
              <w:pStyle w:val="66"/>
              <w:widowControl/>
              <w:numPr>
                <w:ilvl w:val="0"/>
                <w:numId w:val="16"/>
              </w:numPr>
              <w:spacing w:line="360" w:lineRule="auto"/>
              <w:ind w:firstLine="480" w:firstLineChars="0"/>
              <w:rPr>
                <w:rFonts w:hAnsi="Times New Roman" w:cs="宋体"/>
                <w:color w:val="auto"/>
                <w:kern w:val="2"/>
                <w:sz w:val="24"/>
                <w:u w:val="single"/>
              </w:rPr>
            </w:pPr>
            <w:r>
              <w:rPr>
                <w:rFonts w:hint="eastAsia" w:hAnsi="Times New Roman" w:cs="宋体"/>
                <w:color w:val="auto"/>
                <w:kern w:val="2"/>
                <w:sz w:val="24"/>
                <w:u w:val="single"/>
              </w:rPr>
              <w:t>船舶污废水输送管道泄漏</w:t>
            </w:r>
          </w:p>
          <w:p>
            <w:pPr>
              <w:pStyle w:val="66"/>
              <w:widowControl/>
              <w:spacing w:line="360" w:lineRule="auto"/>
              <w:ind w:firstLine="480"/>
              <w:rPr>
                <w:rFonts w:hAnsi="Times New Roman" w:cs="宋体"/>
                <w:color w:val="auto"/>
                <w:kern w:val="2"/>
                <w:sz w:val="24"/>
                <w:u w:val="single"/>
              </w:rPr>
            </w:pPr>
            <w:r>
              <w:rPr>
                <w:rFonts w:hint="eastAsia" w:hAnsi="Times New Roman" w:cs="宋体"/>
                <w:color w:val="auto"/>
                <w:kern w:val="2"/>
                <w:sz w:val="24"/>
                <w:u w:val="single"/>
              </w:rPr>
              <w:t>本项目收集船舶在各个码头进行船舶污水的收集过程中，污水输送管道发生损坏后，会导致船舶污水污染附近水域环境。同时</w:t>
            </w:r>
            <w:ins w:id="5" w:author="易鸣" w:date="2021-11-22T23:04:00Z">
              <w:r>
                <w:rPr>
                  <w:rFonts w:hint="eastAsia" w:hAnsi="Times New Roman" w:cs="宋体"/>
                  <w:color w:val="auto"/>
                  <w:kern w:val="2"/>
                  <w:sz w:val="24"/>
                  <w:u w:val="single"/>
                </w:rPr>
                <w:t>收集的</w:t>
              </w:r>
            </w:ins>
            <w:r>
              <w:rPr>
                <w:rFonts w:hint="eastAsia" w:hAnsi="Times New Roman" w:cs="宋体"/>
                <w:color w:val="auto"/>
                <w:kern w:val="2"/>
                <w:sz w:val="24"/>
                <w:u w:val="single"/>
              </w:rPr>
              <w:t>船舶生活污水、含油废水在</w:t>
            </w:r>
            <w:ins w:id="6" w:author="易鸣" w:date="2021-11-22T23:05:00Z">
              <w:r>
                <w:rPr>
                  <w:rFonts w:hint="eastAsia" w:hAnsi="Times New Roman" w:cs="宋体"/>
                  <w:color w:val="auto"/>
                  <w:kern w:val="2"/>
                  <w:sz w:val="24"/>
                  <w:u w:val="single"/>
                </w:rPr>
                <w:t>转输</w:t>
              </w:r>
            </w:ins>
            <w:r>
              <w:rPr>
                <w:rFonts w:hint="eastAsia" w:hAnsi="Times New Roman" w:cs="宋体"/>
                <w:color w:val="auto"/>
                <w:kern w:val="2"/>
                <w:sz w:val="24"/>
                <w:u w:val="single"/>
              </w:rPr>
              <w:t>时，该过程中可能出现输送管道发生泄漏，导致船舶污废水流入项目区洞庭湖流域，污染该区域的水环境。</w:t>
            </w:r>
          </w:p>
          <w:p>
            <w:pPr>
              <w:pStyle w:val="66"/>
              <w:widowControl/>
              <w:numPr>
                <w:ilvl w:val="0"/>
                <w:numId w:val="17"/>
              </w:numPr>
              <w:spacing w:line="360" w:lineRule="auto"/>
              <w:ind w:firstLine="480"/>
              <w:rPr>
                <w:rFonts w:hAnsi="Times New Roman" w:cs="宋体"/>
                <w:color w:val="auto"/>
                <w:kern w:val="2"/>
                <w:sz w:val="24"/>
                <w:u w:val="single"/>
              </w:rPr>
            </w:pPr>
            <w:r>
              <w:rPr>
                <w:rFonts w:hint="eastAsia" w:hAnsi="Times New Roman" w:cs="宋体"/>
                <w:color w:val="auto"/>
                <w:kern w:val="2"/>
                <w:sz w:val="24"/>
                <w:u w:val="single"/>
              </w:rPr>
              <w:t>废油泄漏</w:t>
            </w:r>
          </w:p>
          <w:p>
            <w:pPr>
              <w:pStyle w:val="66"/>
              <w:widowControl/>
              <w:spacing w:line="360" w:lineRule="auto"/>
              <w:ind w:firstLine="480"/>
              <w:rPr>
                <w:rFonts w:hAnsi="Times New Roman" w:cs="宋体"/>
                <w:color w:val="auto"/>
                <w:kern w:val="2"/>
                <w:sz w:val="24"/>
                <w:u w:val="single"/>
              </w:rPr>
            </w:pPr>
            <w:r>
              <w:rPr>
                <w:rFonts w:hint="eastAsia" w:hAnsi="Times New Roman" w:cs="宋体"/>
                <w:color w:val="auto"/>
                <w:kern w:val="2"/>
                <w:sz w:val="24"/>
                <w:u w:val="single"/>
              </w:rPr>
              <w:t>本项目废油为可燃物质,收集于储油罐内。储油罐发生破损或装载不规范时，废油会跑、冒、滴、漏，污染周围地表水、土壤及地下水环境。</w:t>
            </w:r>
          </w:p>
          <w:p>
            <w:pPr>
              <w:spacing w:line="360" w:lineRule="auto"/>
              <w:rPr>
                <w:b/>
                <w:sz w:val="24"/>
                <w:u w:val="single"/>
              </w:rPr>
            </w:pPr>
            <w:r>
              <w:rPr>
                <w:rFonts w:hint="eastAsia"/>
                <w:b/>
                <w:sz w:val="24"/>
                <w:u w:val="single"/>
              </w:rPr>
              <w:t>二、物质属性</w:t>
            </w:r>
          </w:p>
          <w:p>
            <w:pPr>
              <w:pStyle w:val="7"/>
              <w:widowControl/>
              <w:spacing w:before="0" w:after="0" w:line="360" w:lineRule="auto"/>
              <w:ind w:firstLine="480" w:firstLineChars="200"/>
              <w:rPr>
                <w:rFonts w:cs="宋体"/>
                <w:b w:val="0"/>
                <w:sz w:val="24"/>
                <w:u w:val="single"/>
              </w:rPr>
            </w:pPr>
            <w:r>
              <w:rPr>
                <w:rFonts w:hint="eastAsia" w:ascii="Times New Roman" w:hAnsi="Times New Roman" w:eastAsia="宋体" w:cs="宋体"/>
                <w:b w:val="0"/>
                <w:sz w:val="24"/>
                <w:szCs w:val="24"/>
                <w:u w:val="single"/>
              </w:rPr>
              <w:t>废机油：是所谓废矿物油，根据国家危险废物环境管理工作手册规定，废矿物油是从石油、煤炭、油页岩中提取和精炼，在开采、加工和使用过程中由于外在因素作用导致改变了原有的物理和化学性能，不能够继续被使用的矿物油。废矿物油特性见下表。</w:t>
            </w:r>
          </w:p>
          <w:p>
            <w:pPr>
              <w:jc w:val="center"/>
              <w:rPr>
                <w:rFonts w:cs="宋体"/>
                <w:b/>
                <w:sz w:val="24"/>
                <w:u w:val="single"/>
              </w:rPr>
            </w:pPr>
          </w:p>
          <w:p>
            <w:pPr>
              <w:jc w:val="center"/>
              <w:rPr>
                <w:b/>
                <w:szCs w:val="21"/>
                <w:u w:val="single"/>
              </w:rPr>
            </w:pPr>
            <w:r>
              <w:rPr>
                <w:rFonts w:hint="eastAsia" w:cs="宋体"/>
                <w:b/>
                <w:szCs w:val="21"/>
                <w:u w:val="single"/>
              </w:rPr>
              <w:t>表4-9废矿物油特性</w:t>
            </w:r>
          </w:p>
          <w:tbl>
            <w:tblPr>
              <w:tblStyle w:val="24"/>
              <w:tblW w:w="0" w:type="auto"/>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818"/>
              <w:gridCol w:w="5981"/>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2" w:hRule="atLeast"/>
              </w:trPr>
              <w:tc>
                <w:tcPr>
                  <w:tcW w:w="1818"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废矿物油性状</w:t>
                  </w:r>
                </w:p>
              </w:tc>
              <w:tc>
                <w:tcPr>
                  <w:tcW w:w="5981"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稍有粘性的棕色液体</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83" w:hRule="atLeast"/>
              </w:trPr>
              <w:tc>
                <w:tcPr>
                  <w:tcW w:w="1818"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溶解性</w:t>
                  </w:r>
                </w:p>
              </w:tc>
              <w:tc>
                <w:tcPr>
                  <w:tcW w:w="5981"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可混溶于乙醇</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83" w:hRule="atLeast"/>
              </w:trPr>
              <w:tc>
                <w:tcPr>
                  <w:tcW w:w="1818"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熔点（℃）</w:t>
                  </w:r>
                </w:p>
              </w:tc>
              <w:tc>
                <w:tcPr>
                  <w:tcW w:w="5981"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~18</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83" w:hRule="atLeast"/>
              </w:trPr>
              <w:tc>
                <w:tcPr>
                  <w:tcW w:w="1818"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沸点（℃）</w:t>
                  </w:r>
                </w:p>
              </w:tc>
              <w:tc>
                <w:tcPr>
                  <w:tcW w:w="5981"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282~338</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83" w:hRule="atLeast"/>
              </w:trPr>
              <w:tc>
                <w:tcPr>
                  <w:tcW w:w="1818"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相对密度（水＝1）</w:t>
                  </w:r>
                </w:p>
              </w:tc>
              <w:tc>
                <w:tcPr>
                  <w:tcW w:w="5981"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0.87~0.9</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83" w:hRule="atLeast"/>
              </w:trPr>
              <w:tc>
                <w:tcPr>
                  <w:tcW w:w="1818"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饱和蒸汽压（kPa）</w:t>
                  </w:r>
                </w:p>
              </w:tc>
              <w:tc>
                <w:tcPr>
                  <w:tcW w:w="5981"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0.67（25℃，纯品）</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83" w:hRule="atLeast"/>
              </w:trPr>
              <w:tc>
                <w:tcPr>
                  <w:tcW w:w="1818"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燃烧性</w:t>
                  </w:r>
                </w:p>
              </w:tc>
              <w:tc>
                <w:tcPr>
                  <w:tcW w:w="5981"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不燃</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83" w:hRule="atLeast"/>
              </w:trPr>
              <w:tc>
                <w:tcPr>
                  <w:tcW w:w="1818"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燃烧分解产物</w:t>
                  </w:r>
                </w:p>
              </w:tc>
              <w:tc>
                <w:tcPr>
                  <w:tcW w:w="5981"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一氧化碳、二氧化碳</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83" w:hRule="atLeast"/>
              </w:trPr>
              <w:tc>
                <w:tcPr>
                  <w:tcW w:w="1818"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闪点（℃）</w:t>
                  </w:r>
                </w:p>
              </w:tc>
              <w:tc>
                <w:tcPr>
                  <w:tcW w:w="5981"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55</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83" w:hRule="atLeast"/>
              </w:trPr>
              <w:tc>
                <w:tcPr>
                  <w:tcW w:w="1818"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聚合危害</w:t>
                  </w:r>
                </w:p>
              </w:tc>
              <w:tc>
                <w:tcPr>
                  <w:tcW w:w="5981"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不聚合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6" w:hRule="atLeast"/>
              </w:trPr>
              <w:tc>
                <w:tcPr>
                  <w:tcW w:w="1818"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危险特性</w:t>
                  </w:r>
                </w:p>
              </w:tc>
              <w:tc>
                <w:tcPr>
                  <w:tcW w:w="5981"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遇明火、高热或与氧化剂接触，有引起燃烧爆炸的危险。若遇高热，容器内压增大，有开裂和爆炸的危险。</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809" w:hRule="atLeast"/>
              </w:trPr>
              <w:tc>
                <w:tcPr>
                  <w:tcW w:w="1818"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灭火方法</w:t>
                  </w:r>
                </w:p>
              </w:tc>
              <w:tc>
                <w:tcPr>
                  <w:tcW w:w="5981"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消防人员必须佩戴防毒面具、穿全身消防服，在上风向灭火。尽可能将容器从火场移至空旷处。喷水保持火场容器冷却，直至灭火结束。在火场中的容器若已变色或从安全泄压装置中产生声音，必须马上撤离。</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trPr>
              <w:tc>
                <w:tcPr>
                  <w:tcW w:w="1818"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贮存方法</w:t>
                  </w:r>
                </w:p>
              </w:tc>
              <w:tc>
                <w:tcPr>
                  <w:tcW w:w="5981" w:type="dxa"/>
                  <w:noWrap/>
                  <w:vAlign w:val="center"/>
                </w:tcPr>
                <w:p>
                  <w:pPr>
                    <w:pStyle w:val="20"/>
                    <w:spacing w:before="0" w:beforeAutospacing="0" w:after="0" w:afterAutospacing="0"/>
                    <w:jc w:val="center"/>
                    <w:rPr>
                      <w:kern w:val="2"/>
                      <w:sz w:val="21"/>
                      <w:szCs w:val="21"/>
                      <w:u w:val="single"/>
                    </w:rPr>
                  </w:pPr>
                  <w:r>
                    <w:rPr>
                      <w:rFonts w:hint="eastAsia"/>
                      <w:kern w:val="2"/>
                      <w:sz w:val="21"/>
                      <w:szCs w:val="21"/>
                      <w:u w:val="single"/>
                    </w:rPr>
                    <w:t>储存于阴凉、通风的库房内，远离火种、热源，应与氧化剂、卤素分开存放，切忌混储。采用防爆型照明、通风设施；禁止使用易产生火花的机械设备和工具。储区应备有泄漏应急处理设备工具和合适的收容材料。</w:t>
                  </w:r>
                </w:p>
              </w:tc>
            </w:tr>
          </w:tbl>
          <w:p>
            <w:pPr>
              <w:jc w:val="center"/>
              <w:rPr>
                <w:rFonts w:cs="宋体"/>
                <w:b/>
                <w:szCs w:val="21"/>
                <w:u w:val="single"/>
              </w:rPr>
            </w:pPr>
          </w:p>
          <w:p>
            <w:pPr>
              <w:jc w:val="center"/>
              <w:rPr>
                <w:b/>
                <w:szCs w:val="21"/>
                <w:u w:val="single"/>
              </w:rPr>
            </w:pPr>
            <w:r>
              <w:rPr>
                <w:rFonts w:hint="eastAsia" w:cs="宋体"/>
                <w:b/>
                <w:szCs w:val="21"/>
                <w:u w:val="single"/>
              </w:rPr>
              <w:t>表4-10柴油特性</w:t>
            </w:r>
          </w:p>
          <w:tbl>
            <w:tblPr>
              <w:tblStyle w:val="24"/>
              <w:tblW w:w="7659"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785"/>
              <w:gridCol w:w="5874"/>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85" w:hRule="atLeast"/>
                <w:jc w:val="center"/>
              </w:trPr>
              <w:tc>
                <w:tcPr>
                  <w:tcW w:w="1785" w:type="dxa"/>
                  <w:noWrap/>
                  <w:vAlign w:val="center"/>
                </w:tcPr>
                <w:p>
                  <w:pPr>
                    <w:jc w:val="center"/>
                    <w:rPr>
                      <w:szCs w:val="21"/>
                      <w:u w:val="single"/>
                    </w:rPr>
                  </w:pPr>
                  <w:r>
                    <w:rPr>
                      <w:szCs w:val="21"/>
                      <w:u w:val="single"/>
                    </w:rPr>
                    <w:t>柴油</w:t>
                  </w:r>
                  <w:r>
                    <w:rPr>
                      <w:rFonts w:hint="eastAsia"/>
                      <w:szCs w:val="21"/>
                      <w:u w:val="single"/>
                    </w:rPr>
                    <w:t>形状</w:t>
                  </w:r>
                </w:p>
              </w:tc>
              <w:tc>
                <w:tcPr>
                  <w:tcW w:w="5874" w:type="dxa"/>
                  <w:noWrap/>
                  <w:vAlign w:val="center"/>
                </w:tcPr>
                <w:p>
                  <w:pPr>
                    <w:jc w:val="center"/>
                    <w:rPr>
                      <w:szCs w:val="21"/>
                      <w:u w:val="single"/>
                    </w:rPr>
                  </w:pPr>
                  <w:r>
                    <w:rPr>
                      <w:szCs w:val="21"/>
                      <w:u w:val="single"/>
                    </w:rPr>
                    <w:t>稍有粘性的棕色液体</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68" w:hRule="atLeast"/>
                <w:jc w:val="center"/>
              </w:trPr>
              <w:tc>
                <w:tcPr>
                  <w:tcW w:w="1785" w:type="dxa"/>
                  <w:noWrap/>
                  <w:vAlign w:val="center"/>
                </w:tcPr>
                <w:p>
                  <w:pPr>
                    <w:jc w:val="center"/>
                    <w:rPr>
                      <w:szCs w:val="21"/>
                      <w:u w:val="single"/>
                    </w:rPr>
                  </w:pPr>
                  <w:r>
                    <w:rPr>
                      <w:szCs w:val="21"/>
                      <w:u w:val="single"/>
                    </w:rPr>
                    <w:t>溶解性</w:t>
                  </w:r>
                </w:p>
              </w:tc>
              <w:tc>
                <w:tcPr>
                  <w:tcW w:w="5874" w:type="dxa"/>
                  <w:noWrap/>
                  <w:vAlign w:val="center"/>
                </w:tcPr>
                <w:p>
                  <w:pPr>
                    <w:jc w:val="center"/>
                    <w:rPr>
                      <w:szCs w:val="21"/>
                      <w:u w:val="single"/>
                    </w:rPr>
                  </w:pPr>
                  <w:r>
                    <w:rPr>
                      <w:szCs w:val="21"/>
                      <w:u w:val="single"/>
                    </w:rPr>
                    <w:t>不溶于水，能与多种有机溶剂相混溶</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68" w:hRule="atLeast"/>
                <w:jc w:val="center"/>
              </w:trPr>
              <w:tc>
                <w:tcPr>
                  <w:tcW w:w="1785" w:type="dxa"/>
                  <w:noWrap/>
                  <w:vAlign w:val="center"/>
                </w:tcPr>
                <w:p>
                  <w:pPr>
                    <w:jc w:val="center"/>
                    <w:rPr>
                      <w:szCs w:val="21"/>
                      <w:u w:val="single"/>
                    </w:rPr>
                  </w:pPr>
                  <w:r>
                    <w:rPr>
                      <w:szCs w:val="21"/>
                      <w:u w:val="single"/>
                    </w:rPr>
                    <w:t>熔点（℃）</w:t>
                  </w:r>
                </w:p>
              </w:tc>
              <w:tc>
                <w:tcPr>
                  <w:tcW w:w="5874" w:type="dxa"/>
                  <w:noWrap/>
                  <w:vAlign w:val="center"/>
                </w:tcPr>
                <w:p>
                  <w:pPr>
                    <w:jc w:val="center"/>
                    <w:rPr>
                      <w:szCs w:val="21"/>
                      <w:u w:val="single"/>
                    </w:rPr>
                  </w:pPr>
                  <w:r>
                    <w:rPr>
                      <w:szCs w:val="21"/>
                      <w:u w:val="single"/>
                    </w:rPr>
                    <w:t>~18</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68" w:hRule="atLeast"/>
                <w:jc w:val="center"/>
              </w:trPr>
              <w:tc>
                <w:tcPr>
                  <w:tcW w:w="1785" w:type="dxa"/>
                  <w:noWrap/>
                  <w:vAlign w:val="center"/>
                </w:tcPr>
                <w:p>
                  <w:pPr>
                    <w:jc w:val="center"/>
                    <w:rPr>
                      <w:szCs w:val="21"/>
                      <w:u w:val="single"/>
                    </w:rPr>
                  </w:pPr>
                  <w:r>
                    <w:rPr>
                      <w:szCs w:val="21"/>
                      <w:u w:val="single"/>
                    </w:rPr>
                    <w:t>沸点（℃）</w:t>
                  </w:r>
                </w:p>
              </w:tc>
              <w:tc>
                <w:tcPr>
                  <w:tcW w:w="5874" w:type="dxa"/>
                  <w:noWrap/>
                  <w:vAlign w:val="center"/>
                </w:tcPr>
                <w:p>
                  <w:pPr>
                    <w:jc w:val="center"/>
                    <w:rPr>
                      <w:szCs w:val="21"/>
                      <w:u w:val="single"/>
                    </w:rPr>
                  </w:pPr>
                  <w:r>
                    <w:rPr>
                      <w:szCs w:val="21"/>
                      <w:u w:val="single"/>
                    </w:rPr>
                    <w:t>282～338</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68" w:hRule="atLeast"/>
                <w:jc w:val="center"/>
              </w:trPr>
              <w:tc>
                <w:tcPr>
                  <w:tcW w:w="1785" w:type="dxa"/>
                  <w:noWrap/>
                  <w:vAlign w:val="center"/>
                </w:tcPr>
                <w:p>
                  <w:pPr>
                    <w:jc w:val="center"/>
                    <w:rPr>
                      <w:szCs w:val="21"/>
                      <w:u w:val="single"/>
                    </w:rPr>
                  </w:pPr>
                  <w:r>
                    <w:rPr>
                      <w:szCs w:val="21"/>
                      <w:u w:val="single"/>
                    </w:rPr>
                    <w:t>相对密度（水＝1）</w:t>
                  </w:r>
                </w:p>
              </w:tc>
              <w:tc>
                <w:tcPr>
                  <w:tcW w:w="5874" w:type="dxa"/>
                  <w:noWrap/>
                  <w:vAlign w:val="center"/>
                </w:tcPr>
                <w:p>
                  <w:pPr>
                    <w:jc w:val="center"/>
                    <w:rPr>
                      <w:szCs w:val="21"/>
                      <w:u w:val="single"/>
                    </w:rPr>
                  </w:pPr>
                  <w:r>
                    <w:rPr>
                      <w:szCs w:val="21"/>
                      <w:u w:val="single"/>
                    </w:rPr>
                    <w:t>0.87～0.90</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68" w:hRule="atLeast"/>
                <w:jc w:val="center"/>
              </w:trPr>
              <w:tc>
                <w:tcPr>
                  <w:tcW w:w="1785" w:type="dxa"/>
                  <w:noWrap/>
                  <w:vAlign w:val="center"/>
                </w:tcPr>
                <w:p>
                  <w:pPr>
                    <w:jc w:val="center"/>
                    <w:rPr>
                      <w:szCs w:val="21"/>
                      <w:u w:val="single"/>
                    </w:rPr>
                  </w:pPr>
                  <w:r>
                    <w:rPr>
                      <w:szCs w:val="21"/>
                      <w:u w:val="single"/>
                    </w:rPr>
                    <w:t>燃烧性</w:t>
                  </w:r>
                </w:p>
              </w:tc>
              <w:tc>
                <w:tcPr>
                  <w:tcW w:w="5874" w:type="dxa"/>
                  <w:noWrap/>
                  <w:vAlign w:val="center"/>
                </w:tcPr>
                <w:p>
                  <w:pPr>
                    <w:jc w:val="center"/>
                    <w:rPr>
                      <w:szCs w:val="21"/>
                      <w:u w:val="single"/>
                    </w:rPr>
                  </w:pPr>
                  <w:r>
                    <w:rPr>
                      <w:szCs w:val="21"/>
                      <w:u w:val="single"/>
                    </w:rPr>
                    <w:t>易燃</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68" w:hRule="atLeast"/>
                <w:jc w:val="center"/>
              </w:trPr>
              <w:tc>
                <w:tcPr>
                  <w:tcW w:w="1785" w:type="dxa"/>
                  <w:noWrap/>
                  <w:vAlign w:val="center"/>
                </w:tcPr>
                <w:p>
                  <w:pPr>
                    <w:jc w:val="center"/>
                    <w:rPr>
                      <w:szCs w:val="21"/>
                      <w:u w:val="single"/>
                    </w:rPr>
                  </w:pPr>
                  <w:r>
                    <w:rPr>
                      <w:szCs w:val="21"/>
                      <w:u w:val="single"/>
                    </w:rPr>
                    <w:t>燃烧分解产物</w:t>
                  </w:r>
                </w:p>
              </w:tc>
              <w:tc>
                <w:tcPr>
                  <w:tcW w:w="5874" w:type="dxa"/>
                  <w:noWrap/>
                  <w:vAlign w:val="center"/>
                </w:tcPr>
                <w:p>
                  <w:pPr>
                    <w:jc w:val="center"/>
                    <w:rPr>
                      <w:szCs w:val="21"/>
                      <w:u w:val="single"/>
                    </w:rPr>
                  </w:pPr>
                  <w:r>
                    <w:rPr>
                      <w:szCs w:val="21"/>
                      <w:u w:val="single"/>
                    </w:rPr>
                    <w:t>一氧化碳、二氧化碳</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68" w:hRule="atLeast"/>
                <w:jc w:val="center"/>
              </w:trPr>
              <w:tc>
                <w:tcPr>
                  <w:tcW w:w="1785" w:type="dxa"/>
                  <w:noWrap/>
                  <w:vAlign w:val="center"/>
                </w:tcPr>
                <w:p>
                  <w:pPr>
                    <w:jc w:val="center"/>
                    <w:rPr>
                      <w:szCs w:val="21"/>
                      <w:u w:val="single"/>
                    </w:rPr>
                  </w:pPr>
                  <w:r>
                    <w:rPr>
                      <w:szCs w:val="21"/>
                      <w:u w:val="single"/>
                    </w:rPr>
                    <w:t>闪点（℃）</w:t>
                  </w:r>
                </w:p>
              </w:tc>
              <w:tc>
                <w:tcPr>
                  <w:tcW w:w="5874" w:type="dxa"/>
                  <w:noWrap/>
                  <w:vAlign w:val="center"/>
                </w:tcPr>
                <w:p>
                  <w:pPr>
                    <w:jc w:val="center"/>
                    <w:rPr>
                      <w:szCs w:val="21"/>
                      <w:u w:val="single"/>
                    </w:rPr>
                  </w:pPr>
                  <w:r>
                    <w:rPr>
                      <w:rFonts w:hint="eastAsia"/>
                      <w:szCs w:val="21"/>
                      <w:u w:val="single"/>
                    </w:rPr>
                    <w:t>38</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68" w:hRule="atLeast"/>
                <w:jc w:val="center"/>
              </w:trPr>
              <w:tc>
                <w:tcPr>
                  <w:tcW w:w="1785" w:type="dxa"/>
                  <w:noWrap/>
                  <w:vAlign w:val="center"/>
                </w:tcPr>
                <w:p>
                  <w:pPr>
                    <w:jc w:val="center"/>
                    <w:rPr>
                      <w:szCs w:val="21"/>
                      <w:u w:val="single"/>
                    </w:rPr>
                  </w:pPr>
                  <w:r>
                    <w:rPr>
                      <w:szCs w:val="21"/>
                      <w:u w:val="single"/>
                    </w:rPr>
                    <w:t>聚合危害</w:t>
                  </w:r>
                </w:p>
              </w:tc>
              <w:tc>
                <w:tcPr>
                  <w:tcW w:w="5874" w:type="dxa"/>
                  <w:noWrap/>
                  <w:vAlign w:val="center"/>
                </w:tcPr>
                <w:p>
                  <w:pPr>
                    <w:jc w:val="center"/>
                    <w:rPr>
                      <w:szCs w:val="21"/>
                      <w:u w:val="single"/>
                    </w:rPr>
                  </w:pPr>
                  <w:r>
                    <w:rPr>
                      <w:szCs w:val="21"/>
                      <w:u w:val="single"/>
                    </w:rPr>
                    <w:t>不聚合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07" w:hRule="atLeast"/>
                <w:jc w:val="center"/>
              </w:trPr>
              <w:tc>
                <w:tcPr>
                  <w:tcW w:w="1785" w:type="dxa"/>
                  <w:noWrap/>
                  <w:vAlign w:val="center"/>
                </w:tcPr>
                <w:p>
                  <w:pPr>
                    <w:jc w:val="center"/>
                    <w:rPr>
                      <w:szCs w:val="21"/>
                      <w:u w:val="single"/>
                    </w:rPr>
                  </w:pPr>
                  <w:r>
                    <w:rPr>
                      <w:szCs w:val="21"/>
                      <w:u w:val="single"/>
                    </w:rPr>
                    <w:t>危险特性</w:t>
                  </w:r>
                </w:p>
              </w:tc>
              <w:tc>
                <w:tcPr>
                  <w:tcW w:w="5874" w:type="dxa"/>
                  <w:noWrap/>
                  <w:vAlign w:val="center"/>
                </w:tcPr>
                <w:p>
                  <w:pPr>
                    <w:jc w:val="center"/>
                    <w:rPr>
                      <w:szCs w:val="21"/>
                      <w:u w:val="single"/>
                    </w:rPr>
                  </w:pPr>
                  <w:r>
                    <w:rPr>
                      <w:szCs w:val="21"/>
                      <w:u w:val="single"/>
                    </w:rPr>
                    <w:t>遇明火、高热，有引起燃烧爆炸的危险。若遇高热，容器内压增大，有开裂和爆炸的危险。</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61" w:hRule="atLeast"/>
                <w:jc w:val="center"/>
              </w:trPr>
              <w:tc>
                <w:tcPr>
                  <w:tcW w:w="1785" w:type="dxa"/>
                  <w:noWrap/>
                  <w:vAlign w:val="center"/>
                </w:tcPr>
                <w:p>
                  <w:pPr>
                    <w:jc w:val="center"/>
                    <w:rPr>
                      <w:szCs w:val="21"/>
                      <w:u w:val="single"/>
                    </w:rPr>
                  </w:pPr>
                  <w:r>
                    <w:rPr>
                      <w:szCs w:val="21"/>
                      <w:u w:val="single"/>
                    </w:rPr>
                    <w:t>灭火方法</w:t>
                  </w:r>
                </w:p>
              </w:tc>
              <w:tc>
                <w:tcPr>
                  <w:tcW w:w="5874" w:type="dxa"/>
                  <w:noWrap/>
                  <w:vAlign w:val="center"/>
                </w:tcPr>
                <w:p>
                  <w:pPr>
                    <w:jc w:val="center"/>
                    <w:rPr>
                      <w:szCs w:val="21"/>
                      <w:u w:val="single"/>
                    </w:rPr>
                  </w:pPr>
                  <w:r>
                    <w:rPr>
                      <w:szCs w:val="21"/>
                      <w:u w:val="single"/>
                    </w:rPr>
                    <w:t>消防人员须戴防毒面具，穿全身消防服，在上风向灭火。尽可能将容器从火场移至空旷处。喷水保持火场容器冷却，直至灭火结束。处在火场中的容器若已变色或从安全泄压装置中产生声音，必须马上撤离。</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85" w:hRule="atLeast"/>
                <w:jc w:val="center"/>
              </w:trPr>
              <w:tc>
                <w:tcPr>
                  <w:tcW w:w="1785" w:type="dxa"/>
                  <w:noWrap/>
                  <w:vAlign w:val="center"/>
                </w:tcPr>
                <w:p>
                  <w:pPr>
                    <w:jc w:val="center"/>
                    <w:rPr>
                      <w:szCs w:val="21"/>
                      <w:u w:val="single"/>
                    </w:rPr>
                  </w:pPr>
                  <w:r>
                    <w:rPr>
                      <w:szCs w:val="21"/>
                      <w:u w:val="single"/>
                    </w:rPr>
                    <w:t>贮存方法</w:t>
                  </w:r>
                </w:p>
              </w:tc>
              <w:tc>
                <w:tcPr>
                  <w:tcW w:w="5874" w:type="dxa"/>
                  <w:noWrap/>
                  <w:vAlign w:val="center"/>
                </w:tcPr>
                <w:p>
                  <w:pPr>
                    <w:jc w:val="center"/>
                    <w:rPr>
                      <w:szCs w:val="21"/>
                      <w:u w:val="single"/>
                    </w:rPr>
                  </w:pPr>
                  <w:r>
                    <w:rPr>
                      <w:szCs w:val="21"/>
                      <w:u w:val="single"/>
                    </w:rPr>
                    <w:t>储存于阴凉、通风的库房。远离火种、热源。应与氧化剂、卤素分开存放，切忌混储。采用防爆型照明、通风设施。禁止使用易产生火花的机械设备和工具。储区应备有泄漏应急处理设备和合适的收容材料。</w:t>
                  </w:r>
                </w:p>
              </w:tc>
            </w:tr>
          </w:tbl>
          <w:p>
            <w:pPr>
              <w:spacing w:line="360" w:lineRule="auto"/>
              <w:rPr>
                <w:b/>
                <w:sz w:val="24"/>
                <w:u w:val="single"/>
              </w:rPr>
            </w:pPr>
            <w:r>
              <w:rPr>
                <w:rFonts w:hint="eastAsia"/>
                <w:b/>
                <w:sz w:val="24"/>
                <w:u w:val="single"/>
              </w:rPr>
              <w:t>三、风险评价等级</w:t>
            </w:r>
          </w:p>
          <w:p>
            <w:pPr>
              <w:autoSpaceDE w:val="0"/>
              <w:autoSpaceDN w:val="0"/>
              <w:spacing w:line="360" w:lineRule="auto"/>
              <w:ind w:firstLine="480"/>
              <w:rPr>
                <w:sz w:val="24"/>
                <w:szCs w:val="24"/>
                <w:u w:val="single"/>
              </w:rPr>
            </w:pPr>
            <w:r>
              <w:rPr>
                <w:sz w:val="24"/>
                <w:szCs w:val="24"/>
                <w:u w:val="single"/>
              </w:rPr>
              <w:t>根据HJ169-20</w:t>
            </w:r>
            <w:r>
              <w:rPr>
                <w:rFonts w:hint="eastAsia"/>
                <w:sz w:val="24"/>
                <w:szCs w:val="24"/>
                <w:u w:val="single"/>
              </w:rPr>
              <w:t>18</w:t>
            </w:r>
            <w:r>
              <w:rPr>
                <w:sz w:val="24"/>
                <w:szCs w:val="24"/>
                <w:u w:val="single"/>
              </w:rPr>
              <w:t>《建设项目环境风险评价技术导则》、《危险化学品重大危险源辨识》(GB18218-20</w:t>
            </w:r>
            <w:r>
              <w:rPr>
                <w:rFonts w:hint="eastAsia"/>
                <w:sz w:val="24"/>
                <w:szCs w:val="24"/>
                <w:u w:val="single"/>
              </w:rPr>
              <w:t>18</w:t>
            </w:r>
            <w:r>
              <w:rPr>
                <w:sz w:val="24"/>
                <w:szCs w:val="24"/>
                <w:u w:val="single"/>
              </w:rPr>
              <w:t>)，生产、加工、运输、使用或贮存危险性物质，且危险性物质的数量等于或超过临界量的功能单元，构成重大危险源。本项目</w:t>
            </w:r>
            <w:r>
              <w:rPr>
                <w:bCs/>
                <w:sz w:val="24"/>
                <w:szCs w:val="24"/>
                <w:u w:val="single"/>
              </w:rPr>
              <w:t>重大危险源辨识下表。</w:t>
            </w:r>
          </w:p>
          <w:p>
            <w:pPr>
              <w:jc w:val="center"/>
              <w:rPr>
                <w:rFonts w:cs="宋体"/>
                <w:b/>
                <w:sz w:val="24"/>
                <w:u w:val="single"/>
              </w:rPr>
            </w:pPr>
            <w:r>
              <w:rPr>
                <w:rFonts w:hint="eastAsia" w:cs="宋体"/>
                <w:b/>
                <w:sz w:val="24"/>
                <w:u w:val="single"/>
              </w:rPr>
              <w:t>表4-11 重大危险源辨识一览表</w:t>
            </w:r>
          </w:p>
          <w:tbl>
            <w:tblPr>
              <w:tblStyle w:val="24"/>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69"/>
              <w:gridCol w:w="2010"/>
              <w:gridCol w:w="1749"/>
              <w:gridCol w:w="859"/>
              <w:gridCol w:w="221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90" w:hRule="atLeast"/>
              </w:trPr>
              <w:tc>
                <w:tcPr>
                  <w:tcW w:w="969" w:type="dxa"/>
                  <w:noWrap/>
                  <w:vAlign w:val="center"/>
                </w:tcPr>
                <w:p>
                  <w:pPr>
                    <w:jc w:val="center"/>
                    <w:rPr>
                      <w:szCs w:val="21"/>
                      <w:u w:val="single"/>
                    </w:rPr>
                  </w:pPr>
                  <w:r>
                    <w:rPr>
                      <w:rFonts w:hAnsi="宋体"/>
                      <w:szCs w:val="21"/>
                      <w:u w:val="single"/>
                    </w:rPr>
                    <w:t>名称</w:t>
                  </w:r>
                </w:p>
              </w:tc>
              <w:tc>
                <w:tcPr>
                  <w:tcW w:w="2010" w:type="dxa"/>
                  <w:noWrap/>
                  <w:vAlign w:val="center"/>
                </w:tcPr>
                <w:p>
                  <w:pPr>
                    <w:jc w:val="center"/>
                    <w:rPr>
                      <w:color w:val="FF0000"/>
                      <w:szCs w:val="21"/>
                      <w:u w:val="single"/>
                    </w:rPr>
                  </w:pPr>
                  <w:r>
                    <w:rPr>
                      <w:rFonts w:hAnsi="宋体"/>
                      <w:szCs w:val="21"/>
                      <w:u w:val="single"/>
                    </w:rPr>
                    <w:t>最大存储数量</w:t>
                  </w:r>
                  <w:r>
                    <w:rPr>
                      <w:szCs w:val="21"/>
                      <w:u w:val="single"/>
                    </w:rPr>
                    <w:t>qi</w:t>
                  </w:r>
                  <w:r>
                    <w:rPr>
                      <w:rFonts w:hAnsi="宋体"/>
                      <w:szCs w:val="21"/>
                      <w:u w:val="single"/>
                    </w:rPr>
                    <w:t>（</w:t>
                  </w:r>
                  <w:r>
                    <w:rPr>
                      <w:szCs w:val="21"/>
                      <w:u w:val="single"/>
                    </w:rPr>
                    <w:t>t</w:t>
                  </w:r>
                  <w:r>
                    <w:rPr>
                      <w:rFonts w:hAnsi="宋体"/>
                      <w:szCs w:val="21"/>
                      <w:u w:val="single"/>
                    </w:rPr>
                    <w:t>）</w:t>
                  </w:r>
                </w:p>
              </w:tc>
              <w:tc>
                <w:tcPr>
                  <w:tcW w:w="1749" w:type="dxa"/>
                  <w:noWrap/>
                  <w:vAlign w:val="center"/>
                </w:tcPr>
                <w:p>
                  <w:pPr>
                    <w:jc w:val="center"/>
                    <w:rPr>
                      <w:szCs w:val="21"/>
                      <w:u w:val="single"/>
                    </w:rPr>
                  </w:pPr>
                  <w:r>
                    <w:rPr>
                      <w:rFonts w:hAnsi="宋体"/>
                      <w:szCs w:val="21"/>
                      <w:u w:val="single"/>
                    </w:rPr>
                    <w:t>临界量</w:t>
                  </w:r>
                  <w:r>
                    <w:rPr>
                      <w:szCs w:val="21"/>
                      <w:u w:val="single"/>
                    </w:rPr>
                    <w:t>Qi*</w:t>
                  </w:r>
                  <w:r>
                    <w:rPr>
                      <w:rFonts w:hAnsi="宋体"/>
                      <w:szCs w:val="21"/>
                      <w:u w:val="single"/>
                    </w:rPr>
                    <w:t>（</w:t>
                  </w:r>
                  <w:r>
                    <w:rPr>
                      <w:szCs w:val="21"/>
                      <w:u w:val="single"/>
                    </w:rPr>
                    <w:t>t</w:t>
                  </w:r>
                  <w:r>
                    <w:rPr>
                      <w:rFonts w:hAnsi="宋体"/>
                      <w:szCs w:val="21"/>
                      <w:u w:val="single"/>
                    </w:rPr>
                    <w:t>）</w:t>
                  </w:r>
                </w:p>
              </w:tc>
              <w:tc>
                <w:tcPr>
                  <w:tcW w:w="859" w:type="dxa"/>
                  <w:noWrap/>
                  <w:vAlign w:val="center"/>
                </w:tcPr>
                <w:p>
                  <w:pPr>
                    <w:jc w:val="center"/>
                    <w:rPr>
                      <w:szCs w:val="21"/>
                      <w:u w:val="single"/>
                    </w:rPr>
                  </w:pPr>
                  <w:r>
                    <w:rPr>
                      <w:szCs w:val="21"/>
                      <w:u w:val="single"/>
                    </w:rPr>
                    <w:t>qi/Qi</w:t>
                  </w:r>
                </w:p>
              </w:tc>
              <w:tc>
                <w:tcPr>
                  <w:tcW w:w="2211" w:type="dxa"/>
                  <w:noWrap/>
                  <w:vAlign w:val="center"/>
                </w:tcPr>
                <w:p>
                  <w:pPr>
                    <w:jc w:val="center"/>
                    <w:rPr>
                      <w:szCs w:val="21"/>
                      <w:u w:val="single"/>
                    </w:rPr>
                  </w:pPr>
                  <w:r>
                    <w:rPr>
                      <w:rFonts w:hAnsi="宋体"/>
                      <w:szCs w:val="21"/>
                      <w:u w:val="single"/>
                    </w:rPr>
                    <w:t>是否构成重大危险源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1" w:hRule="atLeast"/>
              </w:trPr>
              <w:tc>
                <w:tcPr>
                  <w:tcW w:w="969" w:type="dxa"/>
                  <w:noWrap/>
                  <w:vAlign w:val="center"/>
                </w:tcPr>
                <w:p>
                  <w:pPr>
                    <w:jc w:val="center"/>
                    <w:rPr>
                      <w:szCs w:val="21"/>
                      <w:u w:val="single"/>
                    </w:rPr>
                  </w:pPr>
                  <w:r>
                    <w:rPr>
                      <w:rFonts w:hint="eastAsia" w:hAnsi="宋体"/>
                      <w:szCs w:val="21"/>
                      <w:u w:val="single"/>
                    </w:rPr>
                    <w:t>废</w:t>
                  </w:r>
                  <w:r>
                    <w:rPr>
                      <w:rFonts w:hAnsi="宋体"/>
                      <w:szCs w:val="21"/>
                      <w:u w:val="single"/>
                    </w:rPr>
                    <w:t>机油</w:t>
                  </w:r>
                </w:p>
              </w:tc>
              <w:tc>
                <w:tcPr>
                  <w:tcW w:w="2010" w:type="dxa"/>
                  <w:noWrap/>
                  <w:vAlign w:val="center"/>
                </w:tcPr>
                <w:p>
                  <w:pPr>
                    <w:jc w:val="center"/>
                    <w:rPr>
                      <w:rFonts w:hint="default" w:eastAsia="宋体"/>
                      <w:szCs w:val="21"/>
                      <w:u w:val="single"/>
                      <w:lang w:val="en-US" w:eastAsia="zh-CN"/>
                    </w:rPr>
                  </w:pPr>
                  <w:r>
                    <w:rPr>
                      <w:rFonts w:hint="eastAsia"/>
                      <w:szCs w:val="21"/>
                      <w:u w:val="single"/>
                      <w:lang w:val="en-US" w:eastAsia="zh-CN"/>
                    </w:rPr>
                    <w:t>335</w:t>
                  </w:r>
                </w:p>
              </w:tc>
              <w:tc>
                <w:tcPr>
                  <w:tcW w:w="1749" w:type="dxa"/>
                  <w:noWrap/>
                  <w:vAlign w:val="center"/>
                </w:tcPr>
                <w:p>
                  <w:pPr>
                    <w:jc w:val="center"/>
                    <w:rPr>
                      <w:szCs w:val="21"/>
                      <w:u w:val="single"/>
                    </w:rPr>
                  </w:pPr>
                  <w:r>
                    <w:rPr>
                      <w:rFonts w:hint="eastAsia"/>
                      <w:szCs w:val="21"/>
                      <w:u w:val="single"/>
                    </w:rPr>
                    <w:t>2500</w:t>
                  </w:r>
                </w:p>
              </w:tc>
              <w:tc>
                <w:tcPr>
                  <w:tcW w:w="859" w:type="dxa"/>
                  <w:noWrap/>
                  <w:vAlign w:val="center"/>
                </w:tcPr>
                <w:p>
                  <w:pPr>
                    <w:jc w:val="center"/>
                    <w:rPr>
                      <w:rFonts w:hint="default" w:eastAsia="宋体"/>
                      <w:szCs w:val="21"/>
                      <w:u w:val="single"/>
                      <w:lang w:val="en-US" w:eastAsia="zh-CN"/>
                    </w:rPr>
                  </w:pPr>
                  <w:r>
                    <w:rPr>
                      <w:rFonts w:hint="eastAsia"/>
                      <w:szCs w:val="21"/>
                      <w:u w:val="single"/>
                    </w:rPr>
                    <w:t>0.</w:t>
                  </w:r>
                  <w:r>
                    <w:rPr>
                      <w:rFonts w:hint="eastAsia"/>
                      <w:szCs w:val="21"/>
                      <w:u w:val="single"/>
                      <w:lang w:val="en-US" w:eastAsia="zh-CN"/>
                    </w:rPr>
                    <w:t>134</w:t>
                  </w:r>
                </w:p>
              </w:tc>
              <w:tc>
                <w:tcPr>
                  <w:tcW w:w="2211" w:type="dxa"/>
                  <w:noWrap/>
                  <w:vAlign w:val="center"/>
                </w:tcPr>
                <w:p>
                  <w:pPr>
                    <w:jc w:val="center"/>
                    <w:rPr>
                      <w:szCs w:val="21"/>
                      <w:u w:val="single"/>
                    </w:rPr>
                  </w:pPr>
                  <w:r>
                    <w:rPr>
                      <w:rFonts w:hAnsi="宋体"/>
                      <w:szCs w:val="21"/>
                      <w:u w:val="single"/>
                    </w:rPr>
                    <w:t>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00" w:hRule="atLeast"/>
              </w:trPr>
              <w:tc>
                <w:tcPr>
                  <w:tcW w:w="969" w:type="dxa"/>
                  <w:noWrap/>
                  <w:vAlign w:val="center"/>
                </w:tcPr>
                <w:p>
                  <w:pPr>
                    <w:jc w:val="center"/>
                    <w:rPr>
                      <w:szCs w:val="21"/>
                      <w:u w:val="single"/>
                    </w:rPr>
                  </w:pPr>
                  <w:r>
                    <w:rPr>
                      <w:rFonts w:hAnsi="宋体"/>
                      <w:szCs w:val="21"/>
                      <w:u w:val="single"/>
                    </w:rPr>
                    <w:t>柴油</w:t>
                  </w:r>
                </w:p>
              </w:tc>
              <w:tc>
                <w:tcPr>
                  <w:tcW w:w="2010" w:type="dxa"/>
                  <w:noWrap/>
                  <w:vAlign w:val="center"/>
                </w:tcPr>
                <w:p>
                  <w:pPr>
                    <w:jc w:val="center"/>
                    <w:rPr>
                      <w:szCs w:val="21"/>
                      <w:u w:val="single"/>
                    </w:rPr>
                  </w:pPr>
                  <w:r>
                    <w:rPr>
                      <w:rFonts w:hint="eastAsia"/>
                      <w:szCs w:val="21"/>
                      <w:u w:val="single"/>
                    </w:rPr>
                    <w:t>3</w:t>
                  </w:r>
                </w:p>
              </w:tc>
              <w:tc>
                <w:tcPr>
                  <w:tcW w:w="1749" w:type="dxa"/>
                  <w:noWrap/>
                  <w:vAlign w:val="center"/>
                </w:tcPr>
                <w:p>
                  <w:pPr>
                    <w:jc w:val="center"/>
                    <w:rPr>
                      <w:szCs w:val="21"/>
                      <w:u w:val="single"/>
                    </w:rPr>
                  </w:pPr>
                  <w:r>
                    <w:rPr>
                      <w:rFonts w:hint="eastAsia"/>
                      <w:szCs w:val="21"/>
                      <w:u w:val="single"/>
                    </w:rPr>
                    <w:t>2500</w:t>
                  </w:r>
                </w:p>
              </w:tc>
              <w:tc>
                <w:tcPr>
                  <w:tcW w:w="859" w:type="dxa"/>
                  <w:noWrap/>
                  <w:vAlign w:val="center"/>
                </w:tcPr>
                <w:p>
                  <w:pPr>
                    <w:jc w:val="center"/>
                    <w:rPr>
                      <w:szCs w:val="21"/>
                      <w:u w:val="single"/>
                    </w:rPr>
                  </w:pPr>
                  <w:r>
                    <w:rPr>
                      <w:szCs w:val="21"/>
                      <w:u w:val="single"/>
                    </w:rPr>
                    <w:t>0.00</w:t>
                  </w:r>
                  <w:r>
                    <w:rPr>
                      <w:rFonts w:hint="eastAsia"/>
                      <w:szCs w:val="21"/>
                      <w:u w:val="single"/>
                    </w:rPr>
                    <w:t>12</w:t>
                  </w:r>
                </w:p>
              </w:tc>
              <w:tc>
                <w:tcPr>
                  <w:tcW w:w="2211" w:type="dxa"/>
                  <w:noWrap/>
                  <w:vAlign w:val="center"/>
                </w:tcPr>
                <w:p>
                  <w:pPr>
                    <w:jc w:val="center"/>
                    <w:rPr>
                      <w:szCs w:val="21"/>
                      <w:u w:val="single"/>
                    </w:rPr>
                  </w:pPr>
                  <w:r>
                    <w:rPr>
                      <w:rFonts w:hAnsi="宋体"/>
                      <w:szCs w:val="21"/>
                      <w:u w:val="single"/>
                    </w:rPr>
                    <w:t>否</w:t>
                  </w:r>
                </w:p>
              </w:tc>
            </w:tr>
          </w:tbl>
          <w:p>
            <w:pPr>
              <w:spacing w:line="360" w:lineRule="auto"/>
              <w:ind w:firstLine="480" w:firstLineChars="200"/>
              <w:rPr>
                <w:rFonts w:cs="宋体"/>
                <w:sz w:val="24"/>
                <w:szCs w:val="24"/>
                <w:u w:val="single"/>
              </w:rPr>
            </w:pPr>
            <w:r>
              <w:rPr>
                <w:rFonts w:hint="eastAsia" w:cs="宋体"/>
                <w:sz w:val="24"/>
                <w:u w:val="single"/>
              </w:rPr>
              <w:t>本项目的风险评价为非重大危险源的爆炸危险性物质，风险评价工作只需简要分析。</w:t>
            </w:r>
            <w:bookmarkStart w:id="47" w:name="_Toc130374530"/>
          </w:p>
          <w:bookmarkEnd w:id="47"/>
          <w:p>
            <w:pPr>
              <w:spacing w:line="360" w:lineRule="auto"/>
              <w:rPr>
                <w:b/>
                <w:sz w:val="24"/>
                <w:u w:val="single"/>
              </w:rPr>
            </w:pPr>
            <w:r>
              <w:rPr>
                <w:rFonts w:hint="eastAsia"/>
                <w:b/>
                <w:sz w:val="24"/>
                <w:u w:val="single"/>
              </w:rPr>
              <w:t>四、源项分析</w:t>
            </w:r>
          </w:p>
          <w:p>
            <w:pPr>
              <w:pStyle w:val="66"/>
              <w:widowControl/>
              <w:spacing w:line="360" w:lineRule="auto"/>
              <w:ind w:firstLine="0" w:firstLineChars="0"/>
              <w:rPr>
                <w:rFonts w:hAnsi="Times New Roman" w:cs="宋体"/>
                <w:color w:val="auto"/>
                <w:kern w:val="2"/>
                <w:sz w:val="24"/>
                <w:u w:val="single"/>
              </w:rPr>
            </w:pPr>
            <w:r>
              <w:rPr>
                <w:rFonts w:hint="eastAsia" w:hAnsi="Times New Roman" w:cs="宋体"/>
                <w:color w:val="auto"/>
                <w:kern w:val="2"/>
                <w:sz w:val="24"/>
                <w:u w:val="single"/>
              </w:rPr>
              <w:t>（1）船舶溢油事故影响</w:t>
            </w:r>
          </w:p>
          <w:p>
            <w:pPr>
              <w:pStyle w:val="66"/>
              <w:widowControl/>
              <w:spacing w:line="360" w:lineRule="auto"/>
              <w:ind w:firstLine="480"/>
              <w:rPr>
                <w:rFonts w:hAnsi="Times New Roman" w:cs="宋体"/>
                <w:color w:val="auto"/>
                <w:kern w:val="2"/>
                <w:sz w:val="24"/>
                <w:u w:val="single"/>
              </w:rPr>
            </w:pPr>
            <w:r>
              <w:rPr>
                <w:rFonts w:hint="eastAsia" w:hAnsi="Times New Roman" w:cs="宋体"/>
                <w:color w:val="auto"/>
                <w:kern w:val="2"/>
                <w:sz w:val="24"/>
                <w:u w:val="single"/>
              </w:rPr>
              <w:t>本项目环境风险主要来源于船舶碰撞等突发性事故的油箱破裂带来的事故溢油。国内外发生较大事故的统计数据表明,突发性事故溢油有一定的风险概率。对某一个项目的风险概率分析，由于受客观条件和不稳定因素的影响，目前尚无成熟的计算方法，而多采用统计数据资料进行分析。</w:t>
            </w:r>
          </w:p>
          <w:p>
            <w:pPr>
              <w:pStyle w:val="66"/>
              <w:widowControl/>
              <w:spacing w:line="360" w:lineRule="auto"/>
              <w:ind w:firstLine="480"/>
              <w:rPr>
                <w:rFonts w:hAnsi="Times New Roman" w:cs="宋体"/>
                <w:color w:val="auto"/>
                <w:kern w:val="2"/>
                <w:sz w:val="24"/>
                <w:u w:val="single"/>
              </w:rPr>
            </w:pPr>
            <w:r>
              <w:rPr>
                <w:rFonts w:hint="eastAsia" w:hAnsi="Times New Roman" w:cs="宋体"/>
                <w:color w:val="auto"/>
                <w:kern w:val="2"/>
                <w:sz w:val="24"/>
                <w:u w:val="single"/>
              </w:rPr>
              <w:t>根据我国近16 年( 1987-2002年)的船舶、码头溢油的统计资料，溢油量多数为10t以下（占97%) ; 10t以上占3%。考虑到项目性质:平时主要为收集船舶的靠泊（船型较小)，不涉及大型运输船舶停靠。因此，本项目选取1t作为风险源强。预测计算时取最大溢油量为1t，溢油形式按突发性瞬间点源排放。</w:t>
            </w:r>
            <w:r>
              <w:rPr>
                <w:rFonts w:hint="eastAsia" w:hAnsi="Times New Roman" w:cs="宋体"/>
                <w:color w:val="auto"/>
                <w:kern w:val="2"/>
                <w:sz w:val="24"/>
                <w:u w:val="single"/>
              </w:rPr>
              <w:br w:type="textWrapping"/>
            </w:r>
            <w:r>
              <w:rPr>
                <w:rFonts w:hint="eastAsia" w:hAnsi="Times New Roman" w:cs="宋体"/>
                <w:color w:val="auto"/>
                <w:kern w:val="2"/>
                <w:sz w:val="24"/>
                <w:u w:val="single"/>
              </w:rPr>
              <w:t xml:space="preserve">  1）事故风险预测</w:t>
            </w:r>
          </w:p>
          <w:p>
            <w:pPr>
              <w:pStyle w:val="66"/>
              <w:widowControl/>
              <w:numPr>
                <w:ilvl w:val="0"/>
                <w:numId w:val="18"/>
              </w:numPr>
              <w:spacing w:line="360" w:lineRule="auto"/>
              <w:ind w:firstLine="480"/>
              <w:rPr>
                <w:rFonts w:hAnsi="Times New Roman" w:cs="宋体"/>
                <w:color w:val="auto"/>
                <w:kern w:val="2"/>
                <w:sz w:val="24"/>
                <w:u w:val="single"/>
              </w:rPr>
            </w:pPr>
            <w:r>
              <w:rPr>
                <w:rFonts w:hAnsi="Times New Roman" w:cs="宋体"/>
                <w:color w:val="auto"/>
                <w:kern w:val="2"/>
                <w:sz w:val="24"/>
                <w:u w:val="single"/>
              </w:rPr>
              <w:t>物料性质</w:t>
            </w:r>
          </w:p>
          <w:p>
            <w:pPr>
              <w:pStyle w:val="66"/>
              <w:widowControl/>
              <w:spacing w:line="360" w:lineRule="auto"/>
              <w:ind w:firstLine="480"/>
              <w:rPr>
                <w:rFonts w:hAnsi="Times New Roman" w:cs="宋体"/>
                <w:color w:val="auto"/>
                <w:kern w:val="2"/>
                <w:sz w:val="24"/>
                <w:u w:val="single"/>
              </w:rPr>
            </w:pPr>
            <w:r>
              <w:rPr>
                <w:rFonts w:hAnsi="Times New Roman" w:cs="宋体"/>
                <w:color w:val="auto"/>
                <w:kern w:val="2"/>
                <w:sz w:val="24"/>
                <w:u w:val="single"/>
              </w:rPr>
              <w:t>柴油在常温下为液体，微溶于水，可呈膜状浮于水面。</w:t>
            </w:r>
          </w:p>
          <w:p>
            <w:pPr>
              <w:pStyle w:val="66"/>
              <w:widowControl/>
              <w:numPr>
                <w:ilvl w:val="0"/>
                <w:numId w:val="18"/>
              </w:numPr>
              <w:spacing w:line="360" w:lineRule="auto"/>
              <w:ind w:firstLine="480"/>
              <w:rPr>
                <w:rFonts w:hAnsi="Times New Roman" w:cs="宋体"/>
                <w:color w:val="auto"/>
                <w:kern w:val="2"/>
                <w:sz w:val="24"/>
                <w:u w:val="single"/>
              </w:rPr>
            </w:pPr>
            <w:r>
              <w:rPr>
                <w:rFonts w:hAnsi="Times New Roman" w:cs="宋体"/>
                <w:color w:val="auto"/>
                <w:kern w:val="2"/>
                <w:sz w:val="24"/>
                <w:u w:val="single"/>
              </w:rPr>
              <w:t>预测模式及水文参数</w:t>
            </w:r>
          </w:p>
          <w:p>
            <w:pPr>
              <w:pStyle w:val="66"/>
              <w:widowControl/>
              <w:spacing w:line="360" w:lineRule="auto"/>
              <w:ind w:firstLine="480"/>
              <w:jc w:val="center"/>
              <w:rPr>
                <w:rFonts w:hAnsi="Times New Roman" w:cs="宋体"/>
                <w:color w:val="auto"/>
                <w:kern w:val="2"/>
                <w:sz w:val="24"/>
                <w:u w:val="single"/>
              </w:rPr>
            </w:pPr>
            <w:r>
              <w:rPr>
                <w:rFonts w:hAnsi="Times New Roman" w:cs="宋体"/>
                <w:color w:val="auto"/>
                <w:kern w:val="2"/>
                <w:sz w:val="24"/>
                <w:u w:val="single"/>
              </w:rPr>
              <w:t>按照突发事故溢油的油膜计算采用Blokker公式。假设油膜在无风条件下呈圆形扩展，采用下式</w:t>
            </w:r>
            <w:r>
              <w:rPr>
                <w:rFonts w:hint="eastAsia" w:hAnsi="Times New Roman" w:cs="宋体"/>
                <w:color w:val="auto"/>
                <w:kern w:val="2"/>
                <w:sz w:val="24"/>
                <w:u w:val="single"/>
              </w:rPr>
              <w:t>：</w:t>
            </w:r>
            <w:r>
              <w:rPr>
                <w:rFonts w:hint="eastAsia" w:hAnsi="Times New Roman" w:cs="宋体"/>
                <w:color w:val="auto"/>
                <w:kern w:val="2"/>
                <w:sz w:val="24"/>
                <w:u w:val="single"/>
              </w:rPr>
              <w:br w:type="textWrapping"/>
            </w:r>
            <w:r>
              <w:rPr>
                <w:rFonts w:hAnsi="Times New Roman" w:cs="宋体"/>
                <w:color w:val="auto"/>
                <w:kern w:val="2"/>
                <w:sz w:val="24"/>
                <w:u w:val="single"/>
              </w:rPr>
              <w:drawing>
                <wp:inline distT="0" distB="0" distL="114300" distR="114300">
                  <wp:extent cx="2333625" cy="619125"/>
                  <wp:effectExtent l="0" t="0" r="9525" b="9525"/>
                  <wp:docPr id="15" name="图片 15" descr="16375079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1637507952(1)"/>
                          <pic:cNvPicPr>
                            <a:picLocks noChangeAspect="1"/>
                          </pic:cNvPicPr>
                        </pic:nvPicPr>
                        <pic:blipFill>
                          <a:blip r:embed="rId12"/>
                          <a:stretch>
                            <a:fillRect/>
                          </a:stretch>
                        </pic:blipFill>
                        <pic:spPr>
                          <a:xfrm>
                            <a:off x="0" y="0"/>
                            <a:ext cx="2333625" cy="619125"/>
                          </a:xfrm>
                          <a:prstGeom prst="rect">
                            <a:avLst/>
                          </a:prstGeom>
                        </pic:spPr>
                      </pic:pic>
                    </a:graphicData>
                  </a:graphic>
                </wp:inline>
              </w:drawing>
            </w:r>
          </w:p>
          <w:p>
            <w:pPr>
              <w:pStyle w:val="66"/>
              <w:widowControl/>
              <w:spacing w:line="360" w:lineRule="auto"/>
              <w:ind w:firstLine="0" w:firstLineChars="0"/>
              <w:rPr>
                <w:rFonts w:hAnsi="Times New Roman" w:cs="宋体"/>
                <w:color w:val="auto"/>
                <w:kern w:val="2"/>
                <w:sz w:val="24"/>
                <w:u w:val="single"/>
              </w:rPr>
            </w:pPr>
            <w:r>
              <w:rPr>
                <w:u w:val="single"/>
              </w:rPr>
              <w:drawing>
                <wp:inline distT="0" distB="0" distL="114300" distR="114300">
                  <wp:extent cx="5042535" cy="4345305"/>
                  <wp:effectExtent l="0" t="0" r="5715" b="17145"/>
                  <wp:docPr id="1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6"/>
                          <pic:cNvPicPr>
                            <a:picLocks noChangeAspect="1"/>
                          </pic:cNvPicPr>
                        </pic:nvPicPr>
                        <pic:blipFill>
                          <a:blip r:embed="rId13"/>
                          <a:stretch>
                            <a:fillRect/>
                          </a:stretch>
                        </pic:blipFill>
                        <pic:spPr>
                          <a:xfrm>
                            <a:off x="0" y="0"/>
                            <a:ext cx="5042535" cy="4345305"/>
                          </a:xfrm>
                          <a:prstGeom prst="rect">
                            <a:avLst/>
                          </a:prstGeom>
                          <a:noFill/>
                          <a:ln>
                            <a:noFill/>
                          </a:ln>
                        </pic:spPr>
                      </pic:pic>
                    </a:graphicData>
                  </a:graphic>
                </wp:inline>
              </w:drawing>
            </w:r>
          </w:p>
          <w:p>
            <w:pPr>
              <w:pStyle w:val="80"/>
              <w:spacing w:line="465" w:lineRule="exact"/>
              <w:ind w:firstLine="460"/>
              <w:jc w:val="left"/>
              <w:rPr>
                <w:u w:val="single"/>
              </w:rPr>
            </w:pPr>
            <w:r>
              <w:rPr>
                <w:color w:val="000000"/>
                <w:sz w:val="20"/>
                <w:u w:val="single"/>
              </w:rPr>
              <w:t>3</w:t>
            </w:r>
            <w:r>
              <w:rPr>
                <w:color w:val="000000"/>
                <w:sz w:val="24"/>
                <w:szCs w:val="24"/>
                <w:u w:val="single"/>
              </w:rPr>
              <w:t>、预测结果</w:t>
            </w:r>
          </w:p>
          <w:p>
            <w:pPr>
              <w:pStyle w:val="80"/>
              <w:spacing w:after="220" w:line="465" w:lineRule="exact"/>
              <w:ind w:firstLine="460"/>
              <w:jc w:val="left"/>
              <w:rPr>
                <w:u w:val="single"/>
              </w:rPr>
            </w:pPr>
            <w:r>
              <w:rPr>
                <w:color w:val="000000"/>
                <w:sz w:val="24"/>
                <w:szCs w:val="24"/>
                <w:u w:val="single"/>
              </w:rPr>
              <w:t>本项目发生溢油事故时的油膜的漂移扩散预测结果如下表所示。</w:t>
            </w:r>
          </w:p>
          <w:p>
            <w:pPr>
              <w:pStyle w:val="80"/>
              <w:spacing w:after="120" w:line="240" w:lineRule="auto"/>
              <w:ind w:firstLine="0"/>
              <w:jc w:val="center"/>
              <w:rPr>
                <w:u w:val="single"/>
              </w:rPr>
            </w:pPr>
            <w:r>
              <w:rPr>
                <w:rFonts w:ascii="Times New Roman" w:hAnsi="Times New Roman" w:cs="Times New Roman"/>
                <w:b/>
                <w:bCs/>
                <w:color w:val="000000"/>
                <w:sz w:val="24"/>
                <w:szCs w:val="24"/>
                <w:u w:val="single"/>
              </w:rPr>
              <w:t>表</w:t>
            </w:r>
            <w:r>
              <w:rPr>
                <w:rFonts w:ascii="Times New Roman" w:hAnsi="Times New Roman" w:cs="Times New Roman"/>
                <w:color w:val="000000"/>
                <w:sz w:val="24"/>
                <w:szCs w:val="24"/>
                <w:u w:val="single"/>
                <w:lang w:val="en-US" w:eastAsia="zh-CN" w:bidi="en-US"/>
              </w:rPr>
              <w:t>4</w:t>
            </w:r>
            <w:r>
              <w:rPr>
                <w:rFonts w:ascii="Times New Roman" w:hAnsi="Times New Roman" w:cs="Times New Roman"/>
                <w:color w:val="000000"/>
                <w:sz w:val="24"/>
                <w:szCs w:val="24"/>
                <w:u w:val="single"/>
                <w:lang w:val="en-US" w:eastAsia="en-US" w:bidi="en-US"/>
              </w:rPr>
              <w:t>-</w:t>
            </w:r>
            <w:r>
              <w:rPr>
                <w:rFonts w:hint="eastAsia" w:ascii="Times New Roman" w:hAnsi="Times New Roman" w:cs="Times New Roman"/>
                <w:color w:val="000000"/>
                <w:sz w:val="24"/>
                <w:szCs w:val="24"/>
                <w:u w:val="single"/>
                <w:lang w:val="en-US" w:eastAsia="zh-CN" w:bidi="en-US"/>
              </w:rPr>
              <w:t>12</w:t>
            </w:r>
            <w:r>
              <w:rPr>
                <w:rFonts w:ascii="Times New Roman" w:hAnsi="Times New Roman" w:cs="Times New Roman"/>
                <w:b/>
                <w:bCs/>
                <w:color w:val="000000"/>
                <w:sz w:val="24"/>
                <w:szCs w:val="24"/>
                <w:u w:val="single"/>
              </w:rPr>
              <w:t>柴油泄漏事故时油膜凝扩散预测结果</w:t>
            </w:r>
          </w:p>
          <w:tbl>
            <w:tblPr>
              <w:tblStyle w:val="24"/>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 w:type="dxa"/>
                <w:bottom w:w="0" w:type="dxa"/>
                <w:right w:w="10" w:type="dxa"/>
              </w:tblCellMar>
            </w:tblPr>
            <w:tblGrid>
              <w:gridCol w:w="1580"/>
              <w:gridCol w:w="1580"/>
              <w:gridCol w:w="1580"/>
              <w:gridCol w:w="1565"/>
              <w:gridCol w:w="159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335" w:hRule="exact"/>
                <w:jc w:val="center"/>
              </w:trPr>
              <w:tc>
                <w:tcPr>
                  <w:tcW w:w="1580" w:type="dxa"/>
                  <w:vMerge w:val="restart"/>
                  <w:tcBorders>
                    <w:tl2br w:val="nil"/>
                    <w:tr2bl w:val="nil"/>
                  </w:tcBorders>
                  <w:shd w:val="clear" w:color="auto" w:fill="FFFFFF"/>
                </w:tcPr>
                <w:p>
                  <w:pPr>
                    <w:pStyle w:val="83"/>
                    <w:spacing w:line="240" w:lineRule="exact"/>
                    <w:ind w:firstLine="0"/>
                    <w:jc w:val="center"/>
                    <w:rPr>
                      <w:rFonts w:ascii="Times New Roman" w:hAnsi="Times New Roman" w:cs="Times New Roman"/>
                      <w:szCs w:val="21"/>
                      <w:u w:val="single"/>
                    </w:rPr>
                  </w:pPr>
                  <w:r>
                    <w:rPr>
                      <w:rFonts w:ascii="Times New Roman" w:hAnsi="Times New Roman" w:cs="Times New Roman"/>
                      <w:color w:val="000000"/>
                      <w:szCs w:val="21"/>
                      <w:u w:val="single"/>
                    </w:rPr>
                    <w:t xml:space="preserve">持续时间 </w:t>
                  </w:r>
                  <w:r>
                    <w:rPr>
                      <w:rFonts w:ascii="Times New Roman" w:hAnsi="Times New Roman" w:cs="Times New Roman"/>
                      <w:color w:val="000000"/>
                      <w:szCs w:val="21"/>
                      <w:u w:val="single"/>
                      <w:lang w:val="en-US" w:eastAsia="en-US" w:bidi="en-US"/>
                    </w:rPr>
                    <w:t>(min)</w:t>
                  </w:r>
                </w:p>
              </w:tc>
              <w:tc>
                <w:tcPr>
                  <w:tcW w:w="1580" w:type="dxa"/>
                  <w:vMerge w:val="restart"/>
                  <w:tcBorders>
                    <w:tl2br w:val="nil"/>
                    <w:tr2bl w:val="nil"/>
                  </w:tcBorders>
                  <w:shd w:val="clear" w:color="auto" w:fill="FFFFFF"/>
                </w:tcPr>
                <w:p>
                  <w:pPr>
                    <w:pStyle w:val="83"/>
                    <w:spacing w:line="240" w:lineRule="exact"/>
                    <w:ind w:firstLine="0"/>
                    <w:jc w:val="center"/>
                    <w:rPr>
                      <w:rFonts w:ascii="Times New Roman" w:hAnsi="Times New Roman" w:cs="Times New Roman"/>
                      <w:szCs w:val="21"/>
                      <w:u w:val="single"/>
                    </w:rPr>
                  </w:pPr>
                  <w:r>
                    <w:rPr>
                      <w:rFonts w:ascii="Times New Roman" w:hAnsi="Times New Roman" w:cs="Times New Roman"/>
                      <w:color w:val="000000"/>
                      <w:szCs w:val="21"/>
                      <w:u w:val="single"/>
                    </w:rPr>
                    <w:t xml:space="preserve">扩散面积 </w:t>
                  </w:r>
                  <w:r>
                    <w:rPr>
                      <w:rFonts w:ascii="Times New Roman" w:hAnsi="Times New Roman" w:cs="Times New Roman"/>
                      <w:color w:val="000000"/>
                      <w:szCs w:val="21"/>
                      <w:u w:val="single"/>
                      <w:lang w:val="en-US" w:eastAsia="en-US" w:bidi="en-US"/>
                    </w:rPr>
                    <w:t xml:space="preserve">(hm </w:t>
                  </w:r>
                  <w:r>
                    <w:rPr>
                      <w:rFonts w:ascii="Times New Roman" w:hAnsi="Times New Roman" w:cs="Times New Roman"/>
                      <w:color w:val="000000"/>
                      <w:szCs w:val="21"/>
                      <w:u w:val="single"/>
                    </w:rPr>
                    <w:t>)</w:t>
                  </w:r>
                </w:p>
              </w:tc>
              <w:tc>
                <w:tcPr>
                  <w:tcW w:w="1580" w:type="dxa"/>
                  <w:vMerge w:val="restart"/>
                  <w:tcBorders>
                    <w:tl2br w:val="nil"/>
                    <w:tr2bl w:val="nil"/>
                  </w:tcBorders>
                  <w:shd w:val="clear" w:color="auto" w:fill="FFFFFF"/>
                  <w:vAlign w:val="center"/>
                </w:tcPr>
                <w:p>
                  <w:pPr>
                    <w:pStyle w:val="83"/>
                    <w:spacing w:line="240" w:lineRule="auto"/>
                    <w:ind w:firstLine="0"/>
                    <w:jc w:val="center"/>
                    <w:rPr>
                      <w:rFonts w:ascii="Times New Roman" w:hAnsi="Times New Roman" w:cs="Times New Roman"/>
                      <w:szCs w:val="21"/>
                      <w:u w:val="single"/>
                    </w:rPr>
                  </w:pPr>
                  <w:r>
                    <w:rPr>
                      <w:rFonts w:ascii="Times New Roman" w:hAnsi="Times New Roman" w:cs="Times New Roman"/>
                      <w:color w:val="000000"/>
                      <w:szCs w:val="21"/>
                      <w:u w:val="single"/>
                    </w:rPr>
                    <w:t>厚度</w:t>
                  </w:r>
                  <w:r>
                    <w:rPr>
                      <w:rFonts w:ascii="Times New Roman" w:hAnsi="Times New Roman" w:cs="Times New Roman"/>
                      <w:color w:val="000000"/>
                      <w:szCs w:val="21"/>
                      <w:u w:val="single"/>
                      <w:lang w:val="en-US" w:eastAsia="en-US" w:bidi="en-US"/>
                    </w:rPr>
                    <w:t>(um)</w:t>
                  </w:r>
                </w:p>
              </w:tc>
              <w:tc>
                <w:tcPr>
                  <w:tcW w:w="3160" w:type="dxa"/>
                  <w:gridSpan w:val="2"/>
                  <w:tcBorders>
                    <w:tl2br w:val="nil"/>
                    <w:tr2bl w:val="nil"/>
                  </w:tcBorders>
                  <w:shd w:val="clear" w:color="auto" w:fill="FFFFFF"/>
                </w:tcPr>
                <w:p>
                  <w:pPr>
                    <w:pStyle w:val="83"/>
                    <w:spacing w:line="240" w:lineRule="auto"/>
                    <w:ind w:firstLine="0"/>
                    <w:jc w:val="center"/>
                    <w:rPr>
                      <w:rFonts w:ascii="Times New Roman" w:hAnsi="Times New Roman" w:cs="Times New Roman"/>
                      <w:szCs w:val="21"/>
                      <w:u w:val="single"/>
                    </w:rPr>
                  </w:pPr>
                  <w:r>
                    <w:rPr>
                      <w:rFonts w:ascii="Times New Roman" w:hAnsi="Times New Roman" w:cs="Times New Roman"/>
                      <w:color w:val="000000"/>
                      <w:szCs w:val="21"/>
                      <w:u w:val="single"/>
                    </w:rPr>
                    <w:t>表面膜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277" w:hRule="exact"/>
                <w:jc w:val="center"/>
              </w:trPr>
              <w:tc>
                <w:tcPr>
                  <w:tcW w:w="1580" w:type="dxa"/>
                  <w:vMerge w:val="continue"/>
                  <w:tcBorders>
                    <w:tl2br w:val="nil"/>
                    <w:tr2bl w:val="nil"/>
                  </w:tcBorders>
                  <w:shd w:val="clear" w:color="auto" w:fill="FFFFFF"/>
                </w:tcPr>
                <w:p>
                  <w:pPr>
                    <w:rPr>
                      <w:szCs w:val="21"/>
                      <w:u w:val="single"/>
                    </w:rPr>
                  </w:pPr>
                </w:p>
              </w:tc>
              <w:tc>
                <w:tcPr>
                  <w:tcW w:w="1580" w:type="dxa"/>
                  <w:vMerge w:val="continue"/>
                  <w:tcBorders>
                    <w:tl2br w:val="nil"/>
                    <w:tr2bl w:val="nil"/>
                  </w:tcBorders>
                  <w:shd w:val="clear" w:color="auto" w:fill="FFFFFF"/>
                </w:tcPr>
                <w:p>
                  <w:pPr>
                    <w:rPr>
                      <w:szCs w:val="21"/>
                      <w:u w:val="single"/>
                    </w:rPr>
                  </w:pPr>
                </w:p>
              </w:tc>
              <w:tc>
                <w:tcPr>
                  <w:tcW w:w="1580" w:type="dxa"/>
                  <w:vMerge w:val="continue"/>
                  <w:tcBorders>
                    <w:tl2br w:val="nil"/>
                    <w:tr2bl w:val="nil"/>
                  </w:tcBorders>
                  <w:shd w:val="clear" w:color="auto" w:fill="FFFFFF"/>
                  <w:vAlign w:val="center"/>
                </w:tcPr>
                <w:p>
                  <w:pPr>
                    <w:rPr>
                      <w:szCs w:val="21"/>
                      <w:u w:val="single"/>
                    </w:rPr>
                  </w:pPr>
                </w:p>
              </w:tc>
              <w:tc>
                <w:tcPr>
                  <w:tcW w:w="1565" w:type="dxa"/>
                  <w:tcBorders>
                    <w:tl2br w:val="nil"/>
                    <w:tr2bl w:val="nil"/>
                  </w:tcBorders>
                  <w:shd w:val="clear" w:color="auto" w:fill="FFFFFF"/>
                </w:tcPr>
                <w:p>
                  <w:pPr>
                    <w:pStyle w:val="83"/>
                    <w:spacing w:line="240" w:lineRule="auto"/>
                    <w:ind w:firstLine="0"/>
                    <w:jc w:val="center"/>
                    <w:rPr>
                      <w:rFonts w:ascii="Times New Roman" w:hAnsi="Times New Roman" w:cs="Times New Roman"/>
                      <w:szCs w:val="21"/>
                      <w:u w:val="single"/>
                    </w:rPr>
                  </w:pPr>
                  <w:r>
                    <w:rPr>
                      <w:rFonts w:ascii="Times New Roman" w:hAnsi="Times New Roman" w:cs="Times New Roman"/>
                      <w:color w:val="000000"/>
                      <w:szCs w:val="21"/>
                      <w:u w:val="single"/>
                    </w:rPr>
                    <w:t>长度</w:t>
                  </w:r>
                </w:p>
              </w:tc>
              <w:tc>
                <w:tcPr>
                  <w:tcW w:w="1595" w:type="dxa"/>
                  <w:tcBorders>
                    <w:tl2br w:val="nil"/>
                    <w:tr2bl w:val="nil"/>
                  </w:tcBorders>
                  <w:shd w:val="clear" w:color="auto" w:fill="FFFFFF"/>
                </w:tcPr>
                <w:p>
                  <w:pPr>
                    <w:pStyle w:val="83"/>
                    <w:spacing w:line="240" w:lineRule="auto"/>
                    <w:ind w:firstLine="0"/>
                    <w:jc w:val="center"/>
                    <w:rPr>
                      <w:rFonts w:ascii="Times New Roman" w:hAnsi="Times New Roman" w:cs="Times New Roman"/>
                      <w:szCs w:val="21"/>
                      <w:u w:val="single"/>
                    </w:rPr>
                  </w:pPr>
                  <w:r>
                    <w:rPr>
                      <w:rFonts w:ascii="Times New Roman" w:hAnsi="Times New Roman" w:cs="Times New Roman"/>
                      <w:color w:val="000000"/>
                      <w:szCs w:val="21"/>
                      <w:u w:val="single"/>
                    </w:rPr>
                    <w:t>流动距离</w:t>
                  </w:r>
                  <w:r>
                    <w:rPr>
                      <w:rFonts w:ascii="Times New Roman" w:hAnsi="Times New Roman" w:cs="Times New Roman"/>
                      <w:color w:val="000000"/>
                      <w:szCs w:val="21"/>
                      <w:u w:val="single"/>
                      <w:lang w:val="en-US" w:eastAsia="en-US" w:bidi="en-US"/>
                    </w:rPr>
                    <w:t>(km)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335" w:hRule="exact"/>
                <w:jc w:val="center"/>
              </w:trPr>
              <w:tc>
                <w:tcPr>
                  <w:tcW w:w="1580" w:type="dxa"/>
                  <w:tcBorders>
                    <w:tl2br w:val="nil"/>
                    <w:tr2bl w:val="nil"/>
                  </w:tcBorders>
                  <w:shd w:val="clear" w:color="auto" w:fill="FFFFFF"/>
                  <w:vAlign w:val="center"/>
                </w:tcPr>
                <w:p>
                  <w:pPr>
                    <w:pStyle w:val="83"/>
                    <w:spacing w:line="240" w:lineRule="auto"/>
                    <w:ind w:firstLine="0"/>
                    <w:jc w:val="center"/>
                    <w:rPr>
                      <w:rFonts w:ascii="Times New Roman" w:hAnsi="Times New Roman" w:cs="Times New Roman"/>
                      <w:szCs w:val="21"/>
                      <w:u w:val="single"/>
                    </w:rPr>
                  </w:pPr>
                  <w:r>
                    <w:rPr>
                      <w:rFonts w:ascii="Times New Roman" w:hAnsi="Times New Roman" w:cs="Times New Roman"/>
                      <w:color w:val="000000"/>
                      <w:szCs w:val="21"/>
                      <w:u w:val="single"/>
                    </w:rPr>
                    <w:t>0</w:t>
                  </w:r>
                </w:p>
              </w:tc>
              <w:tc>
                <w:tcPr>
                  <w:tcW w:w="1580" w:type="dxa"/>
                  <w:tcBorders>
                    <w:tl2br w:val="nil"/>
                    <w:tr2bl w:val="nil"/>
                  </w:tcBorders>
                  <w:shd w:val="clear" w:color="auto" w:fill="FFFFFF"/>
                  <w:vAlign w:val="center"/>
                </w:tcPr>
                <w:p>
                  <w:pPr>
                    <w:pStyle w:val="83"/>
                    <w:spacing w:line="240" w:lineRule="auto"/>
                    <w:ind w:firstLine="0"/>
                    <w:jc w:val="center"/>
                    <w:rPr>
                      <w:rFonts w:ascii="Times New Roman" w:hAnsi="Times New Roman" w:cs="Times New Roman"/>
                      <w:szCs w:val="21"/>
                      <w:u w:val="single"/>
                    </w:rPr>
                  </w:pPr>
                  <w:r>
                    <w:rPr>
                      <w:rFonts w:ascii="Times New Roman" w:hAnsi="Times New Roman" w:cs="Times New Roman"/>
                      <w:color w:val="000000"/>
                      <w:szCs w:val="21"/>
                      <w:u w:val="single"/>
                      <w:lang w:val="en-US" w:eastAsia="en-US" w:bidi="en-US"/>
                    </w:rPr>
                    <w:t>0.08</w:t>
                  </w:r>
                </w:p>
              </w:tc>
              <w:tc>
                <w:tcPr>
                  <w:tcW w:w="1580" w:type="dxa"/>
                  <w:tcBorders>
                    <w:tl2br w:val="nil"/>
                    <w:tr2bl w:val="nil"/>
                  </w:tcBorders>
                  <w:shd w:val="clear" w:color="auto" w:fill="FFFFFF"/>
                  <w:vAlign w:val="center"/>
                </w:tcPr>
                <w:p>
                  <w:pPr>
                    <w:pStyle w:val="83"/>
                    <w:spacing w:line="240" w:lineRule="auto"/>
                    <w:ind w:firstLine="0"/>
                    <w:jc w:val="center"/>
                    <w:rPr>
                      <w:rFonts w:ascii="Times New Roman" w:hAnsi="Times New Roman" w:cs="Times New Roman"/>
                      <w:szCs w:val="21"/>
                      <w:u w:val="single"/>
                    </w:rPr>
                  </w:pPr>
                  <w:r>
                    <w:rPr>
                      <w:rFonts w:ascii="Times New Roman" w:hAnsi="Times New Roman" w:cs="Times New Roman"/>
                      <w:color w:val="000000"/>
                      <w:szCs w:val="21"/>
                      <w:u w:val="single"/>
                    </w:rPr>
                    <w:t>/</w:t>
                  </w:r>
                </w:p>
              </w:tc>
              <w:tc>
                <w:tcPr>
                  <w:tcW w:w="1565" w:type="dxa"/>
                  <w:tcBorders>
                    <w:tl2br w:val="nil"/>
                    <w:tr2bl w:val="nil"/>
                  </w:tcBorders>
                  <w:shd w:val="clear" w:color="auto" w:fill="FFFFFF"/>
                  <w:vAlign w:val="center"/>
                </w:tcPr>
                <w:p>
                  <w:pPr>
                    <w:pStyle w:val="83"/>
                    <w:spacing w:line="240" w:lineRule="auto"/>
                    <w:ind w:firstLine="0"/>
                    <w:jc w:val="center"/>
                    <w:rPr>
                      <w:rFonts w:ascii="Times New Roman" w:hAnsi="Times New Roman" w:cs="Times New Roman"/>
                      <w:szCs w:val="21"/>
                      <w:u w:val="single"/>
                    </w:rPr>
                  </w:pPr>
                  <w:r>
                    <w:rPr>
                      <w:rFonts w:ascii="Times New Roman" w:hAnsi="Times New Roman" w:cs="Times New Roman"/>
                      <w:color w:val="000000"/>
                      <w:szCs w:val="21"/>
                      <w:u w:val="single"/>
                    </w:rPr>
                    <w:t>10</w:t>
                  </w:r>
                </w:p>
              </w:tc>
              <w:tc>
                <w:tcPr>
                  <w:tcW w:w="1595" w:type="dxa"/>
                  <w:tcBorders>
                    <w:tl2br w:val="nil"/>
                    <w:tr2bl w:val="nil"/>
                  </w:tcBorders>
                  <w:shd w:val="clear" w:color="auto" w:fill="FFFFFF"/>
                  <w:vAlign w:val="center"/>
                </w:tcPr>
                <w:p>
                  <w:pPr>
                    <w:pStyle w:val="83"/>
                    <w:spacing w:line="240" w:lineRule="auto"/>
                    <w:ind w:firstLine="0"/>
                    <w:jc w:val="center"/>
                    <w:rPr>
                      <w:rFonts w:ascii="Times New Roman" w:hAnsi="Times New Roman" w:cs="Times New Roman"/>
                      <w:szCs w:val="21"/>
                      <w:u w:val="single"/>
                    </w:rPr>
                  </w:pPr>
                  <w:r>
                    <w:rPr>
                      <w:rFonts w:ascii="Times New Roman" w:hAnsi="Times New Roman" w:cs="Times New Roman"/>
                      <w:color w:val="000000"/>
                      <w:szCs w:val="21"/>
                      <w:u w:val="single"/>
                    </w:rPr>
                    <w:t>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9" w:hRule="exact"/>
                <w:jc w:val="center"/>
              </w:trPr>
              <w:tc>
                <w:tcPr>
                  <w:tcW w:w="1580" w:type="dxa"/>
                  <w:tcBorders>
                    <w:tl2br w:val="nil"/>
                    <w:tr2bl w:val="nil"/>
                  </w:tcBorders>
                  <w:shd w:val="clear" w:color="auto" w:fill="FFFFFF"/>
                </w:tcPr>
                <w:p>
                  <w:pPr>
                    <w:pStyle w:val="83"/>
                    <w:spacing w:line="240" w:lineRule="auto"/>
                    <w:ind w:firstLine="0"/>
                    <w:jc w:val="center"/>
                    <w:rPr>
                      <w:rFonts w:ascii="Times New Roman" w:hAnsi="Times New Roman" w:cs="Times New Roman"/>
                      <w:szCs w:val="21"/>
                      <w:u w:val="single"/>
                    </w:rPr>
                  </w:pPr>
                  <w:r>
                    <w:rPr>
                      <w:rFonts w:ascii="Times New Roman" w:hAnsi="Times New Roman" w:cs="Times New Roman"/>
                      <w:color w:val="000000"/>
                      <w:szCs w:val="21"/>
                      <w:u w:val="single"/>
                    </w:rPr>
                    <w:t>5</w:t>
                  </w:r>
                </w:p>
              </w:tc>
              <w:tc>
                <w:tcPr>
                  <w:tcW w:w="1580" w:type="dxa"/>
                  <w:tcBorders>
                    <w:tl2br w:val="nil"/>
                    <w:tr2bl w:val="nil"/>
                  </w:tcBorders>
                  <w:shd w:val="clear" w:color="auto" w:fill="FFFFFF"/>
                </w:tcPr>
                <w:p>
                  <w:pPr>
                    <w:pStyle w:val="83"/>
                    <w:spacing w:line="240" w:lineRule="auto"/>
                    <w:ind w:firstLine="0"/>
                    <w:jc w:val="center"/>
                    <w:rPr>
                      <w:rFonts w:ascii="Times New Roman" w:hAnsi="Times New Roman" w:cs="Times New Roman"/>
                      <w:szCs w:val="21"/>
                      <w:u w:val="single"/>
                    </w:rPr>
                  </w:pPr>
                  <w:r>
                    <w:rPr>
                      <w:rFonts w:ascii="Times New Roman" w:hAnsi="Times New Roman" w:cs="Times New Roman"/>
                      <w:color w:val="000000"/>
                      <w:szCs w:val="21"/>
                      <w:u w:val="single"/>
                      <w:lang w:val="en-US" w:eastAsia="en-US" w:bidi="en-US"/>
                    </w:rPr>
                    <w:t>0.154</w:t>
                  </w:r>
                </w:p>
              </w:tc>
              <w:tc>
                <w:tcPr>
                  <w:tcW w:w="1580" w:type="dxa"/>
                  <w:tcBorders>
                    <w:tl2br w:val="nil"/>
                    <w:tr2bl w:val="nil"/>
                  </w:tcBorders>
                  <w:shd w:val="clear" w:color="auto" w:fill="FFFFFF"/>
                </w:tcPr>
                <w:p>
                  <w:pPr>
                    <w:pStyle w:val="83"/>
                    <w:spacing w:line="240" w:lineRule="auto"/>
                    <w:ind w:firstLine="0"/>
                    <w:jc w:val="center"/>
                    <w:rPr>
                      <w:rFonts w:ascii="Times New Roman" w:hAnsi="Times New Roman" w:cs="Times New Roman"/>
                      <w:szCs w:val="21"/>
                      <w:u w:val="single"/>
                    </w:rPr>
                  </w:pPr>
                  <w:r>
                    <w:rPr>
                      <w:rFonts w:ascii="Times New Roman" w:hAnsi="Times New Roman" w:cs="Times New Roman"/>
                      <w:color w:val="000000"/>
                      <w:szCs w:val="21"/>
                      <w:u w:val="single"/>
                      <w:lang w:val="en-US" w:eastAsia="en-US" w:bidi="en-US"/>
                    </w:rPr>
                    <w:t>0.086</w:t>
                  </w:r>
                </w:p>
              </w:tc>
              <w:tc>
                <w:tcPr>
                  <w:tcW w:w="1565" w:type="dxa"/>
                  <w:tcBorders>
                    <w:tl2br w:val="nil"/>
                    <w:tr2bl w:val="nil"/>
                  </w:tcBorders>
                  <w:shd w:val="clear" w:color="auto" w:fill="FFFFFF"/>
                </w:tcPr>
                <w:p>
                  <w:pPr>
                    <w:pStyle w:val="83"/>
                    <w:spacing w:line="240" w:lineRule="auto"/>
                    <w:ind w:firstLine="0"/>
                    <w:jc w:val="center"/>
                    <w:rPr>
                      <w:rFonts w:ascii="Times New Roman" w:hAnsi="Times New Roman" w:cs="Times New Roman"/>
                      <w:szCs w:val="21"/>
                      <w:u w:val="single"/>
                    </w:rPr>
                  </w:pPr>
                  <w:r>
                    <w:rPr>
                      <w:rFonts w:ascii="Times New Roman" w:hAnsi="Times New Roman" w:cs="Times New Roman"/>
                      <w:color w:val="000000"/>
                      <w:szCs w:val="21"/>
                      <w:u w:val="single"/>
                      <w:lang w:val="en-US" w:eastAsia="en-US" w:bidi="en-US"/>
                    </w:rPr>
                    <w:t>44.3</w:t>
                  </w:r>
                </w:p>
              </w:tc>
              <w:tc>
                <w:tcPr>
                  <w:tcW w:w="1595" w:type="dxa"/>
                  <w:tcBorders>
                    <w:tl2br w:val="nil"/>
                    <w:tr2bl w:val="nil"/>
                  </w:tcBorders>
                  <w:shd w:val="clear" w:color="auto" w:fill="FFFFFF"/>
                </w:tcPr>
                <w:p>
                  <w:pPr>
                    <w:pStyle w:val="83"/>
                    <w:spacing w:line="240" w:lineRule="auto"/>
                    <w:ind w:firstLine="600"/>
                    <w:jc w:val="left"/>
                    <w:rPr>
                      <w:rFonts w:ascii="Times New Roman" w:hAnsi="Times New Roman" w:cs="Times New Roman"/>
                      <w:szCs w:val="21"/>
                      <w:u w:val="single"/>
                    </w:rPr>
                  </w:pPr>
                  <w:r>
                    <w:rPr>
                      <w:rFonts w:ascii="Times New Roman" w:hAnsi="Times New Roman" w:cs="Times New Roman"/>
                      <w:color w:val="000000"/>
                      <w:szCs w:val="21"/>
                      <w:u w:val="single"/>
                      <w:lang w:val="en-US" w:eastAsia="en-US" w:bidi="en-US"/>
                    </w:rPr>
                    <w:t>0.81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335" w:hRule="exact"/>
                <w:jc w:val="center"/>
              </w:trPr>
              <w:tc>
                <w:tcPr>
                  <w:tcW w:w="1580" w:type="dxa"/>
                  <w:tcBorders>
                    <w:tl2br w:val="nil"/>
                    <w:tr2bl w:val="nil"/>
                  </w:tcBorders>
                  <w:shd w:val="clear" w:color="auto" w:fill="FFFFFF"/>
                </w:tcPr>
                <w:p>
                  <w:pPr>
                    <w:pStyle w:val="83"/>
                    <w:spacing w:line="240" w:lineRule="auto"/>
                    <w:ind w:firstLine="680"/>
                    <w:jc w:val="left"/>
                    <w:rPr>
                      <w:rFonts w:ascii="Times New Roman" w:hAnsi="Times New Roman" w:cs="Times New Roman"/>
                      <w:szCs w:val="21"/>
                      <w:u w:val="single"/>
                    </w:rPr>
                  </w:pPr>
                  <w:r>
                    <w:rPr>
                      <w:rFonts w:ascii="Times New Roman" w:hAnsi="Times New Roman" w:cs="Times New Roman"/>
                      <w:color w:val="000000"/>
                      <w:szCs w:val="21"/>
                      <w:u w:val="single"/>
                    </w:rPr>
                    <w:t>10</w:t>
                  </w:r>
                </w:p>
              </w:tc>
              <w:tc>
                <w:tcPr>
                  <w:tcW w:w="1580" w:type="dxa"/>
                  <w:tcBorders>
                    <w:tl2br w:val="nil"/>
                    <w:tr2bl w:val="nil"/>
                  </w:tcBorders>
                  <w:shd w:val="clear" w:color="auto" w:fill="FFFFFF"/>
                </w:tcPr>
                <w:p>
                  <w:pPr>
                    <w:pStyle w:val="83"/>
                    <w:spacing w:line="240" w:lineRule="auto"/>
                    <w:ind w:firstLine="0"/>
                    <w:jc w:val="center"/>
                    <w:rPr>
                      <w:rFonts w:ascii="Times New Roman" w:hAnsi="Times New Roman" w:cs="Times New Roman"/>
                      <w:szCs w:val="21"/>
                      <w:u w:val="single"/>
                    </w:rPr>
                  </w:pPr>
                  <w:r>
                    <w:rPr>
                      <w:rFonts w:ascii="Times New Roman" w:hAnsi="Times New Roman" w:cs="Times New Roman"/>
                      <w:color w:val="000000"/>
                      <w:szCs w:val="21"/>
                      <w:u w:val="single"/>
                      <w:lang w:val="en-US" w:eastAsia="en-US" w:bidi="en-US"/>
                    </w:rPr>
                    <w:t>0.244</w:t>
                  </w:r>
                </w:p>
              </w:tc>
              <w:tc>
                <w:tcPr>
                  <w:tcW w:w="1580" w:type="dxa"/>
                  <w:tcBorders>
                    <w:tl2br w:val="nil"/>
                    <w:tr2bl w:val="nil"/>
                  </w:tcBorders>
                  <w:shd w:val="clear" w:color="auto" w:fill="FFFFFF"/>
                </w:tcPr>
                <w:p>
                  <w:pPr>
                    <w:pStyle w:val="83"/>
                    <w:spacing w:line="240" w:lineRule="auto"/>
                    <w:ind w:firstLine="0"/>
                    <w:jc w:val="center"/>
                    <w:rPr>
                      <w:rFonts w:ascii="Times New Roman" w:hAnsi="Times New Roman" w:cs="Times New Roman"/>
                      <w:szCs w:val="21"/>
                      <w:u w:val="single"/>
                    </w:rPr>
                  </w:pPr>
                  <w:r>
                    <w:rPr>
                      <w:rFonts w:ascii="Times New Roman" w:hAnsi="Times New Roman" w:cs="Times New Roman"/>
                      <w:color w:val="000000"/>
                      <w:szCs w:val="21"/>
                      <w:u w:val="single"/>
                      <w:lang w:val="en-US" w:eastAsia="en-US" w:bidi="en-US"/>
                    </w:rPr>
                    <w:t>0.054</w:t>
                  </w:r>
                </w:p>
              </w:tc>
              <w:tc>
                <w:tcPr>
                  <w:tcW w:w="1565" w:type="dxa"/>
                  <w:tcBorders>
                    <w:tl2br w:val="nil"/>
                    <w:tr2bl w:val="nil"/>
                  </w:tcBorders>
                  <w:shd w:val="clear" w:color="auto" w:fill="FFFFFF"/>
                </w:tcPr>
                <w:p>
                  <w:pPr>
                    <w:pStyle w:val="83"/>
                    <w:spacing w:line="240" w:lineRule="auto"/>
                    <w:ind w:firstLine="540"/>
                    <w:jc w:val="left"/>
                    <w:rPr>
                      <w:rFonts w:ascii="Times New Roman" w:hAnsi="Times New Roman" w:cs="Times New Roman"/>
                      <w:szCs w:val="21"/>
                      <w:u w:val="single"/>
                    </w:rPr>
                  </w:pPr>
                  <w:r>
                    <w:rPr>
                      <w:rFonts w:ascii="Times New Roman" w:hAnsi="Times New Roman" w:cs="Times New Roman"/>
                      <w:color w:val="000000"/>
                      <w:szCs w:val="21"/>
                      <w:u w:val="single"/>
                      <w:lang w:val="en-US" w:eastAsia="en-US" w:bidi="en-US"/>
                    </w:rPr>
                    <w:t>55.7</w:t>
                  </w:r>
                </w:p>
              </w:tc>
              <w:tc>
                <w:tcPr>
                  <w:tcW w:w="1595" w:type="dxa"/>
                  <w:tcBorders>
                    <w:tl2br w:val="nil"/>
                    <w:tr2bl w:val="nil"/>
                  </w:tcBorders>
                  <w:shd w:val="clear" w:color="auto" w:fill="FFFFFF"/>
                </w:tcPr>
                <w:p>
                  <w:pPr>
                    <w:pStyle w:val="83"/>
                    <w:spacing w:line="240" w:lineRule="auto"/>
                    <w:ind w:firstLine="0"/>
                    <w:jc w:val="center"/>
                    <w:rPr>
                      <w:rFonts w:ascii="Times New Roman" w:hAnsi="Times New Roman" w:cs="Times New Roman"/>
                      <w:szCs w:val="21"/>
                      <w:u w:val="single"/>
                    </w:rPr>
                  </w:pPr>
                  <w:r>
                    <w:rPr>
                      <w:rFonts w:ascii="Times New Roman" w:hAnsi="Times New Roman" w:cs="Times New Roman"/>
                      <w:color w:val="000000"/>
                      <w:szCs w:val="21"/>
                      <w:u w:val="single"/>
                      <w:lang w:val="en-US" w:eastAsia="en-US" w:bidi="en-US"/>
                    </w:rPr>
                    <w:t>1.62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335" w:hRule="exact"/>
                <w:jc w:val="center"/>
              </w:trPr>
              <w:tc>
                <w:tcPr>
                  <w:tcW w:w="1580" w:type="dxa"/>
                  <w:tcBorders>
                    <w:tl2br w:val="nil"/>
                    <w:tr2bl w:val="nil"/>
                  </w:tcBorders>
                  <w:shd w:val="clear" w:color="auto" w:fill="FFFFFF"/>
                </w:tcPr>
                <w:p>
                  <w:pPr>
                    <w:pStyle w:val="83"/>
                    <w:spacing w:line="240" w:lineRule="auto"/>
                    <w:ind w:firstLine="680"/>
                    <w:jc w:val="left"/>
                    <w:rPr>
                      <w:rFonts w:ascii="Times New Roman" w:hAnsi="Times New Roman" w:cs="Times New Roman"/>
                      <w:szCs w:val="21"/>
                      <w:u w:val="single"/>
                    </w:rPr>
                  </w:pPr>
                  <w:r>
                    <w:rPr>
                      <w:rFonts w:ascii="Times New Roman" w:hAnsi="Times New Roman" w:cs="Times New Roman"/>
                      <w:color w:val="000000"/>
                      <w:szCs w:val="21"/>
                      <w:u w:val="single"/>
                    </w:rPr>
                    <w:t>20</w:t>
                  </w:r>
                </w:p>
              </w:tc>
              <w:tc>
                <w:tcPr>
                  <w:tcW w:w="1580" w:type="dxa"/>
                  <w:tcBorders>
                    <w:tl2br w:val="nil"/>
                    <w:tr2bl w:val="nil"/>
                  </w:tcBorders>
                  <w:shd w:val="clear" w:color="auto" w:fill="FFFFFF"/>
                </w:tcPr>
                <w:p>
                  <w:pPr>
                    <w:pStyle w:val="83"/>
                    <w:spacing w:line="240" w:lineRule="auto"/>
                    <w:ind w:firstLine="0"/>
                    <w:jc w:val="center"/>
                    <w:rPr>
                      <w:rFonts w:ascii="Times New Roman" w:hAnsi="Times New Roman" w:cs="Times New Roman"/>
                      <w:szCs w:val="21"/>
                      <w:u w:val="single"/>
                    </w:rPr>
                  </w:pPr>
                  <w:r>
                    <w:rPr>
                      <w:rFonts w:ascii="Times New Roman" w:hAnsi="Times New Roman" w:cs="Times New Roman"/>
                      <w:color w:val="000000"/>
                      <w:szCs w:val="21"/>
                      <w:u w:val="single"/>
                      <w:lang w:val="en-US" w:eastAsia="en-US" w:bidi="en-US"/>
                    </w:rPr>
                    <w:t>0.386</w:t>
                  </w:r>
                </w:p>
              </w:tc>
              <w:tc>
                <w:tcPr>
                  <w:tcW w:w="1580" w:type="dxa"/>
                  <w:tcBorders>
                    <w:tl2br w:val="nil"/>
                    <w:tr2bl w:val="nil"/>
                  </w:tcBorders>
                  <w:shd w:val="clear" w:color="auto" w:fill="FFFFFF"/>
                </w:tcPr>
                <w:p>
                  <w:pPr>
                    <w:pStyle w:val="83"/>
                    <w:spacing w:line="240" w:lineRule="auto"/>
                    <w:ind w:firstLine="0"/>
                    <w:jc w:val="center"/>
                    <w:rPr>
                      <w:rFonts w:ascii="Times New Roman" w:hAnsi="Times New Roman" w:cs="Times New Roman"/>
                      <w:szCs w:val="21"/>
                      <w:u w:val="single"/>
                    </w:rPr>
                  </w:pPr>
                  <w:r>
                    <w:rPr>
                      <w:rFonts w:ascii="Times New Roman" w:hAnsi="Times New Roman" w:cs="Times New Roman"/>
                      <w:color w:val="000000"/>
                      <w:szCs w:val="21"/>
                      <w:u w:val="single"/>
                      <w:lang w:val="en-US" w:eastAsia="en-US" w:bidi="en-US"/>
                    </w:rPr>
                    <w:t>0.034</w:t>
                  </w:r>
                </w:p>
              </w:tc>
              <w:tc>
                <w:tcPr>
                  <w:tcW w:w="1565" w:type="dxa"/>
                  <w:tcBorders>
                    <w:tl2br w:val="nil"/>
                    <w:tr2bl w:val="nil"/>
                  </w:tcBorders>
                  <w:shd w:val="clear" w:color="auto" w:fill="FFFFFF"/>
                </w:tcPr>
                <w:p>
                  <w:pPr>
                    <w:pStyle w:val="83"/>
                    <w:spacing w:line="240" w:lineRule="auto"/>
                    <w:ind w:firstLine="540"/>
                    <w:jc w:val="left"/>
                    <w:rPr>
                      <w:rFonts w:ascii="Times New Roman" w:hAnsi="Times New Roman" w:cs="Times New Roman"/>
                      <w:szCs w:val="21"/>
                      <w:u w:val="single"/>
                    </w:rPr>
                  </w:pPr>
                  <w:r>
                    <w:rPr>
                      <w:rFonts w:ascii="Times New Roman" w:hAnsi="Times New Roman" w:cs="Times New Roman"/>
                      <w:color w:val="000000"/>
                      <w:szCs w:val="21"/>
                      <w:u w:val="single"/>
                      <w:lang w:val="en-US" w:eastAsia="en-US" w:bidi="en-US"/>
                    </w:rPr>
                    <w:t>70.1</w:t>
                  </w:r>
                </w:p>
              </w:tc>
              <w:tc>
                <w:tcPr>
                  <w:tcW w:w="1595" w:type="dxa"/>
                  <w:tcBorders>
                    <w:tl2br w:val="nil"/>
                    <w:tr2bl w:val="nil"/>
                  </w:tcBorders>
                  <w:shd w:val="clear" w:color="auto" w:fill="FFFFFF"/>
                </w:tcPr>
                <w:p>
                  <w:pPr>
                    <w:pStyle w:val="83"/>
                    <w:spacing w:line="240" w:lineRule="auto"/>
                    <w:ind w:firstLine="0"/>
                    <w:jc w:val="center"/>
                    <w:rPr>
                      <w:rFonts w:ascii="Times New Roman" w:hAnsi="Times New Roman" w:cs="Times New Roman"/>
                      <w:szCs w:val="21"/>
                      <w:u w:val="single"/>
                    </w:rPr>
                  </w:pPr>
                  <w:r>
                    <w:rPr>
                      <w:rFonts w:ascii="Times New Roman" w:hAnsi="Times New Roman" w:cs="Times New Roman"/>
                      <w:color w:val="000000"/>
                      <w:szCs w:val="21"/>
                      <w:u w:val="single"/>
                      <w:lang w:val="en-US" w:eastAsia="en-US" w:bidi="en-US"/>
                    </w:rPr>
                    <w:t>3.24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349" w:hRule="exact"/>
                <w:jc w:val="center"/>
              </w:trPr>
              <w:tc>
                <w:tcPr>
                  <w:tcW w:w="1580" w:type="dxa"/>
                  <w:tcBorders>
                    <w:tl2br w:val="nil"/>
                    <w:tr2bl w:val="nil"/>
                  </w:tcBorders>
                  <w:shd w:val="clear" w:color="auto" w:fill="FFFFFF"/>
                </w:tcPr>
                <w:p>
                  <w:pPr>
                    <w:pStyle w:val="83"/>
                    <w:spacing w:line="240" w:lineRule="auto"/>
                    <w:ind w:firstLine="680"/>
                    <w:jc w:val="left"/>
                    <w:rPr>
                      <w:rFonts w:ascii="Times New Roman" w:hAnsi="Times New Roman" w:cs="Times New Roman"/>
                      <w:szCs w:val="21"/>
                      <w:u w:val="single"/>
                    </w:rPr>
                  </w:pPr>
                  <w:r>
                    <w:rPr>
                      <w:rFonts w:ascii="Times New Roman" w:hAnsi="Times New Roman" w:cs="Times New Roman"/>
                      <w:color w:val="000000"/>
                      <w:szCs w:val="21"/>
                      <w:u w:val="single"/>
                    </w:rPr>
                    <w:t>30</w:t>
                  </w:r>
                </w:p>
              </w:tc>
              <w:tc>
                <w:tcPr>
                  <w:tcW w:w="1580" w:type="dxa"/>
                  <w:tcBorders>
                    <w:tl2br w:val="nil"/>
                    <w:tr2bl w:val="nil"/>
                  </w:tcBorders>
                  <w:shd w:val="clear" w:color="auto" w:fill="FFFFFF"/>
                </w:tcPr>
                <w:p>
                  <w:pPr>
                    <w:pStyle w:val="83"/>
                    <w:spacing w:line="240" w:lineRule="auto"/>
                    <w:ind w:firstLine="0"/>
                    <w:jc w:val="center"/>
                    <w:rPr>
                      <w:rFonts w:ascii="Times New Roman" w:hAnsi="Times New Roman" w:cs="Times New Roman"/>
                      <w:szCs w:val="21"/>
                      <w:u w:val="single"/>
                    </w:rPr>
                  </w:pPr>
                  <w:r>
                    <w:rPr>
                      <w:rFonts w:ascii="Times New Roman" w:hAnsi="Times New Roman" w:cs="Times New Roman"/>
                      <w:color w:val="000000"/>
                      <w:szCs w:val="21"/>
                      <w:u w:val="single"/>
                      <w:lang w:val="en-US" w:eastAsia="en-US" w:bidi="en-US"/>
                    </w:rPr>
                    <w:t>0.505</w:t>
                  </w:r>
                </w:p>
              </w:tc>
              <w:tc>
                <w:tcPr>
                  <w:tcW w:w="1580" w:type="dxa"/>
                  <w:tcBorders>
                    <w:tl2br w:val="nil"/>
                    <w:tr2bl w:val="nil"/>
                  </w:tcBorders>
                  <w:shd w:val="clear" w:color="auto" w:fill="FFFFFF"/>
                </w:tcPr>
                <w:p>
                  <w:pPr>
                    <w:pStyle w:val="83"/>
                    <w:spacing w:line="240" w:lineRule="auto"/>
                    <w:ind w:firstLine="0"/>
                    <w:jc w:val="center"/>
                    <w:rPr>
                      <w:rFonts w:ascii="Times New Roman" w:hAnsi="Times New Roman" w:cs="Times New Roman"/>
                      <w:szCs w:val="21"/>
                      <w:u w:val="single"/>
                    </w:rPr>
                  </w:pPr>
                  <w:r>
                    <w:rPr>
                      <w:rFonts w:ascii="Times New Roman" w:hAnsi="Times New Roman" w:cs="Times New Roman"/>
                      <w:color w:val="000000"/>
                      <w:szCs w:val="21"/>
                      <w:u w:val="single"/>
                      <w:lang w:val="en-US" w:eastAsia="en-US" w:bidi="en-US"/>
                    </w:rPr>
                    <w:t>0.026</w:t>
                  </w:r>
                </w:p>
              </w:tc>
              <w:tc>
                <w:tcPr>
                  <w:tcW w:w="1565" w:type="dxa"/>
                  <w:tcBorders>
                    <w:tl2br w:val="nil"/>
                    <w:tr2bl w:val="nil"/>
                  </w:tcBorders>
                  <w:shd w:val="clear" w:color="auto" w:fill="FFFFFF"/>
                </w:tcPr>
                <w:p>
                  <w:pPr>
                    <w:pStyle w:val="83"/>
                    <w:spacing w:line="240" w:lineRule="auto"/>
                    <w:ind w:firstLine="540"/>
                    <w:jc w:val="left"/>
                    <w:rPr>
                      <w:rFonts w:ascii="Times New Roman" w:hAnsi="Times New Roman" w:cs="Times New Roman"/>
                      <w:szCs w:val="21"/>
                      <w:u w:val="single"/>
                    </w:rPr>
                  </w:pPr>
                  <w:r>
                    <w:rPr>
                      <w:rFonts w:ascii="Times New Roman" w:hAnsi="Times New Roman" w:cs="Times New Roman"/>
                      <w:color w:val="000000"/>
                      <w:szCs w:val="21"/>
                      <w:u w:val="single"/>
                      <w:lang w:val="en-US" w:eastAsia="en-US" w:bidi="en-US"/>
                    </w:rPr>
                    <w:t>80.2</w:t>
                  </w:r>
                </w:p>
              </w:tc>
              <w:tc>
                <w:tcPr>
                  <w:tcW w:w="1595" w:type="dxa"/>
                  <w:tcBorders>
                    <w:tl2br w:val="nil"/>
                    <w:tr2bl w:val="nil"/>
                  </w:tcBorders>
                  <w:shd w:val="clear" w:color="auto" w:fill="FFFFFF"/>
                </w:tcPr>
                <w:p>
                  <w:pPr>
                    <w:pStyle w:val="83"/>
                    <w:spacing w:line="240" w:lineRule="auto"/>
                    <w:ind w:firstLine="0"/>
                    <w:jc w:val="center"/>
                    <w:rPr>
                      <w:rFonts w:ascii="Times New Roman" w:hAnsi="Times New Roman" w:cs="Times New Roman"/>
                      <w:szCs w:val="21"/>
                      <w:u w:val="single"/>
                    </w:rPr>
                  </w:pPr>
                  <w:r>
                    <w:rPr>
                      <w:rFonts w:ascii="Times New Roman" w:hAnsi="Times New Roman" w:cs="Times New Roman"/>
                      <w:color w:val="000000"/>
                      <w:szCs w:val="21"/>
                      <w:u w:val="single"/>
                      <w:lang w:val="en-US" w:eastAsia="en-US" w:bidi="en-US"/>
                    </w:rPr>
                    <w:t>4.86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35" w:hRule="exact"/>
                <w:jc w:val="center"/>
              </w:trPr>
              <w:tc>
                <w:tcPr>
                  <w:tcW w:w="1580" w:type="dxa"/>
                  <w:tcBorders>
                    <w:tl2br w:val="nil"/>
                    <w:tr2bl w:val="nil"/>
                  </w:tcBorders>
                  <w:shd w:val="clear" w:color="auto" w:fill="FFFFFF"/>
                </w:tcPr>
                <w:p>
                  <w:pPr>
                    <w:pStyle w:val="83"/>
                    <w:spacing w:line="240" w:lineRule="auto"/>
                    <w:ind w:firstLine="680"/>
                    <w:jc w:val="left"/>
                    <w:rPr>
                      <w:rFonts w:ascii="Times New Roman" w:hAnsi="Times New Roman" w:cs="Times New Roman"/>
                      <w:szCs w:val="21"/>
                      <w:u w:val="single"/>
                    </w:rPr>
                  </w:pPr>
                  <w:r>
                    <w:rPr>
                      <w:rFonts w:ascii="Times New Roman" w:hAnsi="Times New Roman" w:cs="Times New Roman"/>
                      <w:color w:val="000000"/>
                      <w:szCs w:val="21"/>
                      <w:u w:val="single"/>
                    </w:rPr>
                    <w:t>40</w:t>
                  </w:r>
                </w:p>
              </w:tc>
              <w:tc>
                <w:tcPr>
                  <w:tcW w:w="1580" w:type="dxa"/>
                  <w:tcBorders>
                    <w:tl2br w:val="nil"/>
                    <w:tr2bl w:val="nil"/>
                  </w:tcBorders>
                  <w:shd w:val="clear" w:color="auto" w:fill="FFFFFF"/>
                </w:tcPr>
                <w:p>
                  <w:pPr>
                    <w:pStyle w:val="83"/>
                    <w:spacing w:line="240" w:lineRule="auto"/>
                    <w:ind w:firstLine="0"/>
                    <w:jc w:val="center"/>
                    <w:rPr>
                      <w:rFonts w:ascii="Times New Roman" w:hAnsi="Times New Roman" w:cs="Times New Roman"/>
                      <w:szCs w:val="21"/>
                      <w:u w:val="single"/>
                    </w:rPr>
                  </w:pPr>
                  <w:r>
                    <w:rPr>
                      <w:rFonts w:ascii="Times New Roman" w:hAnsi="Times New Roman" w:cs="Times New Roman"/>
                      <w:color w:val="000000"/>
                      <w:szCs w:val="21"/>
                      <w:u w:val="single"/>
                      <w:lang w:val="en-US" w:eastAsia="en-US" w:bidi="en-US"/>
                    </w:rPr>
                    <w:t>0.612</w:t>
                  </w:r>
                </w:p>
              </w:tc>
              <w:tc>
                <w:tcPr>
                  <w:tcW w:w="1580" w:type="dxa"/>
                  <w:tcBorders>
                    <w:tl2br w:val="nil"/>
                    <w:tr2bl w:val="nil"/>
                  </w:tcBorders>
                  <w:shd w:val="clear" w:color="auto" w:fill="FFFFFF"/>
                </w:tcPr>
                <w:p>
                  <w:pPr>
                    <w:pStyle w:val="83"/>
                    <w:spacing w:line="240" w:lineRule="auto"/>
                    <w:ind w:firstLine="0"/>
                    <w:jc w:val="center"/>
                    <w:rPr>
                      <w:rFonts w:ascii="Times New Roman" w:hAnsi="Times New Roman" w:cs="Times New Roman"/>
                      <w:szCs w:val="21"/>
                      <w:u w:val="single"/>
                    </w:rPr>
                  </w:pPr>
                  <w:r>
                    <w:rPr>
                      <w:rFonts w:ascii="Times New Roman" w:hAnsi="Times New Roman" w:cs="Times New Roman"/>
                      <w:color w:val="000000"/>
                      <w:szCs w:val="21"/>
                      <w:u w:val="single"/>
                      <w:lang w:val="en-US" w:eastAsia="en-US" w:bidi="en-US"/>
                    </w:rPr>
                    <w:t>0.021</w:t>
                  </w:r>
                </w:p>
              </w:tc>
              <w:tc>
                <w:tcPr>
                  <w:tcW w:w="1565" w:type="dxa"/>
                  <w:tcBorders>
                    <w:tl2br w:val="nil"/>
                    <w:tr2bl w:val="nil"/>
                  </w:tcBorders>
                  <w:shd w:val="clear" w:color="auto" w:fill="FFFFFF"/>
                </w:tcPr>
                <w:p>
                  <w:pPr>
                    <w:pStyle w:val="83"/>
                    <w:spacing w:line="240" w:lineRule="auto"/>
                    <w:ind w:firstLine="0"/>
                    <w:jc w:val="center"/>
                    <w:rPr>
                      <w:rFonts w:ascii="Times New Roman" w:hAnsi="Times New Roman" w:cs="Times New Roman"/>
                      <w:szCs w:val="21"/>
                      <w:u w:val="single"/>
                    </w:rPr>
                  </w:pPr>
                  <w:r>
                    <w:rPr>
                      <w:rFonts w:ascii="Times New Roman" w:hAnsi="Times New Roman" w:cs="Times New Roman"/>
                      <w:color w:val="000000"/>
                      <w:szCs w:val="21"/>
                      <w:u w:val="single"/>
                      <w:lang w:val="en-US" w:eastAsia="en-US" w:bidi="en-US"/>
                    </w:rPr>
                    <w:t>88.3</w:t>
                  </w:r>
                </w:p>
              </w:tc>
              <w:tc>
                <w:tcPr>
                  <w:tcW w:w="1595" w:type="dxa"/>
                  <w:tcBorders>
                    <w:tl2br w:val="nil"/>
                    <w:tr2bl w:val="nil"/>
                  </w:tcBorders>
                  <w:shd w:val="clear" w:color="auto" w:fill="FFFFFF"/>
                </w:tcPr>
                <w:p>
                  <w:pPr>
                    <w:pStyle w:val="83"/>
                    <w:spacing w:line="240" w:lineRule="auto"/>
                    <w:ind w:firstLine="600"/>
                    <w:jc w:val="left"/>
                    <w:rPr>
                      <w:rFonts w:ascii="Times New Roman" w:hAnsi="Times New Roman" w:cs="Times New Roman"/>
                      <w:szCs w:val="21"/>
                      <w:u w:val="single"/>
                    </w:rPr>
                  </w:pPr>
                  <w:r>
                    <w:rPr>
                      <w:rFonts w:ascii="Times New Roman" w:hAnsi="Times New Roman" w:cs="Times New Roman"/>
                      <w:color w:val="000000"/>
                      <w:szCs w:val="21"/>
                      <w:u w:val="single"/>
                      <w:lang w:val="en-US" w:eastAsia="en-US" w:bidi="en-US"/>
                    </w:rPr>
                    <w:t>6.48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335" w:hRule="exact"/>
                <w:jc w:val="center"/>
              </w:trPr>
              <w:tc>
                <w:tcPr>
                  <w:tcW w:w="1580" w:type="dxa"/>
                  <w:tcBorders>
                    <w:tl2br w:val="nil"/>
                    <w:tr2bl w:val="nil"/>
                  </w:tcBorders>
                  <w:shd w:val="clear" w:color="auto" w:fill="FFFFFF"/>
                </w:tcPr>
                <w:p>
                  <w:pPr>
                    <w:pStyle w:val="83"/>
                    <w:spacing w:line="240" w:lineRule="auto"/>
                    <w:ind w:firstLine="680"/>
                    <w:jc w:val="left"/>
                    <w:rPr>
                      <w:rFonts w:ascii="Times New Roman" w:hAnsi="Times New Roman" w:cs="Times New Roman"/>
                      <w:szCs w:val="21"/>
                      <w:u w:val="single"/>
                    </w:rPr>
                  </w:pPr>
                  <w:r>
                    <w:rPr>
                      <w:rFonts w:ascii="Times New Roman" w:hAnsi="Times New Roman" w:cs="Times New Roman"/>
                      <w:color w:val="000000"/>
                      <w:szCs w:val="21"/>
                      <w:u w:val="single"/>
                    </w:rPr>
                    <w:t>50</w:t>
                  </w:r>
                </w:p>
              </w:tc>
              <w:tc>
                <w:tcPr>
                  <w:tcW w:w="1580" w:type="dxa"/>
                  <w:tcBorders>
                    <w:tl2br w:val="nil"/>
                    <w:tr2bl w:val="nil"/>
                  </w:tcBorders>
                  <w:shd w:val="clear" w:color="auto" w:fill="FFFFFF"/>
                </w:tcPr>
                <w:p>
                  <w:pPr>
                    <w:pStyle w:val="83"/>
                    <w:spacing w:line="240" w:lineRule="auto"/>
                    <w:ind w:firstLine="0"/>
                    <w:jc w:val="center"/>
                    <w:rPr>
                      <w:rFonts w:ascii="Times New Roman" w:hAnsi="Times New Roman" w:cs="Times New Roman"/>
                      <w:szCs w:val="21"/>
                      <w:u w:val="single"/>
                    </w:rPr>
                  </w:pPr>
                  <w:r>
                    <w:rPr>
                      <w:rFonts w:ascii="Times New Roman" w:hAnsi="Times New Roman" w:cs="Times New Roman"/>
                      <w:color w:val="000000"/>
                      <w:szCs w:val="21"/>
                      <w:u w:val="single"/>
                      <w:lang w:val="en-US" w:eastAsia="en-US" w:bidi="en-US"/>
                    </w:rPr>
                    <w:t>0.710</w:t>
                  </w:r>
                </w:p>
              </w:tc>
              <w:tc>
                <w:tcPr>
                  <w:tcW w:w="1580" w:type="dxa"/>
                  <w:tcBorders>
                    <w:tl2br w:val="nil"/>
                    <w:tr2bl w:val="nil"/>
                  </w:tcBorders>
                  <w:shd w:val="clear" w:color="auto" w:fill="FFFFFF"/>
                </w:tcPr>
                <w:p>
                  <w:pPr>
                    <w:pStyle w:val="83"/>
                    <w:spacing w:line="240" w:lineRule="auto"/>
                    <w:ind w:firstLine="0"/>
                    <w:jc w:val="center"/>
                    <w:rPr>
                      <w:rFonts w:ascii="Times New Roman" w:hAnsi="Times New Roman" w:cs="Times New Roman"/>
                      <w:szCs w:val="21"/>
                      <w:u w:val="single"/>
                    </w:rPr>
                  </w:pPr>
                  <w:r>
                    <w:rPr>
                      <w:rFonts w:ascii="Times New Roman" w:hAnsi="Times New Roman" w:cs="Times New Roman"/>
                      <w:color w:val="000000"/>
                      <w:szCs w:val="21"/>
                      <w:u w:val="single"/>
                      <w:lang w:val="en-US" w:eastAsia="en-US" w:bidi="en-US"/>
                    </w:rPr>
                    <w:t>0.018</w:t>
                  </w:r>
                </w:p>
              </w:tc>
              <w:tc>
                <w:tcPr>
                  <w:tcW w:w="1565" w:type="dxa"/>
                  <w:tcBorders>
                    <w:tl2br w:val="nil"/>
                    <w:tr2bl w:val="nil"/>
                  </w:tcBorders>
                  <w:shd w:val="clear" w:color="auto" w:fill="FFFFFF"/>
                </w:tcPr>
                <w:p>
                  <w:pPr>
                    <w:pStyle w:val="83"/>
                    <w:spacing w:line="240" w:lineRule="auto"/>
                    <w:ind w:firstLine="540"/>
                    <w:jc w:val="left"/>
                    <w:rPr>
                      <w:rFonts w:ascii="Times New Roman" w:hAnsi="Times New Roman" w:cs="Times New Roman"/>
                      <w:szCs w:val="21"/>
                      <w:u w:val="single"/>
                    </w:rPr>
                  </w:pPr>
                  <w:r>
                    <w:rPr>
                      <w:rFonts w:ascii="Times New Roman" w:hAnsi="Times New Roman" w:cs="Times New Roman"/>
                      <w:color w:val="000000"/>
                      <w:szCs w:val="21"/>
                      <w:u w:val="single"/>
                      <w:lang w:val="en-US" w:eastAsia="en-US" w:bidi="en-US"/>
                    </w:rPr>
                    <w:t>95.1</w:t>
                  </w:r>
                </w:p>
              </w:tc>
              <w:tc>
                <w:tcPr>
                  <w:tcW w:w="1595" w:type="dxa"/>
                  <w:tcBorders>
                    <w:tl2br w:val="nil"/>
                    <w:tr2bl w:val="nil"/>
                  </w:tcBorders>
                  <w:shd w:val="clear" w:color="auto" w:fill="FFFFFF"/>
                </w:tcPr>
                <w:p>
                  <w:pPr>
                    <w:pStyle w:val="83"/>
                    <w:spacing w:line="240" w:lineRule="auto"/>
                    <w:ind w:firstLine="600"/>
                    <w:jc w:val="left"/>
                    <w:rPr>
                      <w:rFonts w:ascii="Times New Roman" w:hAnsi="Times New Roman" w:cs="Times New Roman"/>
                      <w:szCs w:val="21"/>
                      <w:u w:val="single"/>
                    </w:rPr>
                  </w:pPr>
                  <w:r>
                    <w:rPr>
                      <w:rFonts w:ascii="Times New Roman" w:hAnsi="Times New Roman" w:cs="Times New Roman"/>
                      <w:color w:val="000000"/>
                      <w:szCs w:val="21"/>
                      <w:u w:val="single"/>
                      <w:lang w:val="en-US" w:eastAsia="en-US" w:bidi="en-US"/>
                    </w:rPr>
                    <w:t>8.1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73" w:hRule="exact"/>
                <w:jc w:val="center"/>
              </w:trPr>
              <w:tc>
                <w:tcPr>
                  <w:tcW w:w="1580" w:type="dxa"/>
                  <w:tcBorders>
                    <w:tl2br w:val="nil"/>
                    <w:tr2bl w:val="nil"/>
                  </w:tcBorders>
                  <w:shd w:val="clear" w:color="auto" w:fill="FFFFFF"/>
                </w:tcPr>
                <w:p>
                  <w:pPr>
                    <w:pStyle w:val="83"/>
                    <w:spacing w:line="240" w:lineRule="auto"/>
                    <w:ind w:firstLine="680"/>
                    <w:jc w:val="left"/>
                    <w:rPr>
                      <w:rFonts w:ascii="Times New Roman" w:hAnsi="Times New Roman" w:cs="Times New Roman"/>
                      <w:szCs w:val="21"/>
                      <w:u w:val="single"/>
                    </w:rPr>
                  </w:pPr>
                  <w:r>
                    <w:rPr>
                      <w:rFonts w:ascii="Times New Roman" w:hAnsi="Times New Roman" w:cs="Times New Roman"/>
                      <w:color w:val="000000"/>
                      <w:szCs w:val="21"/>
                      <w:u w:val="single"/>
                    </w:rPr>
                    <w:t>60</w:t>
                  </w:r>
                </w:p>
              </w:tc>
              <w:tc>
                <w:tcPr>
                  <w:tcW w:w="1580" w:type="dxa"/>
                  <w:tcBorders>
                    <w:tl2br w:val="nil"/>
                    <w:tr2bl w:val="nil"/>
                  </w:tcBorders>
                  <w:shd w:val="clear" w:color="auto" w:fill="FFFFFF"/>
                </w:tcPr>
                <w:p>
                  <w:pPr>
                    <w:pStyle w:val="83"/>
                    <w:spacing w:line="240" w:lineRule="auto"/>
                    <w:ind w:firstLine="0"/>
                    <w:jc w:val="center"/>
                    <w:rPr>
                      <w:rFonts w:ascii="Times New Roman" w:hAnsi="Times New Roman" w:cs="Times New Roman"/>
                      <w:szCs w:val="21"/>
                      <w:u w:val="single"/>
                    </w:rPr>
                  </w:pPr>
                  <w:r>
                    <w:rPr>
                      <w:rFonts w:ascii="Times New Roman" w:hAnsi="Times New Roman" w:cs="Times New Roman"/>
                      <w:color w:val="000000"/>
                      <w:szCs w:val="21"/>
                      <w:u w:val="single"/>
                      <w:lang w:val="en-US" w:eastAsia="en-US" w:bidi="en-US"/>
                    </w:rPr>
                    <w:t>0.802</w:t>
                  </w:r>
                </w:p>
              </w:tc>
              <w:tc>
                <w:tcPr>
                  <w:tcW w:w="1580" w:type="dxa"/>
                  <w:tcBorders>
                    <w:tl2br w:val="nil"/>
                    <w:tr2bl w:val="nil"/>
                  </w:tcBorders>
                  <w:shd w:val="clear" w:color="auto" w:fill="FFFFFF"/>
                </w:tcPr>
                <w:p>
                  <w:pPr>
                    <w:pStyle w:val="83"/>
                    <w:spacing w:line="240" w:lineRule="auto"/>
                    <w:ind w:firstLine="0"/>
                    <w:jc w:val="center"/>
                    <w:rPr>
                      <w:rFonts w:ascii="Times New Roman" w:hAnsi="Times New Roman" w:cs="Times New Roman"/>
                      <w:szCs w:val="21"/>
                      <w:u w:val="single"/>
                    </w:rPr>
                  </w:pPr>
                  <w:r>
                    <w:rPr>
                      <w:rFonts w:ascii="Times New Roman" w:hAnsi="Times New Roman" w:cs="Times New Roman"/>
                      <w:color w:val="000000"/>
                      <w:szCs w:val="21"/>
                      <w:u w:val="single"/>
                      <w:lang w:val="en-US" w:eastAsia="en-US" w:bidi="en-US"/>
                    </w:rPr>
                    <w:t>0.016</w:t>
                  </w:r>
                </w:p>
              </w:tc>
              <w:tc>
                <w:tcPr>
                  <w:tcW w:w="1565" w:type="dxa"/>
                  <w:tcBorders>
                    <w:tl2br w:val="nil"/>
                    <w:tr2bl w:val="nil"/>
                  </w:tcBorders>
                  <w:shd w:val="clear" w:color="auto" w:fill="FFFFFF"/>
                </w:tcPr>
                <w:p>
                  <w:pPr>
                    <w:pStyle w:val="83"/>
                    <w:spacing w:line="240" w:lineRule="auto"/>
                    <w:ind w:firstLine="0"/>
                    <w:jc w:val="center"/>
                    <w:rPr>
                      <w:rFonts w:ascii="Times New Roman" w:hAnsi="Times New Roman" w:cs="Times New Roman"/>
                      <w:szCs w:val="21"/>
                      <w:u w:val="single"/>
                    </w:rPr>
                  </w:pPr>
                  <w:r>
                    <w:rPr>
                      <w:rFonts w:ascii="Times New Roman" w:hAnsi="Times New Roman" w:cs="Times New Roman"/>
                      <w:color w:val="000000"/>
                      <w:szCs w:val="21"/>
                      <w:u w:val="single"/>
                      <w:lang w:val="en-US" w:eastAsia="en-US" w:bidi="en-US"/>
                    </w:rPr>
                    <w:t>101.1</w:t>
                  </w:r>
                </w:p>
              </w:tc>
              <w:tc>
                <w:tcPr>
                  <w:tcW w:w="1595" w:type="dxa"/>
                  <w:tcBorders>
                    <w:tl2br w:val="nil"/>
                    <w:tr2bl w:val="nil"/>
                  </w:tcBorders>
                  <w:shd w:val="clear" w:color="auto" w:fill="FFFFFF"/>
                </w:tcPr>
                <w:p>
                  <w:pPr>
                    <w:pStyle w:val="83"/>
                    <w:spacing w:line="240" w:lineRule="auto"/>
                    <w:ind w:firstLine="600"/>
                    <w:jc w:val="left"/>
                    <w:rPr>
                      <w:rFonts w:ascii="Times New Roman" w:hAnsi="Times New Roman" w:cs="Times New Roman"/>
                      <w:szCs w:val="21"/>
                      <w:u w:val="single"/>
                    </w:rPr>
                  </w:pPr>
                  <w:r>
                    <w:rPr>
                      <w:rFonts w:ascii="Times New Roman" w:hAnsi="Times New Roman" w:cs="Times New Roman"/>
                      <w:color w:val="000000"/>
                      <w:szCs w:val="21"/>
                      <w:u w:val="single"/>
                      <w:lang w:val="en-US" w:eastAsia="en-US" w:bidi="en-US"/>
                    </w:rPr>
                    <w:t>9.72</w:t>
                  </w:r>
                </w:p>
              </w:tc>
            </w:tr>
          </w:tbl>
          <w:p>
            <w:pPr>
              <w:pStyle w:val="84"/>
              <w:spacing w:line="469" w:lineRule="exact"/>
              <w:ind w:firstLine="460"/>
              <w:rPr>
                <w:rFonts w:ascii="Times New Roman" w:hAnsi="Times New Roman" w:cs="Times New Roman"/>
                <w:sz w:val="24"/>
                <w:szCs w:val="24"/>
                <w:u w:val="single"/>
                <w:lang w:eastAsia="zh-CN"/>
              </w:rPr>
            </w:pPr>
            <w:r>
              <w:rPr>
                <w:rFonts w:ascii="Times New Roman" w:hAnsi="Times New Roman" w:cs="Times New Roman"/>
                <w:color w:val="4D373A"/>
                <w:sz w:val="24"/>
                <w:szCs w:val="24"/>
                <w:u w:val="single"/>
              </w:rPr>
              <w:t>由上表可知，泄漏</w:t>
            </w:r>
            <w:r>
              <w:rPr>
                <w:rFonts w:ascii="Times New Roman" w:hAnsi="Times New Roman" w:cs="Times New Roman"/>
                <w:color w:val="4D373A"/>
                <w:sz w:val="24"/>
                <w:szCs w:val="24"/>
                <w:u w:val="single"/>
                <w:lang w:val="en-US" w:eastAsia="en-US" w:bidi="en-US"/>
              </w:rPr>
              <w:t>0.5h</w:t>
            </w:r>
            <w:r>
              <w:rPr>
                <w:rFonts w:ascii="Times New Roman" w:hAnsi="Times New Roman" w:cs="Times New Roman"/>
                <w:color w:val="4D373A"/>
                <w:sz w:val="24"/>
                <w:szCs w:val="24"/>
                <w:u w:val="single"/>
              </w:rPr>
              <w:t>后，扩散面积</w:t>
            </w:r>
            <w:r>
              <w:rPr>
                <w:rFonts w:ascii="Times New Roman" w:hAnsi="Times New Roman" w:cs="Times New Roman"/>
                <w:color w:val="4D373A"/>
                <w:sz w:val="24"/>
                <w:szCs w:val="24"/>
                <w:u w:val="single"/>
                <w:lang w:val="en-US" w:eastAsia="en-US" w:bidi="en-US"/>
              </w:rPr>
              <w:t>0.505hm</w:t>
            </w:r>
            <w:r>
              <w:rPr>
                <w:rFonts w:ascii="Times New Roman" w:hAnsi="Times New Roman" w:cs="Times New Roman"/>
                <w:color w:val="4D373A"/>
                <w:sz w:val="24"/>
                <w:szCs w:val="24"/>
                <w:u w:val="single"/>
                <w:vertAlign w:val="superscript"/>
                <w:lang w:val="en-US" w:eastAsia="en-US" w:bidi="en-US"/>
              </w:rPr>
              <w:t>:</w:t>
            </w:r>
            <w:r>
              <w:rPr>
                <w:rFonts w:ascii="Times New Roman" w:hAnsi="Times New Roman" w:cs="Times New Roman"/>
                <w:color w:val="4D373A"/>
                <w:sz w:val="24"/>
                <w:szCs w:val="24"/>
                <w:u w:val="single"/>
                <w:lang w:val="en-US" w:eastAsia="zh-CN" w:bidi="en-US"/>
              </w:rPr>
              <w:t>，</w:t>
            </w:r>
            <w:r>
              <w:rPr>
                <w:rFonts w:ascii="Times New Roman" w:hAnsi="Times New Roman" w:cs="Times New Roman"/>
                <w:color w:val="4D373A"/>
                <w:sz w:val="24"/>
                <w:szCs w:val="24"/>
                <w:u w:val="single"/>
              </w:rPr>
              <w:t>厚度</w:t>
            </w:r>
            <w:r>
              <w:rPr>
                <w:rFonts w:ascii="Times New Roman" w:hAnsi="Times New Roman" w:cs="Times New Roman"/>
                <w:color w:val="4D373A"/>
                <w:sz w:val="24"/>
                <w:szCs w:val="24"/>
                <w:u w:val="single"/>
                <w:lang w:val="en-US" w:eastAsia="en-US" w:bidi="en-US"/>
              </w:rPr>
              <w:t>0.026um</w:t>
            </w:r>
            <w:r>
              <w:rPr>
                <w:rFonts w:ascii="Times New Roman" w:hAnsi="Times New Roman" w:cs="Times New Roman"/>
                <w:color w:val="4D373A"/>
                <w:sz w:val="24"/>
                <w:szCs w:val="24"/>
                <w:u w:val="single"/>
                <w:lang w:val="en-US" w:eastAsia="zh-CN" w:bidi="en-US"/>
              </w:rPr>
              <w:t>，</w:t>
            </w:r>
            <w:r>
              <w:rPr>
                <w:rFonts w:ascii="Times New Roman" w:hAnsi="Times New Roman" w:cs="Times New Roman"/>
                <w:color w:val="4D373A"/>
                <w:sz w:val="24"/>
                <w:szCs w:val="24"/>
                <w:u w:val="single"/>
              </w:rPr>
              <w:t xml:space="preserve">表面膜长 </w:t>
            </w:r>
            <w:r>
              <w:rPr>
                <w:rFonts w:ascii="Times New Roman" w:hAnsi="Times New Roman" w:cs="Times New Roman"/>
                <w:color w:val="000000"/>
                <w:sz w:val="24"/>
                <w:szCs w:val="24"/>
                <w:u w:val="single"/>
              </w:rPr>
              <w:t>度</w:t>
            </w:r>
            <w:r>
              <w:rPr>
                <w:rFonts w:ascii="Times New Roman" w:hAnsi="Times New Roman" w:cs="Times New Roman"/>
                <w:color w:val="000000"/>
                <w:sz w:val="24"/>
                <w:szCs w:val="24"/>
                <w:u w:val="single"/>
                <w:lang w:val="en-US" w:eastAsia="en-US" w:bidi="en-US"/>
              </w:rPr>
              <w:t>80.2m</w:t>
            </w:r>
            <w:r>
              <w:rPr>
                <w:rFonts w:ascii="Times New Roman" w:hAnsi="Times New Roman" w:cs="Times New Roman"/>
                <w:color w:val="000000"/>
                <w:sz w:val="24"/>
                <w:szCs w:val="24"/>
                <w:u w:val="single"/>
                <w:lang w:val="en-US" w:eastAsia="zh-CN" w:bidi="en-US"/>
              </w:rPr>
              <w:t>，</w:t>
            </w:r>
            <w:r>
              <w:rPr>
                <w:rFonts w:ascii="Times New Roman" w:hAnsi="Times New Roman" w:cs="Times New Roman"/>
                <w:color w:val="000000"/>
                <w:sz w:val="24"/>
                <w:szCs w:val="24"/>
                <w:u w:val="single"/>
              </w:rPr>
              <w:t>流动距离</w:t>
            </w:r>
            <w:r>
              <w:rPr>
                <w:rFonts w:ascii="Times New Roman" w:hAnsi="Times New Roman" w:cs="Times New Roman"/>
                <w:color w:val="000000"/>
                <w:sz w:val="24"/>
                <w:szCs w:val="24"/>
                <w:u w:val="single"/>
                <w:lang w:val="en-US" w:eastAsia="en-US" w:bidi="en-US"/>
              </w:rPr>
              <w:t>4.86km。</w:t>
            </w:r>
            <w:r>
              <w:rPr>
                <w:rFonts w:ascii="Times New Roman" w:hAnsi="Times New Roman" w:cs="Times New Roman"/>
                <w:color w:val="000000"/>
                <w:sz w:val="24"/>
                <w:szCs w:val="24"/>
                <w:u w:val="single"/>
              </w:rPr>
              <w:t>泄漏</w:t>
            </w:r>
            <w:r>
              <w:rPr>
                <w:rFonts w:ascii="Times New Roman" w:hAnsi="Times New Roman" w:cs="Times New Roman"/>
                <w:color w:val="000000"/>
                <w:sz w:val="24"/>
                <w:szCs w:val="24"/>
                <w:u w:val="single"/>
                <w:lang w:val="en-US" w:eastAsia="en-US" w:bidi="en-US"/>
              </w:rPr>
              <w:t>lh</w:t>
            </w:r>
            <w:r>
              <w:rPr>
                <w:rFonts w:ascii="Times New Roman" w:hAnsi="Times New Roman" w:cs="Times New Roman"/>
                <w:color w:val="000000"/>
                <w:sz w:val="24"/>
                <w:szCs w:val="24"/>
                <w:u w:val="single"/>
              </w:rPr>
              <w:t>后，扩散面积</w:t>
            </w:r>
            <w:r>
              <w:rPr>
                <w:rFonts w:ascii="Times New Roman" w:hAnsi="Times New Roman" w:cs="Times New Roman"/>
                <w:color w:val="000000"/>
                <w:sz w:val="24"/>
                <w:szCs w:val="24"/>
                <w:u w:val="single"/>
                <w:lang w:val="en-US" w:eastAsia="en-US" w:bidi="en-US"/>
              </w:rPr>
              <w:t>0.802hm</w:t>
            </w:r>
            <w:r>
              <w:rPr>
                <w:rFonts w:ascii="Times New Roman" w:hAnsi="Times New Roman" w:cs="Times New Roman"/>
                <w:color w:val="000000"/>
                <w:sz w:val="24"/>
                <w:szCs w:val="24"/>
                <w:u w:val="single"/>
                <w:vertAlign w:val="superscript"/>
                <w:lang w:val="en-US" w:eastAsia="en-US" w:bidi="en-US"/>
              </w:rPr>
              <w:t>2</w:t>
            </w:r>
            <w:r>
              <w:rPr>
                <w:rFonts w:ascii="Times New Roman" w:hAnsi="Times New Roman" w:cs="Times New Roman"/>
                <w:color w:val="000000"/>
                <w:sz w:val="24"/>
                <w:szCs w:val="24"/>
                <w:u w:val="single"/>
                <w:lang w:val="en-US" w:eastAsia="zh-CN" w:bidi="en-US"/>
              </w:rPr>
              <w:t>，</w:t>
            </w:r>
            <w:r>
              <w:rPr>
                <w:rFonts w:ascii="Times New Roman" w:hAnsi="Times New Roman" w:cs="Times New Roman"/>
                <w:color w:val="000000"/>
                <w:sz w:val="24"/>
                <w:szCs w:val="24"/>
                <w:u w:val="single"/>
              </w:rPr>
              <w:t>厚度</w:t>
            </w:r>
            <w:r>
              <w:rPr>
                <w:rFonts w:ascii="Times New Roman" w:hAnsi="Times New Roman" w:cs="Times New Roman"/>
                <w:color w:val="000000"/>
                <w:sz w:val="24"/>
                <w:szCs w:val="24"/>
                <w:u w:val="single"/>
                <w:lang w:val="en-US" w:eastAsia="en-US" w:bidi="en-US"/>
              </w:rPr>
              <w:t xml:space="preserve">0.016um, </w:t>
            </w:r>
            <w:r>
              <w:rPr>
                <w:rFonts w:ascii="Times New Roman" w:hAnsi="Times New Roman" w:cs="Times New Roman"/>
                <w:color w:val="000000"/>
                <w:sz w:val="24"/>
                <w:szCs w:val="24"/>
                <w:u w:val="single"/>
              </w:rPr>
              <w:t>表面膜长度</w:t>
            </w:r>
            <w:r>
              <w:rPr>
                <w:rFonts w:ascii="Times New Roman" w:hAnsi="Times New Roman" w:cs="Times New Roman"/>
                <w:color w:val="000000"/>
                <w:sz w:val="24"/>
                <w:szCs w:val="24"/>
                <w:u w:val="single"/>
                <w:lang w:val="en-US" w:eastAsia="en-US" w:bidi="en-US"/>
              </w:rPr>
              <w:t>101.1m</w:t>
            </w:r>
            <w:r>
              <w:rPr>
                <w:rFonts w:ascii="Times New Roman" w:hAnsi="Times New Roman" w:cs="Times New Roman"/>
                <w:color w:val="000000"/>
                <w:sz w:val="24"/>
                <w:szCs w:val="24"/>
                <w:u w:val="single"/>
                <w:lang w:val="en-US" w:eastAsia="zh-CN" w:bidi="en-US"/>
              </w:rPr>
              <w:t>，</w:t>
            </w:r>
            <w:r>
              <w:rPr>
                <w:rFonts w:ascii="Times New Roman" w:hAnsi="Times New Roman" w:cs="Times New Roman"/>
                <w:color w:val="000000"/>
                <w:sz w:val="24"/>
                <w:szCs w:val="24"/>
                <w:u w:val="single"/>
              </w:rPr>
              <w:t>流动距离</w:t>
            </w:r>
            <w:r>
              <w:rPr>
                <w:rFonts w:ascii="Times New Roman" w:hAnsi="Times New Roman" w:cs="Times New Roman"/>
                <w:color w:val="000000"/>
                <w:sz w:val="24"/>
                <w:szCs w:val="24"/>
                <w:u w:val="single"/>
                <w:lang w:val="en-US" w:eastAsia="en-US" w:bidi="en-US"/>
              </w:rPr>
              <w:t>9.72km</w:t>
            </w:r>
            <w:r>
              <w:rPr>
                <w:rFonts w:ascii="Times New Roman" w:hAnsi="Times New Roman" w:cs="Times New Roman"/>
                <w:color w:val="000000"/>
                <w:sz w:val="24"/>
                <w:szCs w:val="24"/>
                <w:u w:val="single"/>
                <w:lang w:val="en-US" w:eastAsia="zh-CN" w:bidi="en-US"/>
              </w:rPr>
              <w:t>。</w:t>
            </w:r>
          </w:p>
          <w:p>
            <w:pPr>
              <w:pStyle w:val="80"/>
              <w:spacing w:line="469" w:lineRule="exact"/>
              <w:ind w:firstLine="460"/>
              <w:rPr>
                <w:u w:val="single"/>
              </w:rPr>
            </w:pPr>
            <w:r>
              <w:rPr>
                <w:color w:val="000000"/>
                <w:sz w:val="24"/>
                <w:szCs w:val="24"/>
                <w:u w:val="single"/>
              </w:rPr>
              <w:t>建设项目一旦发生事故溢油，应及时在事故发生点周围布设围栏，围栏布置 的范围可根据扩散范围确定，将溢油事故污染控制在围栏包围的水域范围内。同 时启动应急预案，釆用收油机进行溢油回收，消除水面残液，可最大限度地控制 油膜向下游漂移，最大程度减少溢油对下游敏感点的影响。在溢油后喷洒溢油分 散剂，消除对水面的石油类污染。</w:t>
            </w:r>
          </w:p>
          <w:p>
            <w:pPr>
              <w:pStyle w:val="80"/>
              <w:spacing w:after="160" w:line="469" w:lineRule="exact"/>
              <w:ind w:firstLine="460"/>
              <w:rPr>
                <w:u w:val="single"/>
              </w:rPr>
            </w:pPr>
            <w:r>
              <w:rPr>
                <w:color w:val="000000"/>
                <w:sz w:val="24"/>
                <w:szCs w:val="24"/>
                <w:u w:val="single"/>
              </w:rPr>
              <w:t>本项目本身不涉及油类的运输和储存，仅是收集船舶航行动力所需携带的燃 料油，其数量较少，发生事故时油膜扩散的范围较小，对航道的水环境质量影响 也较小，比较容易被控制。</w:t>
            </w:r>
          </w:p>
          <w:p>
            <w:pPr>
              <w:pStyle w:val="66"/>
              <w:widowControl/>
              <w:spacing w:line="360" w:lineRule="auto"/>
              <w:ind w:left="630" w:firstLine="0" w:firstLineChars="0"/>
              <w:rPr>
                <w:rFonts w:hAnsi="Times New Roman" w:cs="宋体"/>
                <w:color w:val="auto"/>
                <w:kern w:val="2"/>
                <w:sz w:val="24"/>
                <w:u w:val="single"/>
              </w:rPr>
            </w:pPr>
            <w:r>
              <w:rPr>
                <w:rFonts w:hint="eastAsia" w:hAnsi="Times New Roman" w:cs="宋体"/>
                <w:color w:val="auto"/>
                <w:kern w:val="2"/>
                <w:sz w:val="24"/>
                <w:u w:val="single"/>
              </w:rPr>
              <w:t>2）对水生生物的影响</w:t>
            </w:r>
          </w:p>
          <w:p>
            <w:pPr>
              <w:pStyle w:val="66"/>
              <w:widowControl/>
              <w:spacing w:line="360" w:lineRule="auto"/>
              <w:ind w:left="479" w:leftChars="228" w:firstLine="0" w:firstLineChars="0"/>
              <w:rPr>
                <w:rFonts w:hAnsi="Times New Roman" w:cs="宋体"/>
                <w:color w:val="auto"/>
                <w:kern w:val="2"/>
                <w:sz w:val="24"/>
                <w:u w:val="single"/>
              </w:rPr>
            </w:pPr>
            <w:r>
              <w:rPr>
                <w:rFonts w:hint="eastAsia" w:hAnsi="Times New Roman" w:cs="宋体"/>
                <w:color w:val="auto"/>
                <w:kern w:val="2"/>
                <w:sz w:val="24"/>
                <w:u w:val="single"/>
              </w:rPr>
              <w:t>燃料油的泄漏将会对江河水域的水生生物产生一定影响，主要表现为：</w:t>
            </w:r>
          </w:p>
          <w:p>
            <w:pPr>
              <w:pStyle w:val="66"/>
              <w:widowControl/>
              <w:spacing w:line="360" w:lineRule="auto"/>
              <w:ind w:firstLine="480"/>
              <w:rPr>
                <w:rFonts w:hAnsi="Times New Roman" w:cs="宋体"/>
                <w:color w:val="auto"/>
                <w:kern w:val="2"/>
                <w:sz w:val="24"/>
                <w:u w:val="single"/>
              </w:rPr>
            </w:pPr>
            <w:r>
              <w:rPr>
                <w:rFonts w:hint="eastAsia" w:hAnsi="Times New Roman" w:cs="宋体"/>
                <w:color w:val="auto"/>
                <w:kern w:val="2"/>
                <w:sz w:val="24"/>
                <w:u w:val="single"/>
              </w:rPr>
              <w:t>①河面连片的油膜使水体的阳光投射率下降，降低浮游植物的光合作用，从而影响水域的初级生产力，同时干扰浮游动物的昼夜垂直迁移。</w:t>
            </w:r>
          </w:p>
          <w:p>
            <w:pPr>
              <w:pStyle w:val="66"/>
              <w:widowControl/>
              <w:spacing w:line="360" w:lineRule="auto"/>
              <w:ind w:firstLine="480"/>
              <w:rPr>
                <w:rFonts w:hAnsi="Times New Roman" w:cs="宋体"/>
                <w:color w:val="auto"/>
                <w:kern w:val="2"/>
                <w:sz w:val="24"/>
                <w:u w:val="single"/>
              </w:rPr>
            </w:pPr>
            <w:r>
              <w:rPr>
                <w:rFonts w:hint="eastAsia" w:hAnsi="Times New Roman" w:cs="宋体"/>
                <w:color w:val="auto"/>
                <w:kern w:val="2"/>
                <w:sz w:val="24"/>
                <w:u w:val="single"/>
              </w:rPr>
              <w:t>②油污染能伤害水生生物的化学感应器，干扰、破坏生物的趋化性，使其感应系统发生紊乱。</w:t>
            </w:r>
          </w:p>
          <w:p>
            <w:pPr>
              <w:pStyle w:val="66"/>
              <w:widowControl/>
              <w:spacing w:line="360" w:lineRule="auto"/>
              <w:ind w:firstLine="480"/>
              <w:rPr>
                <w:rFonts w:hAnsi="Times New Roman" w:cs="宋体"/>
                <w:color w:val="auto"/>
                <w:kern w:val="2"/>
                <w:sz w:val="24"/>
                <w:u w:val="single"/>
              </w:rPr>
            </w:pPr>
            <w:r>
              <w:rPr>
                <w:rFonts w:hint="eastAsia" w:hAnsi="Times New Roman" w:cs="宋体"/>
                <w:color w:val="auto"/>
                <w:kern w:val="2"/>
                <w:sz w:val="24"/>
                <w:u w:val="single"/>
              </w:rPr>
              <w:t>③溶解和分散在水体中的油类较易侵入水生生物的上皮细胞,破坏动植物的细胞质膜和线粒体膜，损害生物的酶系统和蛋白质结构，导致基础代谢活动出现障碍，引起生物种类异常。</w:t>
            </w:r>
          </w:p>
          <w:p>
            <w:pPr>
              <w:pStyle w:val="66"/>
              <w:widowControl/>
              <w:spacing w:line="360" w:lineRule="auto"/>
              <w:ind w:firstLine="480"/>
              <w:rPr>
                <w:rFonts w:hAnsi="Times New Roman" w:cs="宋体"/>
                <w:color w:val="auto"/>
                <w:kern w:val="2"/>
                <w:sz w:val="24"/>
                <w:u w:val="single"/>
              </w:rPr>
            </w:pPr>
            <w:r>
              <w:rPr>
                <w:rFonts w:hint="eastAsia" w:hAnsi="Times New Roman" w:cs="宋体"/>
                <w:color w:val="auto"/>
                <w:kern w:val="2"/>
                <w:sz w:val="24"/>
                <w:u w:val="single"/>
              </w:rPr>
              <w:t>④不同种类生物对油污染的敏感性有很大差异，水体受油污染后，对油污染抵抗性差的生物数量将大量减少或消失，而一些嗜油菌落和好油生物将大量繁殖和生长，从而改变原有的结构种类，引起生态平衡失调。</w:t>
            </w:r>
          </w:p>
          <w:p>
            <w:pPr>
              <w:pStyle w:val="66"/>
              <w:widowControl/>
              <w:spacing w:line="360" w:lineRule="auto"/>
              <w:ind w:firstLine="480"/>
              <w:rPr>
                <w:rFonts w:hAnsi="Times New Roman" w:cs="宋体"/>
                <w:color w:val="auto"/>
                <w:kern w:val="2"/>
                <w:sz w:val="24"/>
                <w:u w:val="single"/>
              </w:rPr>
            </w:pPr>
            <w:r>
              <w:rPr>
                <w:rFonts w:hint="eastAsia" w:hAnsi="Times New Roman" w:cs="宋体"/>
                <w:color w:val="auto"/>
                <w:kern w:val="2"/>
                <w:sz w:val="24"/>
                <w:u w:val="single"/>
              </w:rPr>
              <w:t>根据国内外许多毒性实验结果表明，作为鱼、虾类饵料基础的浮游植物，对各类油类的耐受能力都很低，一般浮游植物石油急性中毒致死浓度为 0.1~10.0mg/L，对于更敏感的种类，油浓度低于0.1mg/L时，也会妨碍细胞的分裂和生长速率。浮游动物石油急性中毒致死浓度范围一般为0.1~15mg/L，而且通过不同浓度的石油类环境对桡足类幼体的影响实验表明，永久性(终生性)浮游动物幼体的敏感性大于阶段性（临时性）的底栖生物幼体，而它们各自的幼体敏感性又大于成体。</w:t>
            </w:r>
          </w:p>
          <w:p>
            <w:pPr>
              <w:pStyle w:val="66"/>
              <w:widowControl/>
              <w:spacing w:line="360" w:lineRule="auto"/>
              <w:ind w:firstLine="480"/>
              <w:rPr>
                <w:rFonts w:hAnsi="Times New Roman" w:cs="宋体"/>
                <w:color w:val="auto"/>
                <w:kern w:val="2"/>
                <w:sz w:val="24"/>
                <w:u w:val="single"/>
              </w:rPr>
            </w:pPr>
            <w:r>
              <w:rPr>
                <w:rFonts w:hint="eastAsia" w:hAnsi="Times New Roman" w:cs="宋体"/>
                <w:color w:val="auto"/>
                <w:kern w:val="2"/>
                <w:sz w:val="24"/>
                <w:u w:val="single"/>
              </w:rPr>
              <w:t>因此，一旦发生溢油风险事故后将引起流经河段内鱼类的急性中毒，油类在鱼体内的蓄积残留可能会对鱼的致突变性产生较大的负面影响。由于水体复氧作用的停止，对水体中浮游生物及浮游植物也会产生一定的影响；而随着浮游生物的死亡，将导致鱼类饵料来源的逐步减少。因此必须严格落实相应的风险防范措施，一旦发生溢油事故后及时启动溢油事故应急预案，以避免溢油风险事故对下游水域造成污染。</w:t>
            </w:r>
          </w:p>
          <w:p>
            <w:pPr>
              <w:pStyle w:val="66"/>
              <w:widowControl/>
              <w:spacing w:line="360" w:lineRule="auto"/>
              <w:ind w:firstLine="480"/>
              <w:rPr>
                <w:rFonts w:hAnsi="Times New Roman" w:cs="宋体"/>
                <w:color w:val="auto"/>
                <w:kern w:val="2"/>
                <w:sz w:val="24"/>
                <w:u w:val="single"/>
              </w:rPr>
            </w:pPr>
            <w:r>
              <w:rPr>
                <w:rFonts w:hint="eastAsia" w:hAnsi="Times New Roman" w:cs="宋体"/>
                <w:color w:val="auto"/>
                <w:kern w:val="2"/>
                <w:sz w:val="24"/>
                <w:u w:val="single"/>
              </w:rPr>
              <w:t>（2）船舶垃圾泄漏的影响分析</w:t>
            </w:r>
          </w:p>
          <w:p>
            <w:pPr>
              <w:pStyle w:val="66"/>
              <w:widowControl/>
              <w:spacing w:line="360" w:lineRule="auto"/>
              <w:ind w:firstLine="480"/>
              <w:rPr>
                <w:rFonts w:hAnsi="Times New Roman" w:cs="宋体"/>
                <w:color w:val="auto"/>
                <w:kern w:val="2"/>
                <w:sz w:val="24"/>
                <w:u w:val="single"/>
              </w:rPr>
            </w:pPr>
            <w:r>
              <w:rPr>
                <w:rFonts w:hAnsi="Times New Roman" w:cs="宋体"/>
                <w:color w:val="auto"/>
                <w:kern w:val="2"/>
                <w:sz w:val="24"/>
                <w:u w:val="single"/>
              </w:rPr>
              <w:t>船舶垃圾在转运过程中，由于操作不当等原因，卸船过程中生活垃圾袋破碎，导致生活垃圾洒落于所在区域水域中甚至漂散至下游水域，污染水环境，同时也影响</w:t>
            </w:r>
            <w:r>
              <w:rPr>
                <w:rFonts w:hint="eastAsia" w:hAnsi="Times New Roman" w:cs="宋体"/>
                <w:color w:val="auto"/>
                <w:kern w:val="2"/>
                <w:sz w:val="24"/>
                <w:u w:val="single"/>
              </w:rPr>
              <w:t>洞庭湖湖面</w:t>
            </w:r>
            <w:r>
              <w:rPr>
                <w:rFonts w:hAnsi="Times New Roman" w:cs="宋体"/>
                <w:color w:val="auto"/>
                <w:kern w:val="2"/>
                <w:sz w:val="24"/>
                <w:u w:val="single"/>
              </w:rPr>
              <w:t>面景观性。</w:t>
            </w:r>
          </w:p>
          <w:p>
            <w:pPr>
              <w:pStyle w:val="66"/>
              <w:widowControl/>
              <w:spacing w:line="360" w:lineRule="auto"/>
              <w:ind w:firstLine="480"/>
              <w:rPr>
                <w:rFonts w:hAnsi="Times New Roman" w:cs="宋体"/>
                <w:color w:val="auto"/>
                <w:kern w:val="2"/>
                <w:sz w:val="24"/>
                <w:u w:val="single"/>
              </w:rPr>
            </w:pPr>
            <w:r>
              <w:rPr>
                <w:rFonts w:hint="eastAsia" w:hAnsi="Times New Roman" w:cs="宋体"/>
                <w:color w:val="auto"/>
                <w:kern w:val="2"/>
                <w:sz w:val="24"/>
                <w:u w:val="single"/>
              </w:rPr>
              <w:t>（3）</w:t>
            </w:r>
            <w:r>
              <w:rPr>
                <w:rFonts w:hAnsi="Times New Roman" w:cs="宋体"/>
                <w:color w:val="auto"/>
                <w:kern w:val="2"/>
                <w:sz w:val="24"/>
                <w:u w:val="single"/>
              </w:rPr>
              <w:t>船舶污废水输送管道泄漏</w:t>
            </w:r>
            <w:r>
              <w:rPr>
                <w:rFonts w:hint="eastAsia" w:hAnsi="Times New Roman" w:cs="宋体"/>
                <w:color w:val="auto"/>
                <w:kern w:val="2"/>
                <w:sz w:val="24"/>
                <w:u w:val="single"/>
              </w:rPr>
              <w:t>影响分析</w:t>
            </w:r>
          </w:p>
          <w:p>
            <w:pPr>
              <w:pStyle w:val="66"/>
              <w:widowControl/>
              <w:spacing w:line="360" w:lineRule="auto"/>
              <w:ind w:firstLine="480"/>
              <w:rPr>
                <w:rFonts w:hAnsi="Times New Roman" w:cs="宋体"/>
                <w:color w:val="auto"/>
                <w:kern w:val="2"/>
                <w:sz w:val="24"/>
                <w:u w:val="single"/>
              </w:rPr>
            </w:pPr>
            <w:r>
              <w:rPr>
                <w:rFonts w:hAnsi="Times New Roman" w:cs="宋体"/>
                <w:color w:val="auto"/>
                <w:kern w:val="2"/>
                <w:sz w:val="24"/>
                <w:u w:val="single"/>
              </w:rPr>
              <w:t>船舶污废水输送管道泄漏是指船舶生活污水和含油废水在收集、卸污过程中由于输送管道发生损坏导致在无处理措施情况下泄漏，直接进入水体中。船舶污废水输送管道泄漏与管道检修管理、操作人员技术熟练程度、港区机械设备先进和自动化水平等因素均有关，但目前尚无法估计此类事故发生的概率。</w:t>
            </w:r>
          </w:p>
          <w:p>
            <w:pPr>
              <w:pStyle w:val="66"/>
              <w:widowControl/>
              <w:spacing w:line="360" w:lineRule="auto"/>
              <w:ind w:firstLine="480"/>
              <w:rPr>
                <w:rFonts w:hAnsi="Times New Roman" w:cs="宋体"/>
                <w:color w:val="auto"/>
                <w:kern w:val="2"/>
                <w:sz w:val="24"/>
                <w:u w:val="single"/>
              </w:rPr>
            </w:pPr>
            <w:r>
              <w:rPr>
                <w:rFonts w:hAnsi="Times New Roman" w:cs="宋体"/>
                <w:color w:val="auto"/>
                <w:kern w:val="2"/>
                <w:sz w:val="24"/>
                <w:u w:val="single"/>
              </w:rPr>
              <w:t>船舶污废水泄漏排入</w:t>
            </w:r>
            <w:r>
              <w:rPr>
                <w:rFonts w:hint="eastAsia" w:hAnsi="Times New Roman" w:cs="宋体"/>
                <w:color w:val="auto"/>
                <w:kern w:val="2"/>
                <w:sz w:val="24"/>
                <w:u w:val="single"/>
              </w:rPr>
              <w:t>洞庭湖</w:t>
            </w:r>
            <w:r>
              <w:rPr>
                <w:rFonts w:hAnsi="Times New Roman" w:cs="宋体"/>
                <w:color w:val="auto"/>
                <w:kern w:val="2"/>
                <w:sz w:val="24"/>
                <w:u w:val="single"/>
              </w:rPr>
              <w:t>中，会导致水中氮、磷的含量增加，使藻类等水生植物生长过多，对水生生态环境造成不利影响,因此作业区要做好相关管理工作，及时检修管道、转运机械以及配套设备等，防止该类事故造成对水环境的影响。</w:t>
            </w:r>
          </w:p>
          <w:p>
            <w:pPr>
              <w:spacing w:line="360" w:lineRule="auto"/>
              <w:rPr>
                <w:b/>
                <w:sz w:val="24"/>
                <w:u w:val="single"/>
              </w:rPr>
            </w:pPr>
            <w:r>
              <w:rPr>
                <w:rFonts w:hint="eastAsia"/>
                <w:b/>
                <w:sz w:val="24"/>
                <w:u w:val="single"/>
              </w:rPr>
              <w:t>五、风险防范措施</w:t>
            </w:r>
          </w:p>
          <w:p>
            <w:pPr>
              <w:pStyle w:val="20"/>
              <w:spacing w:before="0" w:beforeAutospacing="0" w:after="0" w:afterAutospacing="0" w:line="360" w:lineRule="auto"/>
              <w:ind w:firstLine="480" w:firstLineChars="200"/>
              <w:jc w:val="both"/>
              <w:rPr>
                <w:rFonts w:hAnsi="Times New Roman"/>
                <w:kern w:val="2"/>
                <w:u w:val="single"/>
              </w:rPr>
            </w:pPr>
            <w:r>
              <w:rPr>
                <w:rFonts w:hint="eastAsia" w:hAnsi="Times New Roman"/>
                <w:kern w:val="2"/>
                <w:u w:val="single"/>
              </w:rPr>
              <w:t>（1）溢油事故风险防范措施</w:t>
            </w:r>
          </w:p>
          <w:p>
            <w:pPr>
              <w:pStyle w:val="20"/>
              <w:spacing w:before="0" w:beforeAutospacing="0" w:after="0" w:afterAutospacing="0" w:line="360" w:lineRule="auto"/>
              <w:ind w:firstLine="480" w:firstLineChars="200"/>
              <w:jc w:val="both"/>
              <w:rPr>
                <w:rFonts w:hAnsi="Times New Roman"/>
                <w:kern w:val="2"/>
                <w:u w:val="single"/>
              </w:rPr>
            </w:pPr>
            <w:r>
              <w:rPr>
                <w:rFonts w:hint="eastAsia" w:hAnsi="Times New Roman"/>
                <w:kern w:val="2"/>
                <w:u w:val="single"/>
              </w:rPr>
              <w:t>①制定严格的作业制度和操作规程，杜绝事故发生；</w:t>
            </w:r>
          </w:p>
          <w:p>
            <w:pPr>
              <w:pStyle w:val="20"/>
              <w:spacing w:before="0" w:beforeAutospacing="0" w:after="0" w:afterAutospacing="0" w:line="360" w:lineRule="auto"/>
              <w:ind w:firstLine="480" w:firstLineChars="200"/>
              <w:jc w:val="both"/>
              <w:rPr>
                <w:rFonts w:hAnsi="Times New Roman"/>
                <w:kern w:val="2"/>
                <w:u w:val="single"/>
              </w:rPr>
            </w:pPr>
            <w:r>
              <w:rPr>
                <w:rFonts w:hint="eastAsia" w:hAnsi="Times New Roman"/>
                <w:kern w:val="2"/>
                <w:u w:val="single"/>
              </w:rPr>
              <w:t>②合理安排船舶航行时间，提前采取避让措施。</w:t>
            </w:r>
          </w:p>
          <w:p>
            <w:pPr>
              <w:pStyle w:val="20"/>
              <w:spacing w:before="0" w:beforeAutospacing="0" w:after="0" w:afterAutospacing="0" w:line="360" w:lineRule="auto"/>
              <w:ind w:firstLine="480" w:firstLineChars="200"/>
              <w:jc w:val="both"/>
              <w:rPr>
                <w:kern w:val="2"/>
                <w:u w:val="single"/>
              </w:rPr>
            </w:pPr>
            <w:r>
              <w:rPr>
                <w:rFonts w:hint="eastAsia"/>
                <w:kern w:val="2"/>
                <w:u w:val="single"/>
              </w:rPr>
              <w:t>③收集船舶必须按照交通部信号管理规定显示信号,建设单位应加强船舶的安全调度管理；</w:t>
            </w:r>
          </w:p>
          <w:p>
            <w:pPr>
              <w:pStyle w:val="20"/>
              <w:spacing w:before="0" w:beforeAutospacing="0" w:after="0" w:afterAutospacing="0" w:line="360" w:lineRule="auto"/>
              <w:ind w:left="479" w:leftChars="228"/>
              <w:jc w:val="both"/>
              <w:rPr>
                <w:kern w:val="2"/>
                <w:u w:val="single"/>
              </w:rPr>
            </w:pPr>
            <w:r>
              <w:rPr>
                <w:rFonts w:hint="eastAsia"/>
                <w:kern w:val="2"/>
                <w:u w:val="single"/>
              </w:rPr>
              <w:t>④当发生应急事件时，应立即采取必要的措施，同时向有关单位报告;⑤通过中央控制室监视船舶进出港过程,提早发现可能出现的事故隐患。⑥定期维护污水处理设施，避免造成事故性废水排放。</w:t>
            </w:r>
          </w:p>
          <w:p>
            <w:pPr>
              <w:pStyle w:val="20"/>
              <w:spacing w:before="0" w:beforeAutospacing="0" w:after="0" w:afterAutospacing="0" w:line="360" w:lineRule="auto"/>
              <w:ind w:left="479" w:leftChars="228"/>
              <w:jc w:val="both"/>
              <w:rPr>
                <w:kern w:val="2"/>
                <w:u w:val="single"/>
              </w:rPr>
            </w:pPr>
            <w:r>
              <w:rPr>
                <w:rFonts w:hint="eastAsia"/>
                <w:kern w:val="2"/>
                <w:u w:val="single"/>
              </w:rPr>
              <w:t>⑦按照《港口码头溢油应急设备配备要求》(JT/T451-2009）的要求配备应急设备，如下表所示。</w:t>
            </w:r>
          </w:p>
          <w:p>
            <w:pPr>
              <w:pStyle w:val="80"/>
              <w:spacing w:after="120" w:line="240" w:lineRule="auto"/>
              <w:ind w:firstLine="0"/>
              <w:jc w:val="center"/>
              <w:rPr>
                <w:rFonts w:ascii="Times New Roman" w:hAnsi="Times New Roman" w:cs="Times New Roman"/>
                <w:szCs w:val="21"/>
                <w:u w:val="single"/>
                <w:lang w:val="en-US" w:eastAsia="zh-CN"/>
              </w:rPr>
            </w:pPr>
            <w:r>
              <w:rPr>
                <w:rFonts w:ascii="Times New Roman" w:hAnsi="Times New Roman" w:cs="Times New Roman"/>
                <w:b/>
                <w:bCs/>
                <w:color w:val="000000"/>
                <w:szCs w:val="21"/>
                <w:u w:val="single"/>
              </w:rPr>
              <w:t>表</w:t>
            </w:r>
            <w:r>
              <w:rPr>
                <w:rFonts w:ascii="Times New Roman" w:hAnsi="Times New Roman" w:cs="Times New Roman"/>
                <w:b/>
                <w:bCs/>
                <w:color w:val="000000"/>
                <w:szCs w:val="21"/>
                <w:u w:val="single"/>
                <w:lang w:val="en-US" w:eastAsia="zh-CN"/>
              </w:rPr>
              <w:t>4-</w:t>
            </w:r>
            <w:r>
              <w:rPr>
                <w:rFonts w:hint="eastAsia" w:ascii="Times New Roman" w:hAnsi="Times New Roman" w:cs="Times New Roman"/>
                <w:b/>
                <w:bCs/>
                <w:color w:val="000000"/>
                <w:szCs w:val="21"/>
                <w:u w:val="single"/>
                <w:lang w:val="en-US" w:eastAsia="zh-CN"/>
              </w:rPr>
              <w:t>13  企业已有应急物资一览表</w:t>
            </w:r>
          </w:p>
          <w:tbl>
            <w:tblPr>
              <w:tblStyle w:val="24"/>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 w:type="dxa"/>
                <w:bottom w:w="0" w:type="dxa"/>
                <w:right w:w="10" w:type="dxa"/>
              </w:tblCellMar>
            </w:tblPr>
            <w:tblGrid>
              <w:gridCol w:w="1864"/>
              <w:gridCol w:w="1317"/>
              <w:gridCol w:w="1696"/>
              <w:gridCol w:w="1443"/>
              <w:gridCol w:w="145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354" w:hRule="exact"/>
                <w:jc w:val="center"/>
              </w:trPr>
              <w:tc>
                <w:tcPr>
                  <w:tcW w:w="1864" w:type="dxa"/>
                  <w:tcBorders>
                    <w:tl2br w:val="nil"/>
                    <w:tr2bl w:val="nil"/>
                  </w:tcBorders>
                  <w:shd w:val="clear" w:color="auto" w:fill="FFFFFF"/>
                </w:tcPr>
                <w:p>
                  <w:pPr>
                    <w:pStyle w:val="56"/>
                    <w:ind w:firstLine="0" w:firstLineChars="0"/>
                    <w:jc w:val="center"/>
                    <w:rPr>
                      <w:rFonts w:ascii="Times New Roman" w:hAnsi="Times New Roman" w:cs="Times New Roman"/>
                      <w:b/>
                      <w:bCs/>
                      <w:sz w:val="21"/>
                      <w:szCs w:val="21"/>
                      <w:u w:val="single"/>
                    </w:rPr>
                  </w:pPr>
                  <w:r>
                    <w:rPr>
                      <w:rFonts w:ascii="Times New Roman" w:hAnsi="Times New Roman" w:cs="Times New Roman"/>
                      <w:b/>
                      <w:bCs/>
                      <w:sz w:val="21"/>
                      <w:szCs w:val="21"/>
                      <w:u w:val="single"/>
                    </w:rPr>
                    <w:t>设备名称</w:t>
                  </w:r>
                </w:p>
              </w:tc>
              <w:tc>
                <w:tcPr>
                  <w:tcW w:w="1317" w:type="dxa"/>
                  <w:tcBorders>
                    <w:tl2br w:val="nil"/>
                    <w:tr2bl w:val="nil"/>
                  </w:tcBorders>
                  <w:shd w:val="clear" w:color="auto" w:fill="FFFFFF"/>
                </w:tcPr>
                <w:p>
                  <w:pPr>
                    <w:pStyle w:val="56"/>
                    <w:ind w:firstLine="0" w:firstLineChars="0"/>
                    <w:jc w:val="center"/>
                    <w:rPr>
                      <w:rFonts w:ascii="Times New Roman" w:hAnsi="Times New Roman" w:cs="Times New Roman"/>
                      <w:b/>
                      <w:bCs/>
                      <w:sz w:val="21"/>
                      <w:szCs w:val="21"/>
                      <w:u w:val="single"/>
                    </w:rPr>
                  </w:pPr>
                  <w:r>
                    <w:rPr>
                      <w:rFonts w:ascii="Times New Roman" w:hAnsi="Times New Roman" w:cs="Times New Roman"/>
                      <w:b/>
                      <w:bCs/>
                      <w:sz w:val="21"/>
                      <w:szCs w:val="21"/>
                      <w:u w:val="single"/>
                    </w:rPr>
                    <w:t>设备规格</w:t>
                  </w:r>
                </w:p>
              </w:tc>
              <w:tc>
                <w:tcPr>
                  <w:tcW w:w="1696" w:type="dxa"/>
                  <w:tcBorders>
                    <w:tl2br w:val="nil"/>
                    <w:tr2bl w:val="nil"/>
                  </w:tcBorders>
                  <w:shd w:val="clear" w:color="auto" w:fill="FFFFFF"/>
                </w:tcPr>
                <w:p>
                  <w:pPr>
                    <w:pStyle w:val="56"/>
                    <w:ind w:firstLine="0" w:firstLineChars="0"/>
                    <w:jc w:val="center"/>
                    <w:rPr>
                      <w:rFonts w:ascii="Times New Roman" w:hAnsi="Times New Roman" w:cs="Times New Roman"/>
                      <w:b/>
                      <w:bCs/>
                      <w:sz w:val="21"/>
                      <w:szCs w:val="21"/>
                      <w:u w:val="single"/>
                    </w:rPr>
                  </w:pPr>
                  <w:r>
                    <w:rPr>
                      <w:rFonts w:ascii="Times New Roman" w:hAnsi="Times New Roman" w:cs="Times New Roman"/>
                      <w:b/>
                      <w:bCs/>
                      <w:sz w:val="21"/>
                      <w:szCs w:val="21"/>
                      <w:u w:val="single"/>
                    </w:rPr>
                    <w:t>单位</w:t>
                  </w:r>
                </w:p>
              </w:tc>
              <w:tc>
                <w:tcPr>
                  <w:tcW w:w="1443" w:type="dxa"/>
                  <w:tcBorders>
                    <w:tl2br w:val="nil"/>
                    <w:tr2bl w:val="nil"/>
                  </w:tcBorders>
                  <w:shd w:val="clear" w:color="auto" w:fill="FFFFFF"/>
                </w:tcPr>
                <w:p>
                  <w:pPr>
                    <w:pStyle w:val="56"/>
                    <w:ind w:firstLine="0" w:firstLineChars="0"/>
                    <w:jc w:val="center"/>
                    <w:rPr>
                      <w:rFonts w:ascii="Times New Roman" w:hAnsi="Times New Roman" w:cs="Times New Roman"/>
                      <w:b/>
                      <w:bCs/>
                      <w:sz w:val="21"/>
                      <w:szCs w:val="21"/>
                      <w:u w:val="single"/>
                    </w:rPr>
                  </w:pPr>
                  <w:r>
                    <w:rPr>
                      <w:rFonts w:ascii="Times New Roman" w:hAnsi="Times New Roman" w:cs="Times New Roman"/>
                      <w:b/>
                      <w:bCs/>
                      <w:sz w:val="21"/>
                      <w:szCs w:val="21"/>
                      <w:u w:val="single"/>
                    </w:rPr>
                    <w:t>设备数量</w:t>
                  </w:r>
                </w:p>
              </w:tc>
              <w:tc>
                <w:tcPr>
                  <w:tcW w:w="1457" w:type="dxa"/>
                  <w:tcBorders>
                    <w:tl2br w:val="nil"/>
                    <w:tr2bl w:val="nil"/>
                  </w:tcBorders>
                  <w:shd w:val="clear" w:color="auto" w:fill="FFFFFF"/>
                </w:tcPr>
                <w:p>
                  <w:pPr>
                    <w:pStyle w:val="56"/>
                    <w:ind w:firstLine="0" w:firstLineChars="0"/>
                    <w:jc w:val="center"/>
                    <w:rPr>
                      <w:rFonts w:ascii="Times New Roman" w:hAnsi="Times New Roman" w:cs="Times New Roman"/>
                      <w:b/>
                      <w:bCs/>
                      <w:sz w:val="21"/>
                      <w:szCs w:val="21"/>
                      <w:u w:val="single"/>
                    </w:rPr>
                  </w:pPr>
                  <w:r>
                    <w:rPr>
                      <w:rFonts w:ascii="Times New Roman" w:hAnsi="Times New Roman" w:cs="Times New Roman"/>
                      <w:b/>
                      <w:bCs/>
                      <w:sz w:val="21"/>
                      <w:szCs w:val="21"/>
                      <w:u w:val="single"/>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340" w:hRule="exact"/>
                <w:jc w:val="center"/>
              </w:trPr>
              <w:tc>
                <w:tcPr>
                  <w:tcW w:w="1864" w:type="dxa"/>
                  <w:tcBorders>
                    <w:tl2br w:val="nil"/>
                    <w:tr2bl w:val="nil"/>
                  </w:tcBorders>
                  <w:shd w:val="clear" w:color="auto" w:fill="FFFFFF"/>
                  <w:vAlign w:val="center"/>
                </w:tcPr>
                <w:p>
                  <w:pPr>
                    <w:autoSpaceDN w:val="0"/>
                    <w:jc w:val="center"/>
                    <w:textAlignment w:val="center"/>
                    <w:rPr>
                      <w:szCs w:val="21"/>
                      <w:u w:val="single"/>
                    </w:rPr>
                  </w:pPr>
                  <w:r>
                    <w:rPr>
                      <w:szCs w:val="21"/>
                      <w:u w:val="single"/>
                    </w:rPr>
                    <w:t>围油栏</w:t>
                  </w:r>
                </w:p>
              </w:tc>
              <w:tc>
                <w:tcPr>
                  <w:tcW w:w="1317" w:type="dxa"/>
                  <w:tcBorders>
                    <w:tl2br w:val="nil"/>
                    <w:tr2bl w:val="nil"/>
                  </w:tcBorders>
                  <w:shd w:val="clear" w:color="auto" w:fill="FFFFFF"/>
                  <w:vAlign w:val="center"/>
                </w:tcPr>
                <w:p>
                  <w:pPr>
                    <w:autoSpaceDN w:val="0"/>
                    <w:jc w:val="center"/>
                    <w:textAlignment w:val="center"/>
                    <w:rPr>
                      <w:szCs w:val="21"/>
                      <w:u w:val="single"/>
                    </w:rPr>
                  </w:pPr>
                  <w:r>
                    <w:rPr>
                      <w:szCs w:val="21"/>
                      <w:u w:val="single"/>
                    </w:rPr>
                    <w:t>PVC浮子式</w:t>
                  </w:r>
                </w:p>
              </w:tc>
              <w:tc>
                <w:tcPr>
                  <w:tcW w:w="1696" w:type="dxa"/>
                  <w:tcBorders>
                    <w:tl2br w:val="nil"/>
                    <w:tr2bl w:val="nil"/>
                  </w:tcBorders>
                  <w:shd w:val="clear" w:color="auto" w:fill="FFFFFF"/>
                  <w:vAlign w:val="center"/>
                </w:tcPr>
                <w:p>
                  <w:pPr>
                    <w:autoSpaceDN w:val="0"/>
                    <w:jc w:val="center"/>
                    <w:textAlignment w:val="center"/>
                    <w:rPr>
                      <w:szCs w:val="21"/>
                      <w:u w:val="single"/>
                    </w:rPr>
                  </w:pPr>
                  <w:r>
                    <w:rPr>
                      <w:szCs w:val="21"/>
                      <w:u w:val="single"/>
                    </w:rPr>
                    <w:t>m</w:t>
                  </w:r>
                </w:p>
              </w:tc>
              <w:tc>
                <w:tcPr>
                  <w:tcW w:w="1443" w:type="dxa"/>
                  <w:tcBorders>
                    <w:tl2br w:val="nil"/>
                    <w:tr2bl w:val="nil"/>
                  </w:tcBorders>
                  <w:shd w:val="clear" w:color="auto" w:fill="FFFFFF"/>
                </w:tcPr>
                <w:p>
                  <w:pPr>
                    <w:pStyle w:val="56"/>
                    <w:ind w:firstLine="0" w:firstLineChars="0"/>
                    <w:jc w:val="center"/>
                    <w:rPr>
                      <w:rFonts w:ascii="Times New Roman" w:hAnsi="Times New Roman" w:cs="Times New Roman"/>
                      <w:sz w:val="21"/>
                      <w:szCs w:val="21"/>
                      <w:u w:val="single"/>
                    </w:rPr>
                  </w:pPr>
                  <w:r>
                    <w:rPr>
                      <w:rFonts w:ascii="Times New Roman" w:hAnsi="Times New Roman" w:cs="Times New Roman"/>
                      <w:sz w:val="21"/>
                      <w:szCs w:val="21"/>
                      <w:u w:val="single"/>
                    </w:rPr>
                    <w:t>800</w:t>
                  </w:r>
                </w:p>
              </w:tc>
              <w:tc>
                <w:tcPr>
                  <w:tcW w:w="1457" w:type="dxa"/>
                  <w:tcBorders>
                    <w:tl2br w:val="nil"/>
                    <w:tr2bl w:val="nil"/>
                  </w:tcBorders>
                  <w:shd w:val="clear" w:color="auto" w:fill="FFFFFF"/>
                </w:tcPr>
                <w:p>
                  <w:pPr>
                    <w:pStyle w:val="56"/>
                    <w:ind w:firstLine="420"/>
                    <w:jc w:val="center"/>
                    <w:rPr>
                      <w:rFonts w:ascii="Times New Roman" w:hAnsi="Times New Roman" w:cs="Times New Roman"/>
                      <w:sz w:val="21"/>
                      <w:szCs w:val="21"/>
                      <w:u w:val="singl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354" w:hRule="exact"/>
                <w:jc w:val="center"/>
              </w:trPr>
              <w:tc>
                <w:tcPr>
                  <w:tcW w:w="1864" w:type="dxa"/>
                  <w:tcBorders>
                    <w:tl2br w:val="nil"/>
                    <w:tr2bl w:val="nil"/>
                  </w:tcBorders>
                  <w:shd w:val="clear" w:color="auto" w:fill="FFFFFF"/>
                  <w:vAlign w:val="center"/>
                </w:tcPr>
                <w:p>
                  <w:pPr>
                    <w:autoSpaceDN w:val="0"/>
                    <w:jc w:val="center"/>
                    <w:textAlignment w:val="center"/>
                    <w:rPr>
                      <w:szCs w:val="21"/>
                      <w:u w:val="single"/>
                    </w:rPr>
                  </w:pPr>
                  <w:r>
                    <w:rPr>
                      <w:szCs w:val="21"/>
                      <w:u w:val="single"/>
                    </w:rPr>
                    <w:t>吸油棉</w:t>
                  </w:r>
                </w:p>
              </w:tc>
              <w:tc>
                <w:tcPr>
                  <w:tcW w:w="1317" w:type="dxa"/>
                  <w:tcBorders>
                    <w:tl2br w:val="nil"/>
                    <w:tr2bl w:val="nil"/>
                  </w:tcBorders>
                  <w:shd w:val="clear" w:color="auto" w:fill="FFFFFF"/>
                  <w:vAlign w:val="center"/>
                </w:tcPr>
                <w:p>
                  <w:pPr>
                    <w:autoSpaceDN w:val="0"/>
                    <w:jc w:val="center"/>
                    <w:textAlignment w:val="center"/>
                    <w:rPr>
                      <w:szCs w:val="21"/>
                      <w:u w:val="single"/>
                    </w:rPr>
                  </w:pPr>
                  <w:r>
                    <w:rPr>
                      <w:szCs w:val="21"/>
                      <w:u w:val="single"/>
                    </w:rPr>
                    <w:t>/</w:t>
                  </w:r>
                </w:p>
              </w:tc>
              <w:tc>
                <w:tcPr>
                  <w:tcW w:w="1696" w:type="dxa"/>
                  <w:tcBorders>
                    <w:tl2br w:val="nil"/>
                    <w:tr2bl w:val="nil"/>
                  </w:tcBorders>
                  <w:shd w:val="clear" w:color="auto" w:fill="FFFFFF"/>
                  <w:vAlign w:val="center"/>
                </w:tcPr>
                <w:p>
                  <w:pPr>
                    <w:autoSpaceDN w:val="0"/>
                    <w:jc w:val="center"/>
                    <w:textAlignment w:val="center"/>
                    <w:rPr>
                      <w:szCs w:val="21"/>
                      <w:u w:val="single"/>
                    </w:rPr>
                  </w:pPr>
                  <w:r>
                    <w:rPr>
                      <w:szCs w:val="21"/>
                      <w:u w:val="single"/>
                    </w:rPr>
                    <w:t>m</w:t>
                  </w:r>
                </w:p>
              </w:tc>
              <w:tc>
                <w:tcPr>
                  <w:tcW w:w="1443" w:type="dxa"/>
                  <w:tcBorders>
                    <w:tl2br w:val="nil"/>
                    <w:tr2bl w:val="nil"/>
                  </w:tcBorders>
                  <w:shd w:val="clear" w:color="auto" w:fill="FFFFFF"/>
                </w:tcPr>
                <w:p>
                  <w:pPr>
                    <w:pStyle w:val="56"/>
                    <w:ind w:firstLine="0" w:firstLineChars="0"/>
                    <w:jc w:val="center"/>
                    <w:rPr>
                      <w:rFonts w:ascii="Times New Roman" w:hAnsi="Times New Roman" w:cs="Times New Roman"/>
                      <w:sz w:val="21"/>
                      <w:szCs w:val="21"/>
                      <w:u w:val="single"/>
                    </w:rPr>
                  </w:pPr>
                  <w:r>
                    <w:rPr>
                      <w:rFonts w:ascii="Times New Roman" w:hAnsi="Times New Roman" w:cs="Times New Roman"/>
                      <w:sz w:val="21"/>
                      <w:szCs w:val="21"/>
                      <w:u w:val="single"/>
                    </w:rPr>
                    <w:t>500</w:t>
                  </w:r>
                </w:p>
              </w:tc>
              <w:tc>
                <w:tcPr>
                  <w:tcW w:w="1457" w:type="dxa"/>
                  <w:tcBorders>
                    <w:tl2br w:val="nil"/>
                    <w:tr2bl w:val="nil"/>
                  </w:tcBorders>
                  <w:shd w:val="clear" w:color="auto" w:fill="FFFFFF"/>
                </w:tcPr>
                <w:p>
                  <w:pPr>
                    <w:pStyle w:val="56"/>
                    <w:ind w:firstLine="420"/>
                    <w:jc w:val="center"/>
                    <w:rPr>
                      <w:rFonts w:ascii="Times New Roman" w:hAnsi="Times New Roman" w:cs="Times New Roman"/>
                      <w:sz w:val="21"/>
                      <w:szCs w:val="21"/>
                      <w:u w:val="singl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354" w:hRule="exact"/>
                <w:jc w:val="center"/>
              </w:trPr>
              <w:tc>
                <w:tcPr>
                  <w:tcW w:w="1864" w:type="dxa"/>
                  <w:tcBorders>
                    <w:tl2br w:val="nil"/>
                    <w:tr2bl w:val="nil"/>
                  </w:tcBorders>
                  <w:shd w:val="clear" w:color="auto" w:fill="FFFFFF"/>
                  <w:vAlign w:val="center"/>
                </w:tcPr>
                <w:p>
                  <w:pPr>
                    <w:autoSpaceDN w:val="0"/>
                    <w:jc w:val="center"/>
                    <w:textAlignment w:val="center"/>
                    <w:rPr>
                      <w:szCs w:val="21"/>
                      <w:u w:val="single"/>
                    </w:rPr>
                  </w:pPr>
                  <w:r>
                    <w:rPr>
                      <w:szCs w:val="21"/>
                      <w:u w:val="single"/>
                    </w:rPr>
                    <w:t>吸油索</w:t>
                  </w:r>
                </w:p>
              </w:tc>
              <w:tc>
                <w:tcPr>
                  <w:tcW w:w="1317" w:type="dxa"/>
                  <w:tcBorders>
                    <w:tl2br w:val="nil"/>
                    <w:tr2bl w:val="nil"/>
                  </w:tcBorders>
                  <w:shd w:val="clear" w:color="auto" w:fill="FFFFFF"/>
                  <w:vAlign w:val="center"/>
                </w:tcPr>
                <w:p>
                  <w:pPr>
                    <w:autoSpaceDN w:val="0"/>
                    <w:jc w:val="center"/>
                    <w:textAlignment w:val="center"/>
                    <w:rPr>
                      <w:szCs w:val="21"/>
                      <w:u w:val="single"/>
                    </w:rPr>
                  </w:pPr>
                  <w:r>
                    <w:rPr>
                      <w:szCs w:val="21"/>
                      <w:u w:val="single"/>
                    </w:rPr>
                    <w:t>/</w:t>
                  </w:r>
                </w:p>
              </w:tc>
              <w:tc>
                <w:tcPr>
                  <w:tcW w:w="1696" w:type="dxa"/>
                  <w:tcBorders>
                    <w:tl2br w:val="nil"/>
                    <w:tr2bl w:val="nil"/>
                  </w:tcBorders>
                  <w:shd w:val="clear" w:color="auto" w:fill="FFFFFF"/>
                  <w:vAlign w:val="center"/>
                </w:tcPr>
                <w:p>
                  <w:pPr>
                    <w:autoSpaceDN w:val="0"/>
                    <w:jc w:val="center"/>
                    <w:textAlignment w:val="center"/>
                    <w:rPr>
                      <w:szCs w:val="21"/>
                      <w:u w:val="single"/>
                    </w:rPr>
                  </w:pPr>
                  <w:r>
                    <w:rPr>
                      <w:szCs w:val="21"/>
                      <w:u w:val="single"/>
                    </w:rPr>
                    <w:t>m</w:t>
                  </w:r>
                </w:p>
              </w:tc>
              <w:tc>
                <w:tcPr>
                  <w:tcW w:w="1443" w:type="dxa"/>
                  <w:tcBorders>
                    <w:tl2br w:val="nil"/>
                    <w:tr2bl w:val="nil"/>
                  </w:tcBorders>
                  <w:shd w:val="clear" w:color="auto" w:fill="FFFFFF"/>
                </w:tcPr>
                <w:p>
                  <w:pPr>
                    <w:pStyle w:val="56"/>
                    <w:ind w:firstLine="0" w:firstLineChars="0"/>
                    <w:jc w:val="center"/>
                    <w:rPr>
                      <w:rFonts w:ascii="Times New Roman" w:hAnsi="Times New Roman" w:cs="Times New Roman"/>
                      <w:sz w:val="21"/>
                      <w:szCs w:val="21"/>
                      <w:u w:val="single"/>
                    </w:rPr>
                  </w:pPr>
                  <w:r>
                    <w:rPr>
                      <w:rFonts w:ascii="Times New Roman" w:hAnsi="Times New Roman" w:cs="Times New Roman"/>
                      <w:sz w:val="21"/>
                      <w:szCs w:val="21"/>
                      <w:u w:val="single"/>
                    </w:rPr>
                    <w:t>300</w:t>
                  </w:r>
                </w:p>
              </w:tc>
              <w:tc>
                <w:tcPr>
                  <w:tcW w:w="1457" w:type="dxa"/>
                  <w:tcBorders>
                    <w:tl2br w:val="nil"/>
                    <w:tr2bl w:val="nil"/>
                  </w:tcBorders>
                  <w:shd w:val="clear" w:color="auto" w:fill="FFFFFF"/>
                </w:tcPr>
                <w:p>
                  <w:pPr>
                    <w:pStyle w:val="56"/>
                    <w:ind w:firstLine="420"/>
                    <w:jc w:val="center"/>
                    <w:rPr>
                      <w:rFonts w:ascii="Times New Roman" w:hAnsi="Times New Roman" w:cs="Times New Roman"/>
                      <w:sz w:val="21"/>
                      <w:szCs w:val="21"/>
                      <w:u w:val="singl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rPr>
                <w:trHeight w:val="363" w:hRule="exact"/>
                <w:jc w:val="center"/>
              </w:trPr>
              <w:tc>
                <w:tcPr>
                  <w:tcW w:w="1864" w:type="dxa"/>
                  <w:tcBorders>
                    <w:tl2br w:val="nil"/>
                    <w:tr2bl w:val="nil"/>
                  </w:tcBorders>
                  <w:shd w:val="clear" w:color="auto" w:fill="FFFFFF"/>
                </w:tcPr>
                <w:p>
                  <w:pPr>
                    <w:pStyle w:val="56"/>
                    <w:ind w:firstLine="0" w:firstLineChars="0"/>
                    <w:jc w:val="center"/>
                    <w:rPr>
                      <w:rFonts w:ascii="Times New Roman" w:hAnsi="Times New Roman" w:cs="Times New Roman"/>
                      <w:sz w:val="21"/>
                      <w:szCs w:val="21"/>
                      <w:u w:val="single"/>
                    </w:rPr>
                  </w:pPr>
                  <w:r>
                    <w:rPr>
                      <w:rFonts w:ascii="Times New Roman" w:hAnsi="Times New Roman" w:cs="Times New Roman"/>
                      <w:sz w:val="21"/>
                      <w:szCs w:val="21"/>
                      <w:u w:val="single"/>
                    </w:rPr>
                    <w:t>通讯设备等</w:t>
                  </w:r>
                </w:p>
              </w:tc>
              <w:tc>
                <w:tcPr>
                  <w:tcW w:w="1317" w:type="dxa"/>
                  <w:tcBorders>
                    <w:tl2br w:val="nil"/>
                    <w:tr2bl w:val="nil"/>
                  </w:tcBorders>
                  <w:shd w:val="clear" w:color="auto" w:fill="FFFFFF"/>
                </w:tcPr>
                <w:p>
                  <w:pPr>
                    <w:pStyle w:val="56"/>
                    <w:ind w:firstLine="0" w:firstLineChars="0"/>
                    <w:jc w:val="center"/>
                    <w:rPr>
                      <w:rFonts w:ascii="Times New Roman" w:hAnsi="Times New Roman" w:cs="Times New Roman"/>
                      <w:sz w:val="21"/>
                      <w:szCs w:val="21"/>
                      <w:u w:val="single"/>
                    </w:rPr>
                  </w:pPr>
                  <w:r>
                    <w:rPr>
                      <w:rFonts w:ascii="Times New Roman" w:hAnsi="Times New Roman" w:cs="Times New Roman"/>
                      <w:sz w:val="21"/>
                      <w:szCs w:val="21"/>
                      <w:u w:val="single"/>
                    </w:rPr>
                    <w:t>/</w:t>
                  </w:r>
                </w:p>
              </w:tc>
              <w:tc>
                <w:tcPr>
                  <w:tcW w:w="1696" w:type="dxa"/>
                  <w:tcBorders>
                    <w:tl2br w:val="nil"/>
                    <w:tr2bl w:val="nil"/>
                  </w:tcBorders>
                  <w:shd w:val="clear" w:color="auto" w:fill="FFFFFF"/>
                </w:tcPr>
                <w:p>
                  <w:pPr>
                    <w:pStyle w:val="56"/>
                    <w:ind w:firstLine="0" w:firstLineChars="0"/>
                    <w:jc w:val="center"/>
                    <w:rPr>
                      <w:rFonts w:ascii="Times New Roman" w:hAnsi="Times New Roman" w:cs="Times New Roman"/>
                      <w:sz w:val="21"/>
                      <w:szCs w:val="21"/>
                      <w:u w:val="single"/>
                    </w:rPr>
                  </w:pPr>
                  <w:r>
                    <w:rPr>
                      <w:rFonts w:ascii="Times New Roman" w:hAnsi="Times New Roman" w:cs="Times New Roman"/>
                      <w:sz w:val="21"/>
                      <w:szCs w:val="21"/>
                      <w:u w:val="single"/>
                    </w:rPr>
                    <w:t>套</w:t>
                  </w:r>
                </w:p>
              </w:tc>
              <w:tc>
                <w:tcPr>
                  <w:tcW w:w="1443" w:type="dxa"/>
                  <w:tcBorders>
                    <w:tl2br w:val="nil"/>
                    <w:tr2bl w:val="nil"/>
                  </w:tcBorders>
                  <w:shd w:val="clear" w:color="auto" w:fill="FFFFFF"/>
                </w:tcPr>
                <w:p>
                  <w:pPr>
                    <w:pStyle w:val="56"/>
                    <w:ind w:firstLine="0" w:firstLineChars="0"/>
                    <w:jc w:val="center"/>
                    <w:rPr>
                      <w:rFonts w:ascii="Times New Roman" w:hAnsi="Times New Roman" w:cs="Times New Roman"/>
                      <w:sz w:val="21"/>
                      <w:szCs w:val="21"/>
                      <w:u w:val="single"/>
                    </w:rPr>
                  </w:pPr>
                  <w:r>
                    <w:rPr>
                      <w:rFonts w:ascii="Times New Roman" w:hAnsi="Times New Roman" w:cs="Times New Roman"/>
                      <w:sz w:val="21"/>
                      <w:szCs w:val="21"/>
                      <w:u w:val="single"/>
                    </w:rPr>
                    <w:t>1</w:t>
                  </w:r>
                </w:p>
              </w:tc>
              <w:tc>
                <w:tcPr>
                  <w:tcW w:w="1457" w:type="dxa"/>
                  <w:tcBorders>
                    <w:tl2br w:val="nil"/>
                    <w:tr2bl w:val="nil"/>
                  </w:tcBorders>
                  <w:shd w:val="clear" w:color="auto" w:fill="FFFFFF"/>
                </w:tcPr>
                <w:p>
                  <w:pPr>
                    <w:pStyle w:val="56"/>
                    <w:ind w:firstLine="420"/>
                    <w:jc w:val="center"/>
                    <w:rPr>
                      <w:rFonts w:ascii="Times New Roman" w:hAnsi="Times New Roman" w:cs="Times New Roman"/>
                      <w:sz w:val="21"/>
                      <w:szCs w:val="21"/>
                      <w:u w:val="single"/>
                    </w:rPr>
                  </w:pPr>
                </w:p>
              </w:tc>
            </w:tr>
          </w:tbl>
          <w:p>
            <w:pPr>
              <w:pStyle w:val="80"/>
              <w:spacing w:line="465" w:lineRule="exact"/>
              <w:ind w:firstLine="460"/>
              <w:rPr>
                <w:color w:val="000000"/>
                <w:sz w:val="24"/>
                <w:szCs w:val="24"/>
                <w:u w:val="single"/>
              </w:rPr>
            </w:pPr>
            <w:r>
              <w:rPr>
                <w:color w:val="000000"/>
                <w:sz w:val="24"/>
                <w:szCs w:val="24"/>
                <w:u w:val="single"/>
              </w:rPr>
              <w:t>项目在发生溢油事故时，应及时通知下游企事业单位做好停止取水的应急准 备,并在溢油点下游设置应急监测断面。此外，及时在事故发生点周围布设围栏, 围栏布置的范围可根据扩展范围确定,将溢油事故污染控制在围栏包围的水域范 围内。同时启动应急预案，釆用收油机进行溢油回收，消除水面残液，可最大限 度地控制油膜向下游漂移，最大程度减少溢油对下游的影响，在溢油后及时喷洒 溢油分散剂，消除对水面的石油类污染。</w:t>
            </w:r>
          </w:p>
          <w:p>
            <w:pPr>
              <w:pStyle w:val="81"/>
              <w:keepNext/>
              <w:keepLines/>
              <w:spacing w:after="0" w:line="466" w:lineRule="exact"/>
              <w:ind w:firstLine="620"/>
              <w:rPr>
                <w:u w:val="single"/>
              </w:rPr>
            </w:pPr>
            <w:r>
              <w:rPr>
                <w:color w:val="000000"/>
                <w:u w:val="single"/>
              </w:rPr>
              <w:t>船舶生活垃圾泄漏风险防范措施</w:t>
            </w:r>
          </w:p>
          <w:p>
            <w:pPr>
              <w:pStyle w:val="80"/>
              <w:spacing w:line="360" w:lineRule="auto"/>
              <w:ind w:firstLine="460"/>
              <w:rPr>
                <w:u w:val="single"/>
              </w:rPr>
            </w:pPr>
            <w:r>
              <w:rPr>
                <w:color w:val="000000"/>
                <w:sz w:val="24"/>
                <w:szCs w:val="24"/>
                <w:u w:val="single"/>
              </w:rPr>
              <w:t>为</w:t>
            </w:r>
            <w:r>
              <w:rPr>
                <w:color w:val="000000"/>
                <w:sz w:val="20"/>
                <w:u w:val="single"/>
              </w:rPr>
              <w:t>7</w:t>
            </w:r>
            <w:r>
              <w:rPr>
                <w:color w:val="000000"/>
                <w:sz w:val="24"/>
                <w:szCs w:val="24"/>
                <w:u w:val="single"/>
              </w:rPr>
              <w:t>防止船舶生活垃圾在转运过程中撤落，收集船釆用钢制垃圾箱盛装垃圾 袋。利用蹇船上的浮式起重机将整个钢制垃圾箱吊转至斜坡道上垃圾转运箱内， 再利用绞车提升至斜坡道顶端,通过在陆域平台上的轮胎起重机整个吊至陆域平 台垃圾压缩车旁。整个吊装过程垃圾均位于防渗、防漏的钢制垃圾箱内，不易撤 落垃圾至作业区水域。</w:t>
            </w:r>
          </w:p>
          <w:p>
            <w:pPr>
              <w:pStyle w:val="56"/>
              <w:ind w:firstLine="480"/>
              <w:rPr>
                <w:u w:val="single"/>
              </w:rPr>
            </w:pPr>
            <w:r>
              <w:rPr>
                <w:color w:val="000000"/>
                <w:szCs w:val="24"/>
                <w:u w:val="single"/>
              </w:rPr>
              <w:t>环评要求对架空斜坡道两侧铺设密目网,及时清理洒落垃圾;在水位抬升前, 及时对即将淹没的斜坡道垃圾装卸作业区进行清理。一旦发生船舶生活垃圾在卸 船过程中发生遗撤，密目网会拦截住垃圾，阻止其进入水域甚至漂散至更远水域 区域。在釆取防治措施和加强工作人员操作培训后，事故发生</w:t>
            </w:r>
            <w:r>
              <w:rPr>
                <w:u w:val="single"/>
              </w:rPr>
              <w:t>的可能性较小，且 对水环境的影响较小。</w:t>
            </w:r>
          </w:p>
          <w:p>
            <w:pPr>
              <w:pStyle w:val="56"/>
              <w:numPr>
                <w:ilvl w:val="0"/>
                <w:numId w:val="19"/>
              </w:numPr>
              <w:ind w:left="479" w:leftChars="228" w:firstLine="0" w:firstLineChars="0"/>
              <w:rPr>
                <w:u w:val="single"/>
              </w:rPr>
            </w:pPr>
            <w:r>
              <w:rPr>
                <w:u w:val="single"/>
              </w:rPr>
              <w:t>船舶生活垃圾泄漏风险防范措施</w:t>
            </w:r>
          </w:p>
          <w:p>
            <w:pPr>
              <w:pStyle w:val="56"/>
              <w:ind w:firstLine="480"/>
              <w:rPr>
                <w:u w:val="single"/>
              </w:rPr>
            </w:pPr>
            <w:r>
              <w:rPr>
                <w:rFonts w:hint="eastAsia"/>
                <w:u w:val="single"/>
              </w:rPr>
              <w:t>为了防止船舶生活垃圾在转运过程中撒落,收集船采用钢制垃圾箱盛装垃圾袋。利用起重机将整个钢制垃圾箱吊转至斜坡道上垃圾转运箱内，再利用绞车提升至斜坡道顶端,通过在陆域平台上的轮胎起重机整个吊至陆域平台垃圾压缩车旁。整个吊装过程垃圾均位于防渗、防漏的钢制垃圾箱内，不易撒落垃圾至作业区水域。</w:t>
            </w:r>
          </w:p>
          <w:p>
            <w:pPr>
              <w:spacing w:line="360" w:lineRule="auto"/>
              <w:ind w:firstLine="480" w:firstLineChars="200"/>
              <w:rPr>
                <w:sz w:val="24"/>
                <w:szCs w:val="24"/>
                <w:u w:val="single"/>
              </w:rPr>
            </w:pPr>
            <w:r>
              <w:rPr>
                <w:sz w:val="24"/>
                <w:szCs w:val="24"/>
                <w:u w:val="single"/>
              </w:rPr>
              <w:t>环评要求对架空斜坡道两侧铺设密目网</w:t>
            </w:r>
            <w:r>
              <w:rPr>
                <w:rFonts w:hint="eastAsia"/>
                <w:sz w:val="24"/>
                <w:szCs w:val="24"/>
                <w:u w:val="single"/>
              </w:rPr>
              <w:t>，</w:t>
            </w:r>
            <w:r>
              <w:rPr>
                <w:sz w:val="24"/>
                <w:szCs w:val="24"/>
                <w:u w:val="single"/>
              </w:rPr>
              <w:t>及时清理洒落垃圾;在水位抬升前，及时对即将淹没的斜坡道垃圾装卸作业区进行清理。一旦发生船舶生活垃圾在卸船过程中发生遗撒，密目网会拦截住垃圾，阻止其进入水域甚至漂散至更远水域区域。在采取防治措施和加强工作人员操作培训后，事故发生的可能性较小，且对水环境的影响较小。</w:t>
            </w:r>
            <w:r>
              <w:rPr>
                <w:sz w:val="24"/>
                <w:szCs w:val="24"/>
                <w:u w:val="single"/>
              </w:rPr>
              <w:br w:type="textWrapping"/>
            </w:r>
            <w:r>
              <w:rPr>
                <w:rFonts w:hint="eastAsia"/>
                <w:sz w:val="24"/>
                <w:szCs w:val="24"/>
                <w:u w:val="single"/>
              </w:rPr>
              <w:t xml:space="preserve">   （3）船舶污废水管道发生泄漏风险防范措施</w:t>
            </w:r>
          </w:p>
          <w:p>
            <w:pPr>
              <w:pStyle w:val="2"/>
              <w:spacing w:line="360" w:lineRule="auto"/>
              <w:ind w:firstLine="480" w:firstLineChars="200"/>
              <w:rPr>
                <w:sz w:val="24"/>
                <w:szCs w:val="24"/>
                <w:u w:val="single"/>
              </w:rPr>
            </w:pPr>
            <w:r>
              <w:rPr>
                <w:sz w:val="24"/>
                <w:szCs w:val="24"/>
                <w:u w:val="single"/>
              </w:rPr>
              <w:t>为了减少本项目船舶污废水输送管道泄漏的风险﹐船舶污废水与斜坡道专用管道对接或拆卸时，在斜坡道专用管道法兰下方设置托盘﹔在水位抬升前，及时对即将淹没的斜坡道进行清理;一旦发生此类事故，启动船舶污废水泄漏应急预案，工作人员应立马排查输送管道泄漏点，及时对泄漏点进行阻塞、抢救，并立即将泄漏的污废水用围栏收集，将泄漏物收集上岸进行合理有效地处理。</w:t>
            </w:r>
            <w:r>
              <w:rPr>
                <w:sz w:val="24"/>
                <w:szCs w:val="24"/>
                <w:u w:val="single"/>
              </w:rPr>
              <w:br w:type="textWrapping"/>
            </w:r>
            <w:r>
              <w:rPr>
                <w:rFonts w:hint="eastAsia"/>
                <w:sz w:val="24"/>
                <w:szCs w:val="24"/>
                <w:u w:val="single"/>
              </w:rPr>
              <w:t xml:space="preserve">  （4）水生保护动植物的风险防范措施</w:t>
            </w:r>
          </w:p>
          <w:p>
            <w:pPr>
              <w:spacing w:line="360" w:lineRule="auto"/>
              <w:ind w:firstLine="480" w:firstLineChars="200"/>
              <w:rPr>
                <w:sz w:val="24"/>
                <w:szCs w:val="24"/>
                <w:u w:val="single"/>
              </w:rPr>
            </w:pPr>
            <w:r>
              <w:rPr>
                <w:rFonts w:hint="eastAsia"/>
                <w:sz w:val="24"/>
                <w:szCs w:val="24"/>
                <w:u w:val="single"/>
              </w:rPr>
              <w:t>1）</w:t>
            </w:r>
            <w:r>
              <w:rPr>
                <w:sz w:val="24"/>
                <w:szCs w:val="24"/>
                <w:u w:val="single"/>
              </w:rPr>
              <w:t>加强施工区域内的水生动物现场监测工作</w:t>
            </w:r>
          </w:p>
          <w:p>
            <w:pPr>
              <w:spacing w:line="360" w:lineRule="auto"/>
              <w:ind w:firstLine="480" w:firstLineChars="200"/>
              <w:rPr>
                <w:sz w:val="24"/>
                <w:szCs w:val="24"/>
                <w:u w:val="single"/>
              </w:rPr>
            </w:pPr>
            <w:r>
              <w:rPr>
                <w:sz w:val="24"/>
                <w:szCs w:val="24"/>
                <w:u w:val="single"/>
              </w:rPr>
              <w:t>加强对保护区的保护工作，制定水生生物保护规程，使施工人员在施工中能自觉保护珍稀特有鱼类，并遵守相关的生态保护规定。严禁施工人员在施工</w:t>
            </w:r>
            <w:r>
              <w:rPr>
                <w:rFonts w:hint="eastAsia"/>
                <w:sz w:val="24"/>
                <w:szCs w:val="24"/>
                <w:u w:val="single"/>
              </w:rPr>
              <w:t>湖</w:t>
            </w:r>
            <w:r>
              <w:rPr>
                <w:sz w:val="24"/>
                <w:szCs w:val="24"/>
                <w:u w:val="single"/>
              </w:rPr>
              <w:t>段进行捕鱼或从事其它有碍生态环境及鱼类保护的活动。加强对工程河段周围水体的巡查，采用电子驱鱼设施，将达氏鲸、胭脂鱼等珍稀特有鱼类提前驱离施工范围。</w:t>
            </w:r>
          </w:p>
          <w:p>
            <w:pPr>
              <w:pStyle w:val="2"/>
              <w:numPr>
                <w:ilvl w:val="0"/>
                <w:numId w:val="15"/>
              </w:numPr>
              <w:ind w:left="420"/>
              <w:rPr>
                <w:sz w:val="24"/>
                <w:szCs w:val="24"/>
                <w:u w:val="single"/>
              </w:rPr>
            </w:pPr>
            <w:r>
              <w:rPr>
                <w:rFonts w:hint="eastAsia"/>
                <w:sz w:val="24"/>
                <w:szCs w:val="24"/>
                <w:u w:val="single"/>
              </w:rPr>
              <w:t>制定并落实水生动物紧急救护预案</w:t>
            </w:r>
          </w:p>
          <w:p>
            <w:pPr>
              <w:spacing w:line="360" w:lineRule="auto"/>
              <w:ind w:firstLine="480" w:firstLineChars="200"/>
              <w:rPr>
                <w:sz w:val="24"/>
                <w:szCs w:val="24"/>
                <w:u w:val="single"/>
              </w:rPr>
            </w:pPr>
            <w:r>
              <w:rPr>
                <w:rFonts w:hint="eastAsia"/>
                <w:sz w:val="24"/>
                <w:szCs w:val="24"/>
                <w:u w:val="single"/>
              </w:rPr>
              <w:t>营运</w:t>
            </w:r>
            <w:r>
              <w:rPr>
                <w:sz w:val="24"/>
                <w:szCs w:val="24"/>
                <w:u w:val="single"/>
              </w:rPr>
              <w:t>过程中，若发生直接伤害达氏碍、胭脂鱼等珍稀特有鱼类及其它保护水生动物的事件，施工方应及时向保护区管理部门报告，以便采取有效措施，对受伤珍稀特有鱼类进行救治救护，受伤珍稀特有鱼类鱼体恢复后，视具体情况确定被救护的鱼类在救护中心迁地保护，还是放回保护区水域。施工方应配备必要的救护设备，如:运输设备、增氧设备、药品等医疗卫生设备和各种网具等。</w:t>
            </w:r>
          </w:p>
          <w:p>
            <w:pPr>
              <w:pStyle w:val="2"/>
              <w:spacing w:line="360" w:lineRule="auto"/>
              <w:ind w:firstLine="480" w:firstLineChars="200"/>
              <w:rPr>
                <w:sz w:val="24"/>
                <w:szCs w:val="24"/>
                <w:u w:val="single"/>
              </w:rPr>
            </w:pPr>
            <w:r>
              <w:rPr>
                <w:rFonts w:hint="eastAsia"/>
                <w:sz w:val="24"/>
                <w:szCs w:val="24"/>
                <w:u w:val="single"/>
              </w:rPr>
              <w:t>3）</w:t>
            </w:r>
            <w:r>
              <w:rPr>
                <w:sz w:val="24"/>
                <w:szCs w:val="24"/>
                <w:u w:val="single"/>
              </w:rPr>
              <w:t>建立事故报告制度在开展水生动物救护的同时，应及时向各级渔政、生环部门报告备案，报告的内容应主要包括发生水生动物意外伤害事故的位置、动物种类、受伤情况、救护措施等。</w:t>
            </w:r>
          </w:p>
          <w:p>
            <w:pPr>
              <w:adjustRightInd w:val="0"/>
              <w:snapToGrid w:val="0"/>
              <w:spacing w:line="360" w:lineRule="auto"/>
              <w:rPr>
                <w:b/>
                <w:bCs/>
                <w:sz w:val="24"/>
              </w:rPr>
            </w:pPr>
            <w:r>
              <w:rPr>
                <w:rFonts w:hint="eastAsia"/>
                <w:b/>
                <w:bCs/>
                <w:sz w:val="24"/>
              </w:rPr>
              <w:t>7、环境管理及监测计划</w:t>
            </w:r>
          </w:p>
          <w:p>
            <w:pPr>
              <w:widowControl/>
              <w:spacing w:line="360" w:lineRule="auto"/>
              <w:ind w:firstLine="470" w:firstLineChars="196"/>
              <w:jc w:val="left"/>
              <w:rPr>
                <w:sz w:val="24"/>
                <w:szCs w:val="24"/>
                <w:u w:val="single"/>
              </w:rPr>
            </w:pPr>
            <w:r>
              <w:rPr>
                <w:rFonts w:hint="eastAsia"/>
                <w:sz w:val="24"/>
                <w:szCs w:val="24"/>
                <w:u w:val="single"/>
              </w:rPr>
              <w:t>一、</w:t>
            </w:r>
            <w:r>
              <w:rPr>
                <w:sz w:val="24"/>
                <w:szCs w:val="24"/>
                <w:u w:val="single"/>
              </w:rPr>
              <w:t>环境管理</w:t>
            </w:r>
          </w:p>
          <w:p>
            <w:pPr>
              <w:spacing w:line="360" w:lineRule="auto"/>
              <w:ind w:firstLine="456" w:firstLineChars="200"/>
              <w:rPr>
                <w:spacing w:val="-6"/>
                <w:sz w:val="24"/>
                <w:u w:val="single"/>
              </w:rPr>
            </w:pPr>
            <w:r>
              <w:rPr>
                <w:rFonts w:hint="eastAsia"/>
                <w:spacing w:val="-6"/>
                <w:sz w:val="24"/>
                <w:u w:val="single"/>
              </w:rPr>
              <w:t>（1）环境管理建议</w:t>
            </w:r>
          </w:p>
          <w:p>
            <w:pPr>
              <w:spacing w:line="360" w:lineRule="auto"/>
              <w:ind w:firstLine="480" w:firstLineChars="200"/>
              <w:rPr>
                <w:sz w:val="24"/>
                <w:u w:val="single"/>
              </w:rPr>
            </w:pPr>
            <w:r>
              <w:rPr>
                <w:rFonts w:hint="eastAsia"/>
                <w:sz w:val="24"/>
                <w:u w:val="single"/>
              </w:rPr>
              <w:t>根据《中华人民共和国环境保护法》，建设单位必须把环境保护工作纳入计划，建立环境保护责任制度，采取有效措施防止生产建设或其它活动中产生的污染危害及对生态环境的破坏。本项目营运期，有废气、废水、固体废物、噪声产生，必须加强环境管理，建议该项目在物业管理机构中设置环保专职人员，具体负责该项目的环境管理工作，其主要职责是：</w:t>
            </w:r>
          </w:p>
          <w:p>
            <w:pPr>
              <w:spacing w:line="360" w:lineRule="auto"/>
              <w:ind w:firstLine="480" w:firstLineChars="200"/>
              <w:rPr>
                <w:sz w:val="24"/>
                <w:u w:val="single"/>
              </w:rPr>
            </w:pPr>
            <w:r>
              <w:rPr>
                <w:sz w:val="24"/>
                <w:u w:val="single"/>
              </w:rPr>
              <w:t xml:space="preserve">A </w:t>
            </w:r>
            <w:r>
              <w:rPr>
                <w:rFonts w:hint="eastAsia"/>
                <w:sz w:val="24"/>
                <w:u w:val="single"/>
              </w:rPr>
              <w:t>贯彻执行环境保护法规和标准；</w:t>
            </w:r>
          </w:p>
          <w:p>
            <w:pPr>
              <w:spacing w:line="360" w:lineRule="auto"/>
              <w:ind w:firstLine="480" w:firstLineChars="200"/>
              <w:rPr>
                <w:sz w:val="24"/>
                <w:u w:val="single"/>
              </w:rPr>
            </w:pPr>
            <w:r>
              <w:rPr>
                <w:sz w:val="24"/>
                <w:u w:val="single"/>
              </w:rPr>
              <w:t xml:space="preserve">B </w:t>
            </w:r>
            <w:r>
              <w:rPr>
                <w:rFonts w:hint="eastAsia"/>
                <w:sz w:val="24"/>
                <w:u w:val="single"/>
              </w:rPr>
              <w:t>组织制定本单位的环保规章制度，并监督执行；</w:t>
            </w:r>
          </w:p>
          <w:p>
            <w:pPr>
              <w:spacing w:line="360" w:lineRule="auto"/>
              <w:ind w:firstLine="480" w:firstLineChars="200"/>
              <w:rPr>
                <w:sz w:val="24"/>
                <w:u w:val="single"/>
              </w:rPr>
            </w:pPr>
            <w:r>
              <w:rPr>
                <w:sz w:val="24"/>
                <w:u w:val="single"/>
              </w:rPr>
              <w:t xml:space="preserve">C  </w:t>
            </w:r>
            <w:r>
              <w:rPr>
                <w:rFonts w:hint="eastAsia"/>
                <w:sz w:val="24"/>
                <w:u w:val="single"/>
              </w:rPr>
              <w:t>开展环境保护教育和培训，增强管理人员的环保意识；</w:t>
            </w:r>
          </w:p>
          <w:p>
            <w:pPr>
              <w:spacing w:line="360" w:lineRule="auto"/>
              <w:ind w:firstLine="480" w:firstLineChars="200"/>
              <w:rPr>
                <w:sz w:val="24"/>
                <w:u w:val="single"/>
              </w:rPr>
            </w:pPr>
            <w:r>
              <w:rPr>
                <w:sz w:val="24"/>
                <w:u w:val="single"/>
              </w:rPr>
              <w:t>D</w:t>
            </w:r>
            <w:r>
              <w:rPr>
                <w:rFonts w:hint="eastAsia"/>
                <w:sz w:val="24"/>
                <w:u w:val="single"/>
              </w:rPr>
              <w:t>保证各环境保护治理设施的正常运行，并负责污染事故的应急处理；</w:t>
            </w:r>
          </w:p>
          <w:p>
            <w:pPr>
              <w:spacing w:line="360" w:lineRule="auto"/>
              <w:ind w:firstLine="480" w:firstLineChars="200"/>
              <w:rPr>
                <w:sz w:val="24"/>
                <w:u w:val="single"/>
              </w:rPr>
            </w:pPr>
            <w:r>
              <w:rPr>
                <w:sz w:val="24"/>
                <w:u w:val="single"/>
              </w:rPr>
              <w:t xml:space="preserve">E </w:t>
            </w:r>
            <w:r>
              <w:rPr>
                <w:rFonts w:hint="eastAsia"/>
                <w:sz w:val="24"/>
                <w:u w:val="single"/>
              </w:rPr>
              <w:t>建立环境保护档案数据；</w:t>
            </w:r>
          </w:p>
          <w:p>
            <w:pPr>
              <w:spacing w:line="360" w:lineRule="auto"/>
              <w:ind w:firstLine="480" w:firstLineChars="200"/>
              <w:rPr>
                <w:sz w:val="24"/>
                <w:u w:val="single"/>
              </w:rPr>
            </w:pPr>
            <w:r>
              <w:rPr>
                <w:sz w:val="24"/>
                <w:u w:val="single"/>
              </w:rPr>
              <w:t xml:space="preserve">F </w:t>
            </w:r>
            <w:r>
              <w:rPr>
                <w:rFonts w:hint="eastAsia"/>
                <w:sz w:val="24"/>
                <w:u w:val="single"/>
              </w:rPr>
              <w:t>接受环保部门指导工作和监督、管理。</w:t>
            </w:r>
          </w:p>
          <w:p>
            <w:pPr>
              <w:spacing w:line="360" w:lineRule="auto"/>
              <w:ind w:firstLine="480" w:firstLineChars="200"/>
              <w:rPr>
                <w:sz w:val="24"/>
                <w:u w:val="single"/>
              </w:rPr>
            </w:pPr>
            <w:r>
              <w:rPr>
                <w:rFonts w:hint="eastAsia"/>
                <w:sz w:val="24"/>
                <w:u w:val="single"/>
              </w:rPr>
              <w:t>（2）营运期环境管理计划</w:t>
            </w:r>
          </w:p>
          <w:p>
            <w:pPr>
              <w:spacing w:line="360" w:lineRule="auto"/>
              <w:ind w:firstLine="480" w:firstLineChars="200"/>
              <w:rPr>
                <w:sz w:val="24"/>
                <w:u w:val="single"/>
              </w:rPr>
            </w:pPr>
            <w:r>
              <w:rPr>
                <w:rFonts w:hint="eastAsia" w:ascii="宋体" w:hAnsi="宋体"/>
                <w:sz w:val="24"/>
                <w:u w:val="single"/>
              </w:rPr>
              <w:t>①编制突发环境事件应急预案，</w:t>
            </w:r>
            <w:r>
              <w:rPr>
                <w:rFonts w:hint="eastAsia"/>
                <w:sz w:val="24"/>
                <w:u w:val="single"/>
              </w:rPr>
              <w:t>设立环境管理机构，配备专职环保管理人员，建立健全的环境管理制度。</w:t>
            </w:r>
          </w:p>
          <w:p>
            <w:pPr>
              <w:spacing w:line="360" w:lineRule="auto"/>
              <w:ind w:firstLine="480" w:firstLineChars="200"/>
              <w:rPr>
                <w:sz w:val="24"/>
                <w:u w:val="single"/>
              </w:rPr>
            </w:pPr>
            <w:r>
              <w:rPr>
                <w:rFonts w:hint="eastAsia" w:ascii="宋体" w:hAnsi="宋体"/>
                <w:sz w:val="24"/>
                <w:u w:val="single"/>
              </w:rPr>
              <w:t>②</w:t>
            </w:r>
            <w:r>
              <w:rPr>
                <w:rFonts w:hint="eastAsia"/>
                <w:sz w:val="24"/>
                <w:u w:val="single"/>
              </w:rPr>
              <w:t>做好环保设施的管理和维护工作，定期检查各设备运行情况，确保设备正常运行，确保污染物达标排放，杜绝污染事故发生。</w:t>
            </w:r>
          </w:p>
          <w:p>
            <w:pPr>
              <w:spacing w:line="360" w:lineRule="auto"/>
              <w:ind w:firstLine="480" w:firstLineChars="200"/>
              <w:rPr>
                <w:sz w:val="24"/>
                <w:u w:val="single"/>
              </w:rPr>
            </w:pPr>
            <w:r>
              <w:rPr>
                <w:rFonts w:hint="eastAsia" w:ascii="宋体" w:hAnsi="宋体"/>
                <w:sz w:val="24"/>
                <w:u w:val="single"/>
              </w:rPr>
              <w:t>③</w:t>
            </w:r>
            <w:r>
              <w:rPr>
                <w:rFonts w:hint="eastAsia"/>
                <w:sz w:val="24"/>
                <w:u w:val="single"/>
              </w:rPr>
              <w:t>制定运营期的环境监测计划，定期对污染物排放情况进行监测，并做好监测报告的存档备查工作，监测发现问题应立即整改。</w:t>
            </w:r>
          </w:p>
          <w:p>
            <w:pPr>
              <w:spacing w:line="360" w:lineRule="auto"/>
              <w:ind w:firstLine="480" w:firstLineChars="200"/>
              <w:rPr>
                <w:color w:val="auto"/>
                <w:sz w:val="24"/>
                <w:u w:val="single"/>
              </w:rPr>
            </w:pPr>
            <w:r>
              <w:rPr>
                <w:rFonts w:hint="eastAsia" w:ascii="宋体" w:hAnsi="宋体"/>
                <w:color w:val="auto"/>
                <w:sz w:val="24"/>
                <w:u w:val="single"/>
              </w:rPr>
              <w:t>④</w:t>
            </w:r>
            <w:r>
              <w:rPr>
                <w:rFonts w:hint="eastAsia"/>
                <w:color w:val="auto"/>
                <w:sz w:val="24"/>
                <w:u w:val="single"/>
              </w:rPr>
              <w:t>专门建立环保档案，重点做好废水、废机油的统计工作</w:t>
            </w:r>
            <w:r>
              <w:rPr>
                <w:rFonts w:hint="eastAsia"/>
                <w:color w:val="auto"/>
                <w:sz w:val="24"/>
                <w:u w:val="single"/>
                <w:lang w:eastAsia="zh-CN"/>
              </w:rPr>
              <w:t>以及废水收集转运台账工作</w:t>
            </w:r>
            <w:r>
              <w:rPr>
                <w:rFonts w:hint="eastAsia"/>
                <w:color w:val="auto"/>
                <w:sz w:val="24"/>
                <w:u w:val="single"/>
              </w:rPr>
              <w:t>，编制环境保护统计报表，定期向环保行政主管部门报送污染物排放相关材料（监测报告、污染物转移联单、污染物统计报表等）。</w:t>
            </w:r>
          </w:p>
          <w:p>
            <w:pPr>
              <w:adjustRightInd w:val="0"/>
              <w:snapToGrid w:val="0"/>
              <w:spacing w:line="360" w:lineRule="auto"/>
              <w:ind w:firstLine="480" w:firstLineChars="200"/>
              <w:rPr>
                <w:sz w:val="24"/>
                <w:u w:val="single"/>
              </w:rPr>
            </w:pPr>
            <w:r>
              <w:rPr>
                <w:rFonts w:hint="eastAsia" w:ascii="宋体" w:hAnsi="宋体"/>
                <w:sz w:val="24"/>
                <w:u w:val="single"/>
              </w:rPr>
              <w:t>⑤</w:t>
            </w:r>
            <w:r>
              <w:rPr>
                <w:rFonts w:hint="eastAsia"/>
                <w:sz w:val="24"/>
                <w:u w:val="single"/>
              </w:rPr>
              <w:t>做好环境保护宣传和职工环保意识教育及技术培训等工作。</w:t>
            </w:r>
          </w:p>
          <w:p>
            <w:pPr>
              <w:adjustRightInd w:val="0"/>
              <w:snapToGrid w:val="0"/>
              <w:spacing w:line="360" w:lineRule="auto"/>
              <w:ind w:firstLine="480" w:firstLineChars="200"/>
              <w:rPr>
                <w:sz w:val="24"/>
                <w:u w:val="single"/>
              </w:rPr>
            </w:pPr>
            <w:r>
              <w:rPr>
                <w:rFonts w:hint="eastAsia"/>
                <w:sz w:val="24"/>
                <w:u w:val="single"/>
              </w:rPr>
              <w:t>二、环境监测计划</w:t>
            </w:r>
          </w:p>
          <w:p>
            <w:pPr>
              <w:adjustRightInd w:val="0"/>
              <w:snapToGrid w:val="0"/>
              <w:spacing w:line="360" w:lineRule="auto"/>
              <w:ind w:firstLine="480" w:firstLineChars="200"/>
              <w:rPr>
                <w:sz w:val="24"/>
                <w:u w:val="single"/>
              </w:rPr>
            </w:pPr>
            <w:r>
              <w:rPr>
                <w:rFonts w:hint="eastAsia"/>
                <w:sz w:val="24"/>
                <w:u w:val="single"/>
              </w:rPr>
              <w:t>①污染的监测</w:t>
            </w:r>
          </w:p>
          <w:p>
            <w:pPr>
              <w:adjustRightInd w:val="0"/>
              <w:snapToGrid w:val="0"/>
              <w:spacing w:line="360" w:lineRule="auto"/>
              <w:ind w:firstLine="480" w:firstLineChars="200"/>
              <w:rPr>
                <w:sz w:val="24"/>
                <w:u w:val="single"/>
              </w:rPr>
            </w:pPr>
            <w:r>
              <w:rPr>
                <w:rFonts w:hint="eastAsia"/>
                <w:sz w:val="24"/>
                <w:u w:val="single"/>
              </w:rPr>
              <w:t>为掌握污染源变化动态，本项目营运后应对其污染源可能影响范围内的空气和噪声环境进行定期监测，以动态掌握可能受影响范围内的环境质量状况。</w:t>
            </w:r>
          </w:p>
          <w:p>
            <w:pPr>
              <w:adjustRightInd w:val="0"/>
              <w:snapToGrid w:val="0"/>
              <w:spacing w:line="360" w:lineRule="auto"/>
              <w:ind w:firstLine="480" w:firstLineChars="200"/>
              <w:rPr>
                <w:sz w:val="24"/>
                <w:u w:val="single"/>
              </w:rPr>
            </w:pPr>
            <w:r>
              <w:rPr>
                <w:rFonts w:hint="eastAsia"/>
                <w:sz w:val="24"/>
                <w:u w:val="single"/>
              </w:rPr>
              <w:t>②监测方法</w:t>
            </w:r>
          </w:p>
          <w:p>
            <w:pPr>
              <w:adjustRightInd w:val="0"/>
              <w:snapToGrid w:val="0"/>
              <w:spacing w:line="360" w:lineRule="auto"/>
              <w:ind w:firstLine="480" w:firstLineChars="200"/>
              <w:rPr>
                <w:sz w:val="24"/>
                <w:u w:val="single"/>
              </w:rPr>
            </w:pPr>
            <w:r>
              <w:rPr>
                <w:rFonts w:hint="eastAsia"/>
                <w:sz w:val="24"/>
                <w:u w:val="single"/>
              </w:rPr>
              <w:t>监测方法按《环境监测技术规范》和《排污许可证申请和核发技术规范》执行。</w:t>
            </w:r>
          </w:p>
          <w:p>
            <w:pPr>
              <w:adjustRightInd w:val="0"/>
              <w:snapToGrid w:val="0"/>
              <w:spacing w:line="360" w:lineRule="auto"/>
              <w:ind w:firstLine="480" w:firstLineChars="200"/>
              <w:rPr>
                <w:sz w:val="24"/>
                <w:u w:val="single"/>
              </w:rPr>
            </w:pPr>
            <w:r>
              <w:rPr>
                <w:rFonts w:hint="eastAsia"/>
                <w:sz w:val="24"/>
                <w:u w:val="single"/>
              </w:rPr>
              <w:t>③审核制度</w:t>
            </w:r>
          </w:p>
          <w:p>
            <w:pPr>
              <w:adjustRightInd w:val="0"/>
              <w:snapToGrid w:val="0"/>
              <w:spacing w:line="360" w:lineRule="auto"/>
              <w:ind w:firstLine="480" w:firstLineChars="200"/>
              <w:rPr>
                <w:sz w:val="24"/>
                <w:u w:val="single"/>
              </w:rPr>
            </w:pPr>
            <w:r>
              <w:rPr>
                <w:rFonts w:hint="eastAsia"/>
                <w:sz w:val="24"/>
                <w:u w:val="single"/>
              </w:rPr>
              <w:t>为确保环境监测计划提供出准确有效的监测资料，必须对该计划实行定期复审，每年一次，删除不必要的项目，修改或补充原计划没有的项目，使环境监测计划更好地发挥保证环保措施和保护环境资源的作用。</w:t>
            </w:r>
          </w:p>
          <w:p>
            <w:pPr>
              <w:ind w:firstLine="422" w:firstLineChars="200"/>
              <w:jc w:val="center"/>
              <w:rPr>
                <w:b/>
                <w:bCs/>
                <w:szCs w:val="21"/>
                <w:u w:val="single"/>
              </w:rPr>
            </w:pPr>
          </w:p>
          <w:p>
            <w:pPr>
              <w:ind w:firstLine="422" w:firstLineChars="200"/>
              <w:jc w:val="center"/>
              <w:rPr>
                <w:b/>
                <w:bCs/>
                <w:szCs w:val="21"/>
                <w:u w:val="single"/>
              </w:rPr>
            </w:pPr>
            <w:r>
              <w:rPr>
                <w:b/>
                <w:bCs/>
                <w:szCs w:val="21"/>
                <w:u w:val="single"/>
              </w:rPr>
              <w:t>表</w:t>
            </w:r>
            <w:r>
              <w:rPr>
                <w:rFonts w:hint="eastAsia"/>
                <w:b/>
                <w:bCs/>
                <w:szCs w:val="21"/>
                <w:u w:val="single"/>
              </w:rPr>
              <w:t>4</w:t>
            </w:r>
            <w:r>
              <w:rPr>
                <w:b/>
                <w:bCs/>
                <w:szCs w:val="21"/>
                <w:u w:val="single"/>
              </w:rPr>
              <w:t>-</w:t>
            </w:r>
            <w:r>
              <w:rPr>
                <w:rFonts w:hint="eastAsia"/>
                <w:b/>
                <w:bCs/>
                <w:szCs w:val="21"/>
                <w:u w:val="single"/>
              </w:rPr>
              <w:t>14</w:t>
            </w:r>
            <w:r>
              <w:rPr>
                <w:b/>
                <w:bCs/>
                <w:szCs w:val="21"/>
                <w:u w:val="single"/>
              </w:rPr>
              <w:t>环境监测计划一览</w:t>
            </w:r>
            <w:r>
              <w:rPr>
                <w:rFonts w:hint="eastAsia"/>
                <w:b/>
                <w:bCs/>
                <w:szCs w:val="21"/>
                <w:u w:val="single"/>
              </w:rPr>
              <w:t>表</w:t>
            </w:r>
          </w:p>
          <w:p>
            <w:pPr>
              <w:ind w:firstLine="422" w:firstLineChars="200"/>
              <w:jc w:val="center"/>
              <w:rPr>
                <w:b/>
                <w:bCs/>
                <w:szCs w:val="21"/>
                <w:u w:val="single"/>
              </w:rPr>
            </w:pPr>
          </w:p>
          <w:tbl>
            <w:tblPr>
              <w:tblStyle w:val="24"/>
              <w:tblW w:w="793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34"/>
              <w:gridCol w:w="1064"/>
              <w:gridCol w:w="1381"/>
              <w:gridCol w:w="918"/>
              <w:gridCol w:w="38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trPr>
              <w:tc>
                <w:tcPr>
                  <w:tcW w:w="734" w:type="dxa"/>
                  <w:tcBorders>
                    <w:tl2br w:val="nil"/>
                    <w:tr2bl w:val="nil"/>
                  </w:tcBorders>
                  <w:noWrap/>
                  <w:vAlign w:val="center"/>
                </w:tcPr>
                <w:p>
                  <w:pPr>
                    <w:jc w:val="center"/>
                    <w:rPr>
                      <w:szCs w:val="21"/>
                      <w:u w:val="single"/>
                    </w:rPr>
                  </w:pPr>
                  <w:r>
                    <w:rPr>
                      <w:szCs w:val="21"/>
                      <w:u w:val="single"/>
                    </w:rPr>
                    <w:t>监测项目</w:t>
                  </w:r>
                </w:p>
              </w:tc>
              <w:tc>
                <w:tcPr>
                  <w:tcW w:w="1064" w:type="dxa"/>
                  <w:tcBorders>
                    <w:tl2br w:val="nil"/>
                    <w:tr2bl w:val="nil"/>
                  </w:tcBorders>
                  <w:noWrap/>
                  <w:vAlign w:val="center"/>
                </w:tcPr>
                <w:p>
                  <w:pPr>
                    <w:jc w:val="center"/>
                    <w:rPr>
                      <w:szCs w:val="21"/>
                      <w:u w:val="single"/>
                    </w:rPr>
                  </w:pPr>
                  <w:r>
                    <w:rPr>
                      <w:szCs w:val="21"/>
                      <w:u w:val="single"/>
                    </w:rPr>
                    <w:t>监测点位</w:t>
                  </w:r>
                </w:p>
              </w:tc>
              <w:tc>
                <w:tcPr>
                  <w:tcW w:w="1381" w:type="dxa"/>
                  <w:tcBorders>
                    <w:tl2br w:val="nil"/>
                    <w:tr2bl w:val="nil"/>
                  </w:tcBorders>
                  <w:noWrap/>
                  <w:vAlign w:val="center"/>
                </w:tcPr>
                <w:p>
                  <w:pPr>
                    <w:jc w:val="center"/>
                    <w:rPr>
                      <w:szCs w:val="21"/>
                      <w:u w:val="single"/>
                    </w:rPr>
                  </w:pPr>
                  <w:r>
                    <w:rPr>
                      <w:szCs w:val="21"/>
                      <w:u w:val="single"/>
                    </w:rPr>
                    <w:t>监测因子</w:t>
                  </w:r>
                </w:p>
              </w:tc>
              <w:tc>
                <w:tcPr>
                  <w:tcW w:w="918" w:type="dxa"/>
                  <w:tcBorders>
                    <w:tl2br w:val="nil"/>
                    <w:tr2bl w:val="nil"/>
                  </w:tcBorders>
                  <w:noWrap/>
                  <w:vAlign w:val="center"/>
                </w:tcPr>
                <w:p>
                  <w:pPr>
                    <w:jc w:val="center"/>
                    <w:rPr>
                      <w:szCs w:val="21"/>
                      <w:u w:val="single"/>
                    </w:rPr>
                  </w:pPr>
                  <w:r>
                    <w:rPr>
                      <w:szCs w:val="21"/>
                      <w:u w:val="single"/>
                    </w:rPr>
                    <w:t>最低监测频次</w:t>
                  </w:r>
                </w:p>
              </w:tc>
              <w:tc>
                <w:tcPr>
                  <w:tcW w:w="3839" w:type="dxa"/>
                  <w:tcBorders>
                    <w:tl2br w:val="nil"/>
                    <w:tr2bl w:val="nil"/>
                  </w:tcBorders>
                  <w:noWrap/>
                  <w:vAlign w:val="center"/>
                </w:tcPr>
                <w:p>
                  <w:pPr>
                    <w:jc w:val="center"/>
                    <w:rPr>
                      <w:szCs w:val="21"/>
                      <w:u w:val="single"/>
                    </w:rPr>
                  </w:pPr>
                  <w:r>
                    <w:rPr>
                      <w:szCs w:val="21"/>
                      <w:u w:val="single"/>
                    </w:rPr>
                    <w:t>执行标准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34" w:type="dxa"/>
                  <w:vMerge w:val="restart"/>
                  <w:tcBorders>
                    <w:tl2br w:val="nil"/>
                    <w:tr2bl w:val="nil"/>
                  </w:tcBorders>
                  <w:noWrap/>
                  <w:vAlign w:val="center"/>
                </w:tcPr>
                <w:p>
                  <w:pPr>
                    <w:jc w:val="center"/>
                    <w:rPr>
                      <w:szCs w:val="21"/>
                      <w:u w:val="single"/>
                    </w:rPr>
                  </w:pPr>
                  <w:r>
                    <w:rPr>
                      <w:szCs w:val="21"/>
                      <w:u w:val="single"/>
                    </w:rPr>
                    <w:t>大气</w:t>
                  </w:r>
                </w:p>
              </w:tc>
              <w:tc>
                <w:tcPr>
                  <w:tcW w:w="1064" w:type="dxa"/>
                  <w:tcBorders>
                    <w:tl2br w:val="nil"/>
                    <w:tr2bl w:val="nil"/>
                  </w:tcBorders>
                  <w:noWrap/>
                  <w:vAlign w:val="center"/>
                </w:tcPr>
                <w:p>
                  <w:pPr>
                    <w:jc w:val="center"/>
                    <w:rPr>
                      <w:szCs w:val="21"/>
                      <w:u w:val="single"/>
                    </w:rPr>
                  </w:pPr>
                  <w:r>
                    <w:rPr>
                      <w:rFonts w:hint="eastAsia"/>
                      <w:szCs w:val="21"/>
                      <w:u w:val="single"/>
                    </w:rPr>
                    <w:t>船舶停留点（无组织）</w:t>
                  </w:r>
                </w:p>
              </w:tc>
              <w:tc>
                <w:tcPr>
                  <w:tcW w:w="1381" w:type="dxa"/>
                  <w:tcBorders>
                    <w:tl2br w:val="nil"/>
                    <w:tr2bl w:val="nil"/>
                  </w:tcBorders>
                  <w:noWrap/>
                  <w:vAlign w:val="center"/>
                </w:tcPr>
                <w:p>
                  <w:pPr>
                    <w:jc w:val="center"/>
                    <w:rPr>
                      <w:szCs w:val="21"/>
                      <w:u w:val="single"/>
                    </w:rPr>
                  </w:pPr>
                  <w:r>
                    <w:rPr>
                      <w:rFonts w:hint="eastAsia"/>
                      <w:szCs w:val="21"/>
                      <w:u w:val="single"/>
                    </w:rPr>
                    <w:t>SO</w:t>
                  </w:r>
                  <w:r>
                    <w:rPr>
                      <w:rFonts w:hint="eastAsia"/>
                      <w:szCs w:val="21"/>
                      <w:u w:val="single"/>
                      <w:vertAlign w:val="subscript"/>
                    </w:rPr>
                    <w:t>2</w:t>
                  </w:r>
                  <w:r>
                    <w:rPr>
                      <w:rFonts w:hint="eastAsia"/>
                      <w:szCs w:val="21"/>
                      <w:u w:val="single"/>
                    </w:rPr>
                    <w:t>、NO</w:t>
                  </w:r>
                  <w:r>
                    <w:rPr>
                      <w:rFonts w:hint="eastAsia"/>
                      <w:szCs w:val="21"/>
                      <w:u w:val="single"/>
                      <w:vertAlign w:val="subscript"/>
                    </w:rPr>
                    <w:t>X</w:t>
                  </w:r>
                  <w:r>
                    <w:rPr>
                      <w:rFonts w:hint="eastAsia"/>
                      <w:szCs w:val="21"/>
                      <w:u w:val="single"/>
                    </w:rPr>
                    <w:t>、烟尘、非甲烷总烃</w:t>
                  </w:r>
                </w:p>
              </w:tc>
              <w:tc>
                <w:tcPr>
                  <w:tcW w:w="918" w:type="dxa"/>
                  <w:tcBorders>
                    <w:tl2br w:val="nil"/>
                    <w:tr2bl w:val="nil"/>
                  </w:tcBorders>
                  <w:noWrap/>
                  <w:vAlign w:val="center"/>
                </w:tcPr>
                <w:p>
                  <w:pPr>
                    <w:jc w:val="center"/>
                    <w:rPr>
                      <w:szCs w:val="21"/>
                      <w:u w:val="single"/>
                    </w:rPr>
                  </w:pPr>
                  <w:r>
                    <w:rPr>
                      <w:szCs w:val="21"/>
                      <w:u w:val="single"/>
                    </w:rPr>
                    <w:t>1次/</w:t>
                  </w:r>
                  <w:r>
                    <w:rPr>
                      <w:rFonts w:hint="eastAsia"/>
                      <w:szCs w:val="21"/>
                      <w:u w:val="single"/>
                    </w:rPr>
                    <w:t>年</w:t>
                  </w:r>
                </w:p>
              </w:tc>
              <w:tc>
                <w:tcPr>
                  <w:tcW w:w="3839" w:type="dxa"/>
                  <w:tcBorders>
                    <w:tl2br w:val="nil"/>
                    <w:tr2bl w:val="nil"/>
                  </w:tcBorders>
                  <w:noWrap/>
                  <w:vAlign w:val="center"/>
                </w:tcPr>
                <w:p>
                  <w:pPr>
                    <w:jc w:val="center"/>
                    <w:rPr>
                      <w:szCs w:val="21"/>
                      <w:u w:val="single"/>
                    </w:rPr>
                  </w:pPr>
                  <w:r>
                    <w:rPr>
                      <w:rFonts w:hint="eastAsia"/>
                      <w:szCs w:val="21"/>
                      <w:u w:val="single"/>
                    </w:rPr>
                    <w:t>《大气污染物综合排放标准》（</w:t>
                  </w:r>
                  <w:r>
                    <w:rPr>
                      <w:szCs w:val="21"/>
                      <w:u w:val="single"/>
                    </w:rPr>
                    <w:t>GB16297-1996</w:t>
                  </w:r>
                  <w:r>
                    <w:rPr>
                      <w:rFonts w:hint="eastAsia"/>
                      <w:szCs w:val="21"/>
                      <w:u w:val="single"/>
                    </w:rPr>
                    <w:t>）表2中的标准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34" w:type="dxa"/>
                  <w:vMerge w:val="continue"/>
                  <w:tcBorders>
                    <w:tl2br w:val="nil"/>
                    <w:tr2bl w:val="nil"/>
                  </w:tcBorders>
                  <w:noWrap/>
                  <w:vAlign w:val="center"/>
                </w:tcPr>
                <w:p>
                  <w:pPr>
                    <w:jc w:val="center"/>
                    <w:rPr>
                      <w:szCs w:val="21"/>
                      <w:u w:val="single"/>
                    </w:rPr>
                  </w:pPr>
                </w:p>
              </w:tc>
              <w:tc>
                <w:tcPr>
                  <w:tcW w:w="1064" w:type="dxa"/>
                  <w:tcBorders>
                    <w:tl2br w:val="nil"/>
                    <w:tr2bl w:val="nil"/>
                  </w:tcBorders>
                  <w:noWrap/>
                  <w:vAlign w:val="center"/>
                </w:tcPr>
                <w:p>
                  <w:pPr>
                    <w:jc w:val="center"/>
                    <w:rPr>
                      <w:szCs w:val="21"/>
                      <w:u w:val="single"/>
                    </w:rPr>
                  </w:pPr>
                  <w:r>
                    <w:rPr>
                      <w:rFonts w:hint="eastAsia"/>
                      <w:szCs w:val="21"/>
                      <w:u w:val="single"/>
                    </w:rPr>
                    <w:t>恶臭</w:t>
                  </w:r>
                </w:p>
              </w:tc>
              <w:tc>
                <w:tcPr>
                  <w:tcW w:w="1381" w:type="dxa"/>
                  <w:tcBorders>
                    <w:tl2br w:val="nil"/>
                    <w:tr2bl w:val="nil"/>
                  </w:tcBorders>
                  <w:noWrap/>
                  <w:vAlign w:val="center"/>
                </w:tcPr>
                <w:p>
                  <w:pPr>
                    <w:jc w:val="center"/>
                    <w:rPr>
                      <w:szCs w:val="21"/>
                      <w:u w:val="single"/>
                    </w:rPr>
                  </w:pPr>
                  <w:r>
                    <w:rPr>
                      <w:rFonts w:hint="eastAsia"/>
                      <w:szCs w:val="21"/>
                      <w:u w:val="single"/>
                    </w:rPr>
                    <w:t>臭气浓度</w:t>
                  </w:r>
                </w:p>
              </w:tc>
              <w:tc>
                <w:tcPr>
                  <w:tcW w:w="918" w:type="dxa"/>
                  <w:tcBorders>
                    <w:tl2br w:val="nil"/>
                    <w:tr2bl w:val="nil"/>
                  </w:tcBorders>
                  <w:noWrap/>
                  <w:vAlign w:val="center"/>
                </w:tcPr>
                <w:p>
                  <w:pPr>
                    <w:jc w:val="center"/>
                    <w:rPr>
                      <w:szCs w:val="21"/>
                      <w:u w:val="single"/>
                    </w:rPr>
                  </w:pPr>
                  <w:r>
                    <w:rPr>
                      <w:szCs w:val="21"/>
                      <w:u w:val="single"/>
                    </w:rPr>
                    <w:t>1次/</w:t>
                  </w:r>
                  <w:r>
                    <w:rPr>
                      <w:rFonts w:hint="eastAsia"/>
                      <w:szCs w:val="21"/>
                      <w:u w:val="single"/>
                    </w:rPr>
                    <w:t>年</w:t>
                  </w:r>
                </w:p>
              </w:tc>
              <w:tc>
                <w:tcPr>
                  <w:tcW w:w="3839" w:type="dxa"/>
                  <w:tcBorders>
                    <w:tl2br w:val="nil"/>
                    <w:tr2bl w:val="nil"/>
                  </w:tcBorders>
                  <w:noWrap/>
                  <w:vAlign w:val="center"/>
                </w:tcPr>
                <w:p>
                  <w:pPr>
                    <w:jc w:val="center"/>
                    <w:rPr>
                      <w:szCs w:val="21"/>
                      <w:u w:val="single"/>
                    </w:rPr>
                  </w:pPr>
                  <w:r>
                    <w:rPr>
                      <w:rFonts w:hint="eastAsia"/>
                      <w:szCs w:val="21"/>
                      <w:u w:val="single"/>
                    </w:rPr>
                    <w:t>《恶臭污染物排放标准》（GB14554-93）中的恶臭污染物厂界（标准值臭气浓度：20无量纲）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734" w:type="dxa"/>
                  <w:tcBorders>
                    <w:tl2br w:val="nil"/>
                    <w:tr2bl w:val="nil"/>
                  </w:tcBorders>
                  <w:noWrap/>
                  <w:vAlign w:val="center"/>
                </w:tcPr>
                <w:p>
                  <w:pPr>
                    <w:jc w:val="center"/>
                    <w:rPr>
                      <w:szCs w:val="21"/>
                      <w:u w:val="single"/>
                    </w:rPr>
                  </w:pPr>
                  <w:r>
                    <w:rPr>
                      <w:szCs w:val="21"/>
                      <w:u w:val="single"/>
                    </w:rPr>
                    <w:t>噪声</w:t>
                  </w:r>
                </w:p>
              </w:tc>
              <w:tc>
                <w:tcPr>
                  <w:tcW w:w="1064" w:type="dxa"/>
                  <w:tcBorders>
                    <w:tl2br w:val="nil"/>
                    <w:tr2bl w:val="nil"/>
                  </w:tcBorders>
                  <w:noWrap/>
                  <w:vAlign w:val="center"/>
                </w:tcPr>
                <w:p>
                  <w:pPr>
                    <w:jc w:val="center"/>
                    <w:rPr>
                      <w:szCs w:val="21"/>
                      <w:u w:val="single"/>
                    </w:rPr>
                  </w:pPr>
                  <w:r>
                    <w:rPr>
                      <w:rFonts w:hint="eastAsia"/>
                      <w:szCs w:val="21"/>
                      <w:u w:val="single"/>
                    </w:rPr>
                    <w:t>渔业新村</w:t>
                  </w:r>
                </w:p>
              </w:tc>
              <w:tc>
                <w:tcPr>
                  <w:tcW w:w="1381" w:type="dxa"/>
                  <w:tcBorders>
                    <w:tl2br w:val="nil"/>
                    <w:tr2bl w:val="nil"/>
                  </w:tcBorders>
                  <w:noWrap/>
                  <w:vAlign w:val="center"/>
                </w:tcPr>
                <w:p>
                  <w:pPr>
                    <w:jc w:val="center"/>
                    <w:rPr>
                      <w:szCs w:val="21"/>
                      <w:u w:val="single"/>
                    </w:rPr>
                  </w:pPr>
                  <w:r>
                    <w:rPr>
                      <w:szCs w:val="21"/>
                      <w:u w:val="single"/>
                    </w:rPr>
                    <w:t>连续等效A声级</w:t>
                  </w:r>
                </w:p>
              </w:tc>
              <w:tc>
                <w:tcPr>
                  <w:tcW w:w="918" w:type="dxa"/>
                  <w:tcBorders>
                    <w:tl2br w:val="nil"/>
                    <w:tr2bl w:val="nil"/>
                  </w:tcBorders>
                  <w:noWrap/>
                  <w:vAlign w:val="center"/>
                </w:tcPr>
                <w:p>
                  <w:pPr>
                    <w:jc w:val="center"/>
                    <w:rPr>
                      <w:szCs w:val="21"/>
                      <w:u w:val="single"/>
                    </w:rPr>
                  </w:pPr>
                  <w:r>
                    <w:rPr>
                      <w:szCs w:val="21"/>
                      <w:u w:val="single"/>
                    </w:rPr>
                    <w:t>1次/季度</w:t>
                  </w:r>
                </w:p>
              </w:tc>
              <w:tc>
                <w:tcPr>
                  <w:tcW w:w="3839" w:type="dxa"/>
                  <w:tcBorders>
                    <w:tl2br w:val="nil"/>
                    <w:tr2bl w:val="nil"/>
                  </w:tcBorders>
                  <w:noWrap/>
                  <w:vAlign w:val="center"/>
                </w:tcPr>
                <w:p>
                  <w:pPr>
                    <w:jc w:val="center"/>
                    <w:rPr>
                      <w:szCs w:val="21"/>
                      <w:u w:val="single"/>
                    </w:rPr>
                  </w:pPr>
                  <w:r>
                    <w:rPr>
                      <w:szCs w:val="21"/>
                      <w:u w:val="single"/>
                    </w:rPr>
                    <w:t>《工业企业厂界环境噪声排放标准》（GB12348-2008）中的2类标准</w:t>
                  </w:r>
                </w:p>
              </w:tc>
            </w:tr>
          </w:tbl>
          <w:p>
            <w:pPr>
              <w:spacing w:line="360" w:lineRule="auto"/>
              <w:rPr>
                <w:b/>
                <w:bCs/>
                <w:sz w:val="24"/>
              </w:rPr>
            </w:pPr>
            <w:r>
              <w:rPr>
                <w:rFonts w:hint="eastAsia" w:ascii="宋体" w:hAnsi="宋体" w:cs="宋体"/>
                <w:b/>
                <w:spacing w:val="-10"/>
                <w:sz w:val="24"/>
                <w:szCs w:val="24"/>
              </w:rPr>
              <w:t>10、项目环保投资</w:t>
            </w:r>
          </w:p>
          <w:p>
            <w:pPr>
              <w:pStyle w:val="34"/>
              <w:ind w:firstLine="480"/>
            </w:pPr>
            <w:r>
              <w:rPr>
                <w:rFonts w:hint="eastAsia"/>
              </w:rPr>
              <w:t>本</w:t>
            </w:r>
            <w:r>
              <w:t>项目</w:t>
            </w:r>
            <w:r>
              <w:rPr>
                <w:rFonts w:hint="eastAsia"/>
              </w:rPr>
              <w:t>总投资900万元，其中</w:t>
            </w:r>
            <w:r>
              <w:t>环境保护投资约</w:t>
            </w:r>
            <w:r>
              <w:rPr>
                <w:rFonts w:hint="eastAsia"/>
              </w:rPr>
              <w:t>120</w:t>
            </w:r>
            <w:r>
              <w:t>万元，占项目建设投资的</w:t>
            </w:r>
            <w:r>
              <w:rPr>
                <w:rFonts w:hint="eastAsia"/>
              </w:rPr>
              <w:t>13.33</w:t>
            </w:r>
            <w:r>
              <w:t>%，具体环保投资估算见表</w:t>
            </w:r>
            <w:r>
              <w:rPr>
                <w:rFonts w:hint="eastAsia"/>
              </w:rPr>
              <w:t>4-15</w:t>
            </w:r>
            <w:r>
              <w:t>。</w:t>
            </w:r>
          </w:p>
          <w:p>
            <w:pPr>
              <w:jc w:val="center"/>
              <w:rPr>
                <w:b/>
                <w:sz w:val="24"/>
                <w:lang w:val="zh-CN"/>
              </w:rPr>
            </w:pPr>
            <w:r>
              <w:rPr>
                <w:b/>
                <w:sz w:val="24"/>
                <w:lang w:val="zh-CN"/>
              </w:rPr>
              <w:t>表</w:t>
            </w:r>
            <w:r>
              <w:rPr>
                <w:rFonts w:hint="eastAsia"/>
                <w:b/>
                <w:sz w:val="24"/>
              </w:rPr>
              <w:t>4-15</w:t>
            </w:r>
            <w:r>
              <w:rPr>
                <w:b/>
                <w:sz w:val="24"/>
                <w:lang w:val="zh-CN"/>
              </w:rPr>
              <w:t xml:space="preserve">  本项目环保投资估算表</w:t>
            </w:r>
          </w:p>
          <w:tbl>
            <w:tblPr>
              <w:tblStyle w:val="24"/>
              <w:tblW w:w="773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1"/>
              <w:gridCol w:w="2982"/>
              <w:gridCol w:w="2058"/>
              <w:gridCol w:w="205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34" w:hRule="atLeast"/>
                <w:jc w:val="center"/>
              </w:trPr>
              <w:tc>
                <w:tcPr>
                  <w:tcW w:w="641" w:type="dxa"/>
                  <w:tcBorders>
                    <w:tl2br w:val="nil"/>
                    <w:tr2bl w:val="nil"/>
                  </w:tcBorders>
                  <w:noWrap/>
                  <w:vAlign w:val="center"/>
                </w:tcPr>
                <w:p>
                  <w:pPr>
                    <w:snapToGrid w:val="0"/>
                    <w:jc w:val="center"/>
                    <w:rPr>
                      <w:szCs w:val="21"/>
                    </w:rPr>
                  </w:pPr>
                  <w:r>
                    <w:rPr>
                      <w:szCs w:val="21"/>
                    </w:rPr>
                    <w:t>序号</w:t>
                  </w:r>
                </w:p>
              </w:tc>
              <w:tc>
                <w:tcPr>
                  <w:tcW w:w="2982" w:type="dxa"/>
                  <w:tcBorders>
                    <w:tl2br w:val="nil"/>
                    <w:tr2bl w:val="nil"/>
                  </w:tcBorders>
                  <w:noWrap/>
                  <w:vAlign w:val="center"/>
                </w:tcPr>
                <w:p>
                  <w:pPr>
                    <w:snapToGrid w:val="0"/>
                    <w:jc w:val="center"/>
                    <w:rPr>
                      <w:szCs w:val="21"/>
                    </w:rPr>
                  </w:pPr>
                  <w:r>
                    <w:rPr>
                      <w:szCs w:val="21"/>
                    </w:rPr>
                    <w:t>环保项目名称</w:t>
                  </w:r>
                </w:p>
              </w:tc>
              <w:tc>
                <w:tcPr>
                  <w:tcW w:w="2058" w:type="dxa"/>
                  <w:tcBorders>
                    <w:tl2br w:val="nil"/>
                    <w:tr2bl w:val="nil"/>
                  </w:tcBorders>
                  <w:noWrap/>
                  <w:vAlign w:val="center"/>
                </w:tcPr>
                <w:p>
                  <w:pPr>
                    <w:snapToGrid w:val="0"/>
                    <w:jc w:val="center"/>
                    <w:rPr>
                      <w:szCs w:val="21"/>
                    </w:rPr>
                  </w:pPr>
                  <w:r>
                    <w:rPr>
                      <w:szCs w:val="21"/>
                    </w:rPr>
                    <w:t>环保投资估算</w:t>
                  </w:r>
                  <w:r>
                    <w:rPr>
                      <w:rFonts w:hint="eastAsia"/>
                      <w:szCs w:val="21"/>
                    </w:rPr>
                    <w:t>（</w:t>
                  </w:r>
                  <w:r>
                    <w:rPr>
                      <w:szCs w:val="21"/>
                    </w:rPr>
                    <w:t>万元</w:t>
                  </w:r>
                  <w:r>
                    <w:rPr>
                      <w:rFonts w:hint="eastAsia"/>
                      <w:szCs w:val="21"/>
                    </w:rPr>
                    <w:t>）</w:t>
                  </w:r>
                </w:p>
              </w:tc>
              <w:tc>
                <w:tcPr>
                  <w:tcW w:w="2058" w:type="dxa"/>
                  <w:tcBorders>
                    <w:tl2br w:val="nil"/>
                    <w:tr2bl w:val="nil"/>
                  </w:tcBorders>
                  <w:noWrap/>
                  <w:vAlign w:val="center"/>
                </w:tcPr>
                <w:p>
                  <w:pPr>
                    <w:snapToGrid w:val="0"/>
                    <w:jc w:val="center"/>
                    <w:rPr>
                      <w:szCs w:val="21"/>
                    </w:rPr>
                  </w:pPr>
                  <w:r>
                    <w:rPr>
                      <w:rFonts w:hint="eastAsia"/>
                      <w:szCs w:val="21"/>
                    </w:rPr>
                    <w:t>新增环保投资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641" w:type="dxa"/>
                  <w:tcBorders>
                    <w:tl2br w:val="nil"/>
                    <w:tr2bl w:val="nil"/>
                  </w:tcBorders>
                  <w:noWrap/>
                  <w:vAlign w:val="center"/>
                </w:tcPr>
                <w:p>
                  <w:pPr>
                    <w:snapToGrid w:val="0"/>
                    <w:jc w:val="center"/>
                    <w:rPr>
                      <w:szCs w:val="21"/>
                    </w:rPr>
                  </w:pPr>
                  <w:r>
                    <w:rPr>
                      <w:szCs w:val="21"/>
                    </w:rPr>
                    <w:t>1</w:t>
                  </w:r>
                </w:p>
              </w:tc>
              <w:tc>
                <w:tcPr>
                  <w:tcW w:w="2982" w:type="dxa"/>
                  <w:tcBorders>
                    <w:tl2br w:val="nil"/>
                    <w:tr2bl w:val="nil"/>
                  </w:tcBorders>
                  <w:noWrap/>
                  <w:vAlign w:val="center"/>
                </w:tcPr>
                <w:p>
                  <w:pPr>
                    <w:snapToGrid w:val="0"/>
                    <w:jc w:val="center"/>
                    <w:rPr>
                      <w:szCs w:val="21"/>
                    </w:rPr>
                  </w:pPr>
                  <w:r>
                    <w:rPr>
                      <w:rFonts w:hint="eastAsia"/>
                      <w:szCs w:val="21"/>
                    </w:rPr>
                    <w:t>油水分离器</w:t>
                  </w:r>
                </w:p>
              </w:tc>
              <w:tc>
                <w:tcPr>
                  <w:tcW w:w="2058" w:type="dxa"/>
                  <w:tcBorders>
                    <w:tl2br w:val="nil"/>
                    <w:tr2bl w:val="nil"/>
                  </w:tcBorders>
                  <w:noWrap/>
                  <w:vAlign w:val="center"/>
                </w:tcPr>
                <w:p>
                  <w:pPr>
                    <w:snapToGrid w:val="0"/>
                    <w:jc w:val="center"/>
                    <w:rPr>
                      <w:szCs w:val="21"/>
                    </w:rPr>
                  </w:pPr>
                  <w:r>
                    <w:rPr>
                      <w:rFonts w:hint="eastAsia"/>
                      <w:szCs w:val="21"/>
                    </w:rPr>
                    <w:t>5</w:t>
                  </w:r>
                </w:p>
              </w:tc>
              <w:tc>
                <w:tcPr>
                  <w:tcW w:w="2058" w:type="dxa"/>
                  <w:tcBorders>
                    <w:tl2br w:val="nil"/>
                    <w:tr2bl w:val="nil"/>
                  </w:tcBorders>
                  <w:noWrap/>
                  <w:vAlign w:val="center"/>
                </w:tcPr>
                <w:p>
                  <w:pPr>
                    <w:snapToGrid w:val="0"/>
                    <w:jc w:val="center"/>
                    <w:rPr>
                      <w:szCs w:val="21"/>
                    </w:rPr>
                  </w:pPr>
                  <w:r>
                    <w:rPr>
                      <w:rFonts w:hint="eastAsia"/>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641" w:type="dxa"/>
                  <w:tcBorders>
                    <w:tl2br w:val="nil"/>
                    <w:tr2bl w:val="nil"/>
                  </w:tcBorders>
                  <w:noWrap/>
                  <w:vAlign w:val="center"/>
                </w:tcPr>
                <w:p>
                  <w:pPr>
                    <w:snapToGrid w:val="0"/>
                    <w:jc w:val="center"/>
                    <w:rPr>
                      <w:szCs w:val="21"/>
                    </w:rPr>
                  </w:pPr>
                  <w:r>
                    <w:rPr>
                      <w:rFonts w:hint="eastAsia"/>
                      <w:szCs w:val="21"/>
                    </w:rPr>
                    <w:t>2</w:t>
                  </w:r>
                </w:p>
              </w:tc>
              <w:tc>
                <w:tcPr>
                  <w:tcW w:w="2982" w:type="dxa"/>
                  <w:tcBorders>
                    <w:tl2br w:val="nil"/>
                    <w:tr2bl w:val="nil"/>
                  </w:tcBorders>
                  <w:noWrap/>
                  <w:vAlign w:val="center"/>
                </w:tcPr>
                <w:p>
                  <w:pPr>
                    <w:snapToGrid w:val="0"/>
                    <w:jc w:val="center"/>
                    <w:rPr>
                      <w:szCs w:val="21"/>
                    </w:rPr>
                  </w:pPr>
                  <w:r>
                    <w:rPr>
                      <w:rFonts w:hint="eastAsia"/>
                      <w:szCs w:val="21"/>
                    </w:rPr>
                    <w:t>船舱隔声</w:t>
                  </w:r>
                </w:p>
              </w:tc>
              <w:tc>
                <w:tcPr>
                  <w:tcW w:w="2058" w:type="dxa"/>
                  <w:tcBorders>
                    <w:tl2br w:val="nil"/>
                    <w:tr2bl w:val="nil"/>
                  </w:tcBorders>
                  <w:noWrap/>
                  <w:vAlign w:val="center"/>
                </w:tcPr>
                <w:p>
                  <w:pPr>
                    <w:snapToGrid w:val="0"/>
                    <w:jc w:val="center"/>
                    <w:rPr>
                      <w:szCs w:val="21"/>
                      <w:highlight w:val="yellow"/>
                    </w:rPr>
                  </w:pPr>
                </w:p>
              </w:tc>
              <w:tc>
                <w:tcPr>
                  <w:tcW w:w="2058" w:type="dxa"/>
                  <w:tcBorders>
                    <w:tl2br w:val="nil"/>
                    <w:tr2bl w:val="nil"/>
                  </w:tcBorders>
                  <w:noWrap/>
                  <w:vAlign w:val="center"/>
                </w:tcPr>
                <w:p>
                  <w:pPr>
                    <w:snapToGrid w:val="0"/>
                    <w:jc w:val="center"/>
                    <w:rPr>
                      <w:szCs w:val="21"/>
                    </w:rPr>
                  </w:pPr>
                  <w:r>
                    <w:rPr>
                      <w:rFonts w:hint="eastAsia"/>
                      <w:szCs w:val="21"/>
                    </w:rPr>
                    <w:t>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28" w:hRule="atLeast"/>
                <w:jc w:val="center"/>
              </w:trPr>
              <w:tc>
                <w:tcPr>
                  <w:tcW w:w="641" w:type="dxa"/>
                  <w:tcBorders>
                    <w:tl2br w:val="nil"/>
                    <w:tr2bl w:val="nil"/>
                  </w:tcBorders>
                  <w:noWrap/>
                  <w:vAlign w:val="center"/>
                </w:tcPr>
                <w:p>
                  <w:pPr>
                    <w:snapToGrid w:val="0"/>
                    <w:jc w:val="center"/>
                    <w:rPr>
                      <w:szCs w:val="21"/>
                    </w:rPr>
                  </w:pPr>
                  <w:r>
                    <w:rPr>
                      <w:rFonts w:hint="eastAsia"/>
                      <w:szCs w:val="21"/>
                    </w:rPr>
                    <w:t>3</w:t>
                  </w:r>
                </w:p>
              </w:tc>
              <w:tc>
                <w:tcPr>
                  <w:tcW w:w="2982" w:type="dxa"/>
                  <w:tcBorders>
                    <w:tl2br w:val="nil"/>
                    <w:tr2bl w:val="nil"/>
                  </w:tcBorders>
                  <w:noWrap/>
                  <w:vAlign w:val="center"/>
                </w:tcPr>
                <w:p>
                  <w:pPr>
                    <w:snapToGrid w:val="0"/>
                    <w:jc w:val="center"/>
                    <w:rPr>
                      <w:szCs w:val="21"/>
                    </w:rPr>
                  </w:pPr>
                  <w:r>
                    <w:rPr>
                      <w:rFonts w:hint="eastAsia"/>
                      <w:szCs w:val="21"/>
                    </w:rPr>
                    <w:t>油舱防渗措施</w:t>
                  </w:r>
                </w:p>
              </w:tc>
              <w:tc>
                <w:tcPr>
                  <w:tcW w:w="2058" w:type="dxa"/>
                  <w:tcBorders>
                    <w:tl2br w:val="nil"/>
                    <w:tr2bl w:val="nil"/>
                  </w:tcBorders>
                  <w:noWrap/>
                  <w:vAlign w:val="center"/>
                </w:tcPr>
                <w:p>
                  <w:pPr>
                    <w:snapToGrid w:val="0"/>
                    <w:jc w:val="center"/>
                    <w:rPr>
                      <w:szCs w:val="21"/>
                      <w:highlight w:val="yellow"/>
                    </w:rPr>
                  </w:pPr>
                </w:p>
              </w:tc>
              <w:tc>
                <w:tcPr>
                  <w:tcW w:w="2058" w:type="dxa"/>
                  <w:tcBorders>
                    <w:tl2br w:val="nil"/>
                    <w:tr2bl w:val="nil"/>
                  </w:tcBorders>
                  <w:noWrap/>
                  <w:vAlign w:val="center"/>
                </w:tcPr>
                <w:p>
                  <w:pPr>
                    <w:snapToGrid w:val="0"/>
                    <w:jc w:val="center"/>
                    <w:rPr>
                      <w:szCs w:val="21"/>
                    </w:rPr>
                  </w:pPr>
                  <w:r>
                    <w:rPr>
                      <w:rFonts w:hint="eastAsia"/>
                      <w:szCs w:val="21"/>
                    </w:rPr>
                    <w:t>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28" w:hRule="atLeast"/>
                <w:jc w:val="center"/>
              </w:trPr>
              <w:tc>
                <w:tcPr>
                  <w:tcW w:w="641" w:type="dxa"/>
                  <w:tcBorders>
                    <w:tl2br w:val="nil"/>
                    <w:tr2bl w:val="nil"/>
                  </w:tcBorders>
                  <w:noWrap/>
                  <w:vAlign w:val="center"/>
                </w:tcPr>
                <w:p>
                  <w:pPr>
                    <w:snapToGrid w:val="0"/>
                    <w:jc w:val="center"/>
                    <w:rPr>
                      <w:szCs w:val="21"/>
                    </w:rPr>
                  </w:pPr>
                  <w:r>
                    <w:rPr>
                      <w:rFonts w:hint="eastAsia"/>
                      <w:szCs w:val="21"/>
                    </w:rPr>
                    <w:t>4</w:t>
                  </w:r>
                </w:p>
              </w:tc>
              <w:tc>
                <w:tcPr>
                  <w:tcW w:w="2982" w:type="dxa"/>
                  <w:tcBorders>
                    <w:tl2br w:val="nil"/>
                    <w:tr2bl w:val="nil"/>
                  </w:tcBorders>
                  <w:noWrap/>
                  <w:vAlign w:val="center"/>
                </w:tcPr>
                <w:p>
                  <w:pPr>
                    <w:snapToGrid w:val="0"/>
                    <w:jc w:val="center"/>
                    <w:rPr>
                      <w:szCs w:val="21"/>
                    </w:rPr>
                  </w:pPr>
                  <w:r>
                    <w:rPr>
                      <w:rFonts w:hint="eastAsia"/>
                      <w:szCs w:val="21"/>
                    </w:rPr>
                    <w:t>生活垃圾桶</w:t>
                  </w:r>
                </w:p>
              </w:tc>
              <w:tc>
                <w:tcPr>
                  <w:tcW w:w="2058" w:type="dxa"/>
                  <w:tcBorders>
                    <w:tl2br w:val="nil"/>
                    <w:tr2bl w:val="nil"/>
                  </w:tcBorders>
                  <w:noWrap/>
                  <w:vAlign w:val="center"/>
                </w:tcPr>
                <w:p>
                  <w:pPr>
                    <w:snapToGrid w:val="0"/>
                    <w:jc w:val="center"/>
                    <w:rPr>
                      <w:szCs w:val="21"/>
                      <w:highlight w:val="yellow"/>
                    </w:rPr>
                  </w:pPr>
                </w:p>
              </w:tc>
              <w:tc>
                <w:tcPr>
                  <w:tcW w:w="2058" w:type="dxa"/>
                  <w:tcBorders>
                    <w:tl2br w:val="nil"/>
                    <w:tr2bl w:val="nil"/>
                  </w:tcBorders>
                  <w:noWrap/>
                  <w:vAlign w:val="center"/>
                </w:tcPr>
                <w:p>
                  <w:pPr>
                    <w:snapToGrid w:val="0"/>
                    <w:jc w:val="center"/>
                    <w:rPr>
                      <w:szCs w:val="21"/>
                    </w:rPr>
                  </w:pPr>
                  <w:r>
                    <w:rPr>
                      <w:rFonts w:hint="eastAsia"/>
                      <w:szCs w:val="21"/>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28" w:hRule="atLeast"/>
                <w:jc w:val="center"/>
              </w:trPr>
              <w:tc>
                <w:tcPr>
                  <w:tcW w:w="641" w:type="dxa"/>
                  <w:tcBorders>
                    <w:tl2br w:val="nil"/>
                    <w:tr2bl w:val="nil"/>
                  </w:tcBorders>
                  <w:noWrap/>
                  <w:vAlign w:val="center"/>
                </w:tcPr>
                <w:p>
                  <w:pPr>
                    <w:snapToGrid w:val="0"/>
                    <w:jc w:val="center"/>
                    <w:rPr>
                      <w:szCs w:val="21"/>
                    </w:rPr>
                  </w:pPr>
                  <w:r>
                    <w:rPr>
                      <w:rFonts w:hint="eastAsia"/>
                      <w:szCs w:val="21"/>
                    </w:rPr>
                    <w:t>5</w:t>
                  </w:r>
                </w:p>
              </w:tc>
              <w:tc>
                <w:tcPr>
                  <w:tcW w:w="2982" w:type="dxa"/>
                  <w:tcBorders>
                    <w:tl2br w:val="nil"/>
                    <w:tr2bl w:val="nil"/>
                  </w:tcBorders>
                  <w:noWrap/>
                  <w:vAlign w:val="center"/>
                </w:tcPr>
                <w:p>
                  <w:pPr>
                    <w:snapToGrid w:val="0"/>
                    <w:jc w:val="center"/>
                    <w:rPr>
                      <w:szCs w:val="21"/>
                    </w:rPr>
                  </w:pPr>
                  <w:r>
                    <w:rPr>
                      <w:rFonts w:hint="eastAsia"/>
                      <w:szCs w:val="21"/>
                    </w:rPr>
                    <w:t>围油栏、吸油毡等</w:t>
                  </w:r>
                </w:p>
              </w:tc>
              <w:tc>
                <w:tcPr>
                  <w:tcW w:w="2058" w:type="dxa"/>
                  <w:tcBorders>
                    <w:tl2br w:val="nil"/>
                    <w:tr2bl w:val="nil"/>
                  </w:tcBorders>
                  <w:noWrap/>
                  <w:vAlign w:val="center"/>
                </w:tcPr>
                <w:p>
                  <w:pPr>
                    <w:snapToGrid w:val="0"/>
                    <w:jc w:val="center"/>
                    <w:rPr>
                      <w:szCs w:val="21"/>
                      <w:highlight w:val="yellow"/>
                    </w:rPr>
                  </w:pPr>
                </w:p>
              </w:tc>
              <w:tc>
                <w:tcPr>
                  <w:tcW w:w="2058" w:type="dxa"/>
                  <w:tcBorders>
                    <w:tl2br w:val="nil"/>
                    <w:tr2bl w:val="nil"/>
                  </w:tcBorders>
                  <w:noWrap/>
                  <w:vAlign w:val="center"/>
                </w:tcPr>
                <w:p>
                  <w:pPr>
                    <w:snapToGrid w:val="0"/>
                    <w:jc w:val="center"/>
                    <w:rPr>
                      <w:szCs w:val="21"/>
                    </w:rPr>
                  </w:pPr>
                  <w:r>
                    <w:rPr>
                      <w:rFonts w:hint="eastAsia"/>
                      <w:szCs w:val="21"/>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31" w:hRule="atLeast"/>
                <w:jc w:val="center"/>
              </w:trPr>
              <w:tc>
                <w:tcPr>
                  <w:tcW w:w="3623" w:type="dxa"/>
                  <w:gridSpan w:val="2"/>
                  <w:tcBorders>
                    <w:tl2br w:val="nil"/>
                    <w:tr2bl w:val="nil"/>
                  </w:tcBorders>
                  <w:noWrap/>
                  <w:vAlign w:val="center"/>
                </w:tcPr>
                <w:p>
                  <w:pPr>
                    <w:snapToGrid w:val="0"/>
                    <w:jc w:val="center"/>
                    <w:rPr>
                      <w:szCs w:val="21"/>
                    </w:rPr>
                  </w:pPr>
                  <w:r>
                    <w:rPr>
                      <w:rFonts w:hint="eastAsia"/>
                      <w:szCs w:val="21"/>
                    </w:rPr>
                    <w:t>合计</w:t>
                  </w:r>
                </w:p>
              </w:tc>
              <w:tc>
                <w:tcPr>
                  <w:tcW w:w="4116" w:type="dxa"/>
                  <w:gridSpan w:val="2"/>
                  <w:tcBorders>
                    <w:tl2br w:val="nil"/>
                    <w:tr2bl w:val="nil"/>
                  </w:tcBorders>
                  <w:noWrap/>
                  <w:vAlign w:val="center"/>
                </w:tcPr>
                <w:p>
                  <w:pPr>
                    <w:snapToGrid w:val="0"/>
                    <w:jc w:val="center"/>
                    <w:rPr>
                      <w:szCs w:val="21"/>
                    </w:rPr>
                  </w:pPr>
                  <w:r>
                    <w:rPr>
                      <w:rFonts w:hint="eastAsia"/>
                      <w:szCs w:val="21"/>
                    </w:rPr>
                    <w:t>120</w:t>
                  </w:r>
                </w:p>
              </w:tc>
            </w:tr>
          </w:tbl>
          <w:p>
            <w:pPr>
              <w:spacing w:line="360" w:lineRule="auto"/>
              <w:rPr>
                <w:rFonts w:ascii="宋体" w:hAnsi="宋体" w:cs="宋体"/>
                <w:bCs/>
                <w:spacing w:val="-10"/>
                <w:szCs w:val="21"/>
              </w:rPr>
            </w:pPr>
            <w:r>
              <w:rPr>
                <w:rFonts w:ascii="宋体" w:hAnsi="宋体" w:cs="宋体"/>
                <w:bCs/>
                <w:spacing w:val="-10"/>
                <w:szCs w:val="21"/>
              </w:rPr>
              <w:br w:type="textWrapping"/>
            </w:r>
            <w:r>
              <w:rPr>
                <w:rFonts w:ascii="宋体" w:hAnsi="宋体" w:cs="宋体"/>
                <w:bCs/>
                <w:spacing w:val="-10"/>
                <w:szCs w:val="21"/>
              </w:rPr>
              <w:br w:type="textWrapping"/>
            </w:r>
            <w:r>
              <w:rPr>
                <w:rFonts w:ascii="宋体" w:hAnsi="宋体" w:cs="宋体"/>
                <w:bCs/>
                <w:spacing w:val="-10"/>
                <w:szCs w:val="21"/>
              </w:rPr>
              <w:br w:type="textWrapping"/>
            </w:r>
            <w:r>
              <w:rPr>
                <w:rFonts w:ascii="宋体" w:hAnsi="宋体" w:cs="宋体"/>
                <w:bCs/>
                <w:spacing w:val="-10"/>
                <w:szCs w:val="21"/>
              </w:rPr>
              <w:br w:type="textWrapping"/>
            </w:r>
            <w:r>
              <w:rPr>
                <w:rFonts w:ascii="宋体" w:hAnsi="宋体" w:cs="宋体"/>
                <w:bCs/>
                <w:spacing w:val="-10"/>
                <w:szCs w:val="21"/>
              </w:rPr>
              <w:br w:type="textWrapping"/>
            </w:r>
            <w:r>
              <w:rPr>
                <w:rFonts w:ascii="宋体" w:hAnsi="宋体" w:cs="宋体"/>
                <w:bCs/>
                <w:spacing w:val="-10"/>
                <w:szCs w:val="21"/>
              </w:rPr>
              <w:br w:type="textWrapping"/>
            </w:r>
          </w:p>
        </w:tc>
      </w:tr>
    </w:tbl>
    <w:p>
      <w:pPr>
        <w:adjustRightInd w:val="0"/>
        <w:snapToGrid w:val="0"/>
        <w:spacing w:line="360" w:lineRule="auto"/>
        <w:rPr>
          <w:rFonts w:ascii="宋体" w:cs="宋体"/>
          <w:b/>
          <w:kern w:val="0"/>
          <w:sz w:val="28"/>
          <w:szCs w:val="28"/>
        </w:rPr>
        <w:sectPr>
          <w:pgSz w:w="11907" w:h="16840"/>
          <w:pgMar w:top="1701" w:right="1531" w:bottom="2127" w:left="1531" w:header="851" w:footer="851" w:gutter="0"/>
          <w:cols w:space="720" w:num="1"/>
          <w:docGrid w:linePitch="312" w:charSpace="0"/>
        </w:sectPr>
      </w:pPr>
    </w:p>
    <w:p>
      <w:pPr>
        <w:pStyle w:val="20"/>
        <w:jc w:val="center"/>
        <w:outlineLvl w:val="0"/>
        <w:rPr>
          <w:rFonts w:ascii="黑体" w:hAnsi="黑体" w:eastAsia="黑体"/>
          <w:snapToGrid w:val="0"/>
          <w:sz w:val="30"/>
          <w:szCs w:val="30"/>
        </w:rPr>
      </w:pPr>
      <w:r>
        <w:rPr>
          <w:rFonts w:hint="eastAsia" w:ascii="黑体" w:hAnsi="黑体" w:eastAsia="黑体"/>
          <w:snapToGrid w:val="0"/>
          <w:sz w:val="30"/>
          <w:szCs w:val="30"/>
        </w:rPr>
        <w:t>五、</w:t>
      </w:r>
      <w:bookmarkStart w:id="48" w:name="_Hlk54167917"/>
      <w:r>
        <w:rPr>
          <w:rFonts w:hint="eastAsia" w:ascii="黑体" w:hAnsi="黑体" w:eastAsia="黑体"/>
          <w:snapToGrid w:val="0"/>
          <w:sz w:val="30"/>
          <w:szCs w:val="30"/>
        </w:rPr>
        <w:t>环境保护措施监督检查清单</w:t>
      </w:r>
      <w:bookmarkEnd w:id="44"/>
      <w:bookmarkEnd w:id="48"/>
    </w:p>
    <w:tbl>
      <w:tblPr>
        <w:tblStyle w:val="24"/>
        <w:tblW w:w="889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798"/>
        <w:gridCol w:w="1774"/>
        <w:gridCol w:w="1483"/>
        <w:gridCol w:w="1548"/>
        <w:gridCol w:w="229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1798" w:type="dxa"/>
            <w:tcBorders>
              <w:tl2br w:val="nil"/>
              <w:tr2bl w:val="nil"/>
            </w:tcBorders>
            <w:noWrap/>
          </w:tcPr>
          <w:p>
            <w:pPr>
              <w:adjustRightInd w:val="0"/>
              <w:snapToGrid w:val="0"/>
              <w:jc w:val="center"/>
              <w:rPr>
                <w:szCs w:val="21"/>
              </w:rPr>
            </w:pPr>
            <w:r>
              <w:rPr>
                <w:szCs w:val="21"/>
              </w:rPr>
              <w:t>内容</w:t>
            </w:r>
          </w:p>
          <w:p>
            <w:pPr>
              <w:adjustRightInd w:val="0"/>
              <w:snapToGrid w:val="0"/>
              <w:jc w:val="center"/>
              <w:rPr>
                <w:szCs w:val="21"/>
              </w:rPr>
            </w:pPr>
            <w:r>
              <w:rPr>
                <w:szCs w:val="21"/>
              </w:rPr>
              <w:t>要素</w:t>
            </w:r>
          </w:p>
        </w:tc>
        <w:tc>
          <w:tcPr>
            <w:tcW w:w="1774" w:type="dxa"/>
            <w:tcBorders>
              <w:tl2br w:val="nil"/>
              <w:tr2bl w:val="nil"/>
            </w:tcBorders>
            <w:noWrap/>
            <w:vAlign w:val="center"/>
          </w:tcPr>
          <w:p>
            <w:pPr>
              <w:adjustRightInd w:val="0"/>
              <w:snapToGrid w:val="0"/>
              <w:jc w:val="center"/>
              <w:rPr>
                <w:szCs w:val="21"/>
              </w:rPr>
            </w:pPr>
            <w:r>
              <w:rPr>
                <w:szCs w:val="21"/>
              </w:rPr>
              <w:t>排放口</w:t>
            </w:r>
            <w:r>
              <w:rPr>
                <w:rFonts w:hint="eastAsia"/>
                <w:szCs w:val="21"/>
              </w:rPr>
              <w:t>（</w:t>
            </w:r>
            <w:r>
              <w:rPr>
                <w:szCs w:val="21"/>
              </w:rPr>
              <w:t>编号、</w:t>
            </w:r>
          </w:p>
          <w:p>
            <w:pPr>
              <w:adjustRightInd w:val="0"/>
              <w:snapToGrid w:val="0"/>
              <w:jc w:val="center"/>
              <w:rPr>
                <w:szCs w:val="21"/>
              </w:rPr>
            </w:pPr>
            <w:r>
              <w:rPr>
                <w:szCs w:val="21"/>
              </w:rPr>
              <w:t>名称</w:t>
            </w:r>
            <w:r>
              <w:rPr>
                <w:rFonts w:hint="eastAsia"/>
                <w:szCs w:val="21"/>
              </w:rPr>
              <w:t>）</w:t>
            </w:r>
            <w:r>
              <w:rPr>
                <w:szCs w:val="21"/>
              </w:rPr>
              <w:t>/污染源</w:t>
            </w:r>
          </w:p>
        </w:tc>
        <w:tc>
          <w:tcPr>
            <w:tcW w:w="1483" w:type="dxa"/>
            <w:tcBorders>
              <w:tl2br w:val="nil"/>
              <w:tr2bl w:val="nil"/>
            </w:tcBorders>
            <w:noWrap/>
            <w:vAlign w:val="center"/>
          </w:tcPr>
          <w:p>
            <w:pPr>
              <w:adjustRightInd w:val="0"/>
              <w:snapToGrid w:val="0"/>
              <w:jc w:val="center"/>
              <w:rPr>
                <w:szCs w:val="21"/>
              </w:rPr>
            </w:pPr>
            <w:r>
              <w:rPr>
                <w:szCs w:val="21"/>
              </w:rPr>
              <w:t>污染物项目</w:t>
            </w:r>
          </w:p>
        </w:tc>
        <w:tc>
          <w:tcPr>
            <w:tcW w:w="1548" w:type="dxa"/>
            <w:tcBorders>
              <w:tl2br w:val="nil"/>
              <w:tr2bl w:val="nil"/>
            </w:tcBorders>
            <w:noWrap/>
            <w:vAlign w:val="center"/>
          </w:tcPr>
          <w:p>
            <w:pPr>
              <w:adjustRightInd w:val="0"/>
              <w:snapToGrid w:val="0"/>
              <w:jc w:val="center"/>
              <w:rPr>
                <w:szCs w:val="21"/>
              </w:rPr>
            </w:pPr>
            <w:r>
              <w:rPr>
                <w:szCs w:val="21"/>
              </w:rPr>
              <w:t>环境保护措施</w:t>
            </w:r>
          </w:p>
        </w:tc>
        <w:tc>
          <w:tcPr>
            <w:tcW w:w="2293" w:type="dxa"/>
            <w:tcBorders>
              <w:tl2br w:val="nil"/>
              <w:tr2bl w:val="nil"/>
            </w:tcBorders>
            <w:noWrap/>
            <w:vAlign w:val="center"/>
          </w:tcPr>
          <w:p>
            <w:pPr>
              <w:adjustRightInd w:val="0"/>
              <w:snapToGrid w:val="0"/>
              <w:jc w:val="center"/>
              <w:rPr>
                <w:szCs w:val="21"/>
              </w:rPr>
            </w:pPr>
            <w:r>
              <w:rPr>
                <w:szCs w:val="21"/>
              </w:rPr>
              <w:t>执行标准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58" w:hRule="atLeast"/>
          <w:jc w:val="center"/>
        </w:trPr>
        <w:tc>
          <w:tcPr>
            <w:tcW w:w="1798" w:type="dxa"/>
            <w:vMerge w:val="restart"/>
            <w:tcBorders>
              <w:tl2br w:val="nil"/>
              <w:tr2bl w:val="nil"/>
            </w:tcBorders>
            <w:noWrap/>
            <w:vAlign w:val="center"/>
          </w:tcPr>
          <w:p>
            <w:pPr>
              <w:adjustRightInd w:val="0"/>
              <w:snapToGrid w:val="0"/>
              <w:jc w:val="center"/>
              <w:rPr>
                <w:szCs w:val="21"/>
              </w:rPr>
            </w:pPr>
            <w:r>
              <w:rPr>
                <w:szCs w:val="21"/>
              </w:rPr>
              <w:t>大气环境</w:t>
            </w:r>
          </w:p>
        </w:tc>
        <w:tc>
          <w:tcPr>
            <w:tcW w:w="1774" w:type="dxa"/>
            <w:tcBorders>
              <w:tl2br w:val="nil"/>
              <w:tr2bl w:val="nil"/>
            </w:tcBorders>
            <w:noWrap/>
            <w:vAlign w:val="center"/>
          </w:tcPr>
          <w:p>
            <w:pPr>
              <w:adjustRightInd w:val="0"/>
              <w:snapToGrid w:val="0"/>
              <w:jc w:val="center"/>
              <w:rPr>
                <w:szCs w:val="21"/>
              </w:rPr>
            </w:pPr>
            <w:r>
              <w:rPr>
                <w:rFonts w:hint="eastAsia"/>
                <w:szCs w:val="21"/>
              </w:rPr>
              <w:t>柴油发电机废气</w:t>
            </w:r>
          </w:p>
        </w:tc>
        <w:tc>
          <w:tcPr>
            <w:tcW w:w="1483" w:type="dxa"/>
            <w:tcBorders>
              <w:tl2br w:val="nil"/>
              <w:tr2bl w:val="nil"/>
            </w:tcBorders>
            <w:noWrap/>
            <w:vAlign w:val="center"/>
          </w:tcPr>
          <w:p>
            <w:pPr>
              <w:adjustRightInd w:val="0"/>
              <w:snapToGrid w:val="0"/>
              <w:jc w:val="center"/>
              <w:rPr>
                <w:szCs w:val="21"/>
              </w:rPr>
            </w:pPr>
            <w:r>
              <w:rPr>
                <w:szCs w:val="21"/>
              </w:rPr>
              <w:t>烟尘、二氧化硫、氮氧化物</w:t>
            </w:r>
          </w:p>
        </w:tc>
        <w:tc>
          <w:tcPr>
            <w:tcW w:w="1548" w:type="dxa"/>
            <w:tcBorders>
              <w:tl2br w:val="nil"/>
              <w:tr2bl w:val="nil"/>
            </w:tcBorders>
            <w:noWrap/>
            <w:vAlign w:val="center"/>
          </w:tcPr>
          <w:p>
            <w:pPr>
              <w:adjustRightInd w:val="0"/>
              <w:snapToGrid w:val="0"/>
              <w:jc w:val="center"/>
              <w:rPr>
                <w:szCs w:val="21"/>
              </w:rPr>
            </w:pPr>
            <w:r>
              <w:rPr>
                <w:rFonts w:hint="eastAsia"/>
                <w:szCs w:val="21"/>
              </w:rPr>
              <w:t>自由扩散</w:t>
            </w:r>
          </w:p>
        </w:tc>
        <w:tc>
          <w:tcPr>
            <w:tcW w:w="2293" w:type="dxa"/>
            <w:vMerge w:val="restart"/>
            <w:tcBorders>
              <w:tl2br w:val="nil"/>
              <w:tr2bl w:val="nil"/>
            </w:tcBorders>
            <w:noWrap/>
            <w:vAlign w:val="center"/>
          </w:tcPr>
          <w:p>
            <w:pPr>
              <w:adjustRightInd w:val="0"/>
              <w:snapToGrid w:val="0"/>
              <w:jc w:val="center"/>
              <w:rPr>
                <w:szCs w:val="21"/>
              </w:rPr>
            </w:pPr>
            <w:r>
              <w:rPr>
                <w:rFonts w:hint="eastAsia"/>
                <w:bCs/>
                <w:szCs w:val="21"/>
              </w:rPr>
              <w:t>《大气污染物综合排放标准》（GB16297-1996）表2中无组织排放监控浓度限值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99" w:hRule="atLeast"/>
          <w:jc w:val="center"/>
        </w:trPr>
        <w:tc>
          <w:tcPr>
            <w:tcW w:w="1798" w:type="dxa"/>
            <w:vMerge w:val="continue"/>
            <w:tcBorders>
              <w:tl2br w:val="nil"/>
              <w:tr2bl w:val="nil"/>
            </w:tcBorders>
            <w:noWrap/>
            <w:vAlign w:val="center"/>
          </w:tcPr>
          <w:p>
            <w:pPr>
              <w:adjustRightInd w:val="0"/>
              <w:snapToGrid w:val="0"/>
              <w:jc w:val="center"/>
              <w:rPr>
                <w:szCs w:val="21"/>
              </w:rPr>
            </w:pPr>
          </w:p>
        </w:tc>
        <w:tc>
          <w:tcPr>
            <w:tcW w:w="1774" w:type="dxa"/>
            <w:tcBorders>
              <w:tl2br w:val="nil"/>
              <w:tr2bl w:val="nil"/>
            </w:tcBorders>
            <w:noWrap/>
            <w:vAlign w:val="center"/>
          </w:tcPr>
          <w:p>
            <w:pPr>
              <w:adjustRightInd w:val="0"/>
              <w:snapToGrid w:val="0"/>
              <w:jc w:val="center"/>
              <w:rPr>
                <w:szCs w:val="21"/>
              </w:rPr>
            </w:pPr>
            <w:r>
              <w:rPr>
                <w:rFonts w:hint="eastAsia"/>
                <w:szCs w:val="21"/>
              </w:rPr>
              <w:t>挥发性气体</w:t>
            </w:r>
          </w:p>
        </w:tc>
        <w:tc>
          <w:tcPr>
            <w:tcW w:w="1483" w:type="dxa"/>
            <w:tcBorders>
              <w:tl2br w:val="nil"/>
              <w:tr2bl w:val="nil"/>
            </w:tcBorders>
            <w:noWrap/>
            <w:vAlign w:val="center"/>
          </w:tcPr>
          <w:p>
            <w:pPr>
              <w:adjustRightInd w:val="0"/>
              <w:snapToGrid w:val="0"/>
              <w:jc w:val="center"/>
              <w:rPr>
                <w:szCs w:val="21"/>
              </w:rPr>
            </w:pPr>
            <w:r>
              <w:rPr>
                <w:rFonts w:hint="eastAsia"/>
                <w:szCs w:val="21"/>
              </w:rPr>
              <w:t>非甲烷总烃</w:t>
            </w:r>
          </w:p>
        </w:tc>
        <w:tc>
          <w:tcPr>
            <w:tcW w:w="1548" w:type="dxa"/>
            <w:tcBorders>
              <w:tl2br w:val="nil"/>
              <w:tr2bl w:val="nil"/>
            </w:tcBorders>
            <w:noWrap/>
            <w:vAlign w:val="center"/>
          </w:tcPr>
          <w:p>
            <w:pPr>
              <w:adjustRightInd w:val="0"/>
              <w:snapToGrid w:val="0"/>
              <w:jc w:val="center"/>
              <w:rPr>
                <w:szCs w:val="21"/>
              </w:rPr>
            </w:pPr>
            <w:r>
              <w:rPr>
                <w:rFonts w:hint="eastAsia"/>
                <w:szCs w:val="21"/>
              </w:rPr>
              <w:t>封闭处理、自由扩散等</w:t>
            </w:r>
          </w:p>
        </w:tc>
        <w:tc>
          <w:tcPr>
            <w:tcW w:w="2293" w:type="dxa"/>
            <w:vMerge w:val="continue"/>
            <w:tcBorders>
              <w:tl2br w:val="nil"/>
              <w:tr2bl w:val="nil"/>
            </w:tcBorders>
            <w:noWrap/>
            <w:vAlign w:val="center"/>
          </w:tcPr>
          <w:p>
            <w:pPr>
              <w:adjustRightInd w:val="0"/>
              <w:snapToGrid w:val="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99" w:hRule="atLeast"/>
          <w:jc w:val="center"/>
        </w:trPr>
        <w:tc>
          <w:tcPr>
            <w:tcW w:w="1798" w:type="dxa"/>
            <w:vMerge w:val="continue"/>
            <w:tcBorders>
              <w:tl2br w:val="nil"/>
              <w:tr2bl w:val="nil"/>
            </w:tcBorders>
            <w:noWrap/>
            <w:vAlign w:val="center"/>
          </w:tcPr>
          <w:p>
            <w:pPr>
              <w:adjustRightInd w:val="0"/>
              <w:snapToGrid w:val="0"/>
              <w:jc w:val="center"/>
              <w:rPr>
                <w:szCs w:val="21"/>
              </w:rPr>
            </w:pPr>
          </w:p>
        </w:tc>
        <w:tc>
          <w:tcPr>
            <w:tcW w:w="1774" w:type="dxa"/>
            <w:tcBorders>
              <w:tl2br w:val="nil"/>
              <w:tr2bl w:val="nil"/>
            </w:tcBorders>
            <w:noWrap/>
            <w:vAlign w:val="center"/>
          </w:tcPr>
          <w:p>
            <w:pPr>
              <w:adjustRightInd w:val="0"/>
              <w:snapToGrid w:val="0"/>
              <w:jc w:val="center"/>
              <w:rPr>
                <w:szCs w:val="21"/>
              </w:rPr>
            </w:pPr>
            <w:r>
              <w:rPr>
                <w:rFonts w:hint="eastAsia"/>
                <w:szCs w:val="21"/>
              </w:rPr>
              <w:t>无组织恶臭</w:t>
            </w:r>
          </w:p>
        </w:tc>
        <w:tc>
          <w:tcPr>
            <w:tcW w:w="1483" w:type="dxa"/>
            <w:tcBorders>
              <w:tl2br w:val="nil"/>
              <w:tr2bl w:val="nil"/>
            </w:tcBorders>
            <w:noWrap/>
            <w:vAlign w:val="center"/>
          </w:tcPr>
          <w:p>
            <w:pPr>
              <w:adjustRightInd w:val="0"/>
              <w:snapToGrid w:val="0"/>
              <w:jc w:val="center"/>
              <w:rPr>
                <w:szCs w:val="21"/>
              </w:rPr>
            </w:pPr>
            <w:r>
              <w:rPr>
                <w:rFonts w:hint="eastAsia"/>
                <w:szCs w:val="21"/>
              </w:rPr>
              <w:t>臭气浓度</w:t>
            </w:r>
          </w:p>
        </w:tc>
        <w:tc>
          <w:tcPr>
            <w:tcW w:w="1548" w:type="dxa"/>
            <w:tcBorders>
              <w:tl2br w:val="nil"/>
              <w:tr2bl w:val="nil"/>
            </w:tcBorders>
            <w:noWrap/>
            <w:vAlign w:val="center"/>
          </w:tcPr>
          <w:p>
            <w:pPr>
              <w:adjustRightInd w:val="0"/>
              <w:snapToGrid w:val="0"/>
              <w:jc w:val="center"/>
              <w:rPr>
                <w:szCs w:val="21"/>
              </w:rPr>
            </w:pPr>
            <w:r>
              <w:rPr>
                <w:rFonts w:hint="eastAsia"/>
              </w:rPr>
              <w:t>易产生恶臭的污水处理设施封闭</w:t>
            </w:r>
          </w:p>
        </w:tc>
        <w:tc>
          <w:tcPr>
            <w:tcW w:w="2293" w:type="dxa"/>
            <w:tcBorders>
              <w:tl2br w:val="nil"/>
              <w:tr2bl w:val="nil"/>
            </w:tcBorders>
            <w:noWrap/>
            <w:vAlign w:val="center"/>
          </w:tcPr>
          <w:p>
            <w:pPr>
              <w:adjustRightInd w:val="0"/>
              <w:snapToGrid w:val="0"/>
              <w:jc w:val="center"/>
              <w:rPr>
                <w:szCs w:val="21"/>
              </w:rPr>
            </w:pPr>
            <w:r>
              <w:rPr>
                <w:rFonts w:hint="eastAsia"/>
                <w:szCs w:val="21"/>
              </w:rPr>
              <w:t>《恶臭污染物排放标准》（GB14554-93）中的恶臭污染物厂界（标准值臭气浓度：20无量纲）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5" w:hRule="atLeast"/>
          <w:jc w:val="center"/>
        </w:trPr>
        <w:tc>
          <w:tcPr>
            <w:tcW w:w="1798" w:type="dxa"/>
            <w:vMerge w:val="restart"/>
            <w:tcBorders>
              <w:tl2br w:val="nil"/>
              <w:tr2bl w:val="nil"/>
            </w:tcBorders>
            <w:noWrap/>
            <w:vAlign w:val="center"/>
          </w:tcPr>
          <w:p>
            <w:pPr>
              <w:adjustRightInd w:val="0"/>
              <w:snapToGrid w:val="0"/>
              <w:jc w:val="center"/>
              <w:rPr>
                <w:szCs w:val="21"/>
              </w:rPr>
            </w:pPr>
            <w:r>
              <w:rPr>
                <w:szCs w:val="21"/>
              </w:rPr>
              <w:t>地表水环境</w:t>
            </w:r>
          </w:p>
        </w:tc>
        <w:tc>
          <w:tcPr>
            <w:tcW w:w="1774" w:type="dxa"/>
            <w:tcBorders>
              <w:tl2br w:val="nil"/>
              <w:tr2bl w:val="nil"/>
            </w:tcBorders>
            <w:noWrap/>
            <w:vAlign w:val="center"/>
          </w:tcPr>
          <w:p>
            <w:pPr>
              <w:adjustRightInd w:val="0"/>
              <w:snapToGrid w:val="0"/>
              <w:jc w:val="center"/>
              <w:rPr>
                <w:szCs w:val="21"/>
              </w:rPr>
            </w:pPr>
            <w:r>
              <w:rPr>
                <w:rFonts w:hint="eastAsia"/>
                <w:szCs w:val="21"/>
              </w:rPr>
              <w:t>含油</w:t>
            </w:r>
            <w:r>
              <w:rPr>
                <w:szCs w:val="21"/>
              </w:rPr>
              <w:t>废水</w:t>
            </w:r>
          </w:p>
        </w:tc>
        <w:tc>
          <w:tcPr>
            <w:tcW w:w="1483" w:type="dxa"/>
            <w:tcBorders>
              <w:tl2br w:val="nil"/>
              <w:tr2bl w:val="nil"/>
            </w:tcBorders>
            <w:noWrap/>
            <w:vAlign w:val="center"/>
          </w:tcPr>
          <w:p>
            <w:pPr>
              <w:adjustRightInd w:val="0"/>
              <w:snapToGrid w:val="0"/>
              <w:jc w:val="center"/>
              <w:rPr>
                <w:szCs w:val="21"/>
              </w:rPr>
            </w:pPr>
            <w:r>
              <w:rPr>
                <w:szCs w:val="21"/>
                <w:lang w:val="pt-BR"/>
              </w:rPr>
              <w:t>COD</w:t>
            </w:r>
            <w:r>
              <w:rPr>
                <w:rFonts w:hint="eastAsia"/>
                <w:szCs w:val="21"/>
                <w:lang w:val="pt-BR"/>
              </w:rPr>
              <w:t>、石油类</w:t>
            </w:r>
          </w:p>
        </w:tc>
        <w:tc>
          <w:tcPr>
            <w:tcW w:w="1548" w:type="dxa"/>
            <w:tcBorders>
              <w:tl2br w:val="nil"/>
              <w:tr2bl w:val="nil"/>
            </w:tcBorders>
            <w:noWrap/>
            <w:vAlign w:val="center"/>
          </w:tcPr>
          <w:p>
            <w:pPr>
              <w:adjustRightInd w:val="0"/>
              <w:snapToGrid w:val="0"/>
              <w:jc w:val="center"/>
              <w:rPr>
                <w:szCs w:val="21"/>
              </w:rPr>
            </w:pPr>
            <w:r>
              <w:rPr>
                <w:rFonts w:hint="eastAsia"/>
                <w:szCs w:val="21"/>
              </w:rPr>
              <w:t>油水分离器预处理、岳阳县污水处理厂</w:t>
            </w:r>
          </w:p>
        </w:tc>
        <w:tc>
          <w:tcPr>
            <w:tcW w:w="2293" w:type="dxa"/>
            <w:vMerge w:val="restart"/>
            <w:tcBorders>
              <w:tl2br w:val="nil"/>
              <w:tr2bl w:val="nil"/>
            </w:tcBorders>
            <w:noWrap/>
            <w:vAlign w:val="center"/>
          </w:tcPr>
          <w:p>
            <w:pPr>
              <w:adjustRightInd w:val="0"/>
              <w:snapToGrid w:val="0"/>
              <w:jc w:val="center"/>
              <w:rPr>
                <w:szCs w:val="21"/>
              </w:rPr>
            </w:pPr>
            <w:r>
              <w:rPr>
                <w:rFonts w:hint="eastAsia"/>
                <w:bCs/>
                <w:szCs w:val="21"/>
              </w:rPr>
              <w:t>《城镇污水处理厂污染物排放标准》一级A标准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5" w:hRule="atLeast"/>
          <w:jc w:val="center"/>
        </w:trPr>
        <w:tc>
          <w:tcPr>
            <w:tcW w:w="1798" w:type="dxa"/>
            <w:vMerge w:val="continue"/>
            <w:tcBorders>
              <w:tl2br w:val="nil"/>
              <w:tr2bl w:val="nil"/>
            </w:tcBorders>
            <w:noWrap/>
            <w:vAlign w:val="center"/>
          </w:tcPr>
          <w:p>
            <w:pPr>
              <w:adjustRightInd w:val="0"/>
              <w:snapToGrid w:val="0"/>
              <w:jc w:val="center"/>
              <w:rPr>
                <w:szCs w:val="21"/>
              </w:rPr>
            </w:pPr>
          </w:p>
        </w:tc>
        <w:tc>
          <w:tcPr>
            <w:tcW w:w="1774" w:type="dxa"/>
            <w:tcBorders>
              <w:tl2br w:val="nil"/>
              <w:tr2bl w:val="nil"/>
            </w:tcBorders>
            <w:noWrap/>
            <w:vAlign w:val="center"/>
          </w:tcPr>
          <w:p>
            <w:pPr>
              <w:adjustRightInd w:val="0"/>
              <w:snapToGrid w:val="0"/>
              <w:jc w:val="center"/>
              <w:rPr>
                <w:szCs w:val="21"/>
              </w:rPr>
            </w:pPr>
            <w:r>
              <w:rPr>
                <w:rFonts w:hint="eastAsia"/>
                <w:szCs w:val="21"/>
              </w:rPr>
              <w:t>生活污水</w:t>
            </w:r>
          </w:p>
        </w:tc>
        <w:tc>
          <w:tcPr>
            <w:tcW w:w="1483" w:type="dxa"/>
            <w:tcBorders>
              <w:tl2br w:val="nil"/>
              <w:tr2bl w:val="nil"/>
            </w:tcBorders>
            <w:noWrap/>
            <w:vAlign w:val="center"/>
          </w:tcPr>
          <w:p>
            <w:pPr>
              <w:adjustRightInd w:val="0"/>
              <w:snapToGrid w:val="0"/>
              <w:jc w:val="center"/>
              <w:rPr>
                <w:szCs w:val="21"/>
                <w:lang w:val="pt-BR"/>
              </w:rPr>
            </w:pPr>
            <w:r>
              <w:rPr>
                <w:szCs w:val="21"/>
                <w:lang w:val="pt-BR"/>
              </w:rPr>
              <w:t>COD</w:t>
            </w:r>
            <w:r>
              <w:rPr>
                <w:rFonts w:hint="eastAsia"/>
                <w:szCs w:val="21"/>
                <w:lang w:val="pt-BR"/>
              </w:rPr>
              <w:t>、</w:t>
            </w:r>
            <w:r>
              <w:rPr>
                <w:rFonts w:hint="eastAsia"/>
                <w:szCs w:val="21"/>
              </w:rPr>
              <w:t>BOD</w:t>
            </w:r>
            <w:r>
              <w:rPr>
                <w:rFonts w:hint="eastAsia"/>
                <w:szCs w:val="21"/>
                <w:lang w:val="pt-BR"/>
              </w:rPr>
              <w:t>、</w:t>
            </w:r>
            <w:r>
              <w:rPr>
                <w:rFonts w:hint="eastAsia"/>
                <w:szCs w:val="21"/>
              </w:rPr>
              <w:t>SS、</w:t>
            </w:r>
            <w:r>
              <w:rPr>
                <w:rFonts w:hint="eastAsia"/>
                <w:szCs w:val="21"/>
                <w:lang w:val="pt-BR"/>
              </w:rPr>
              <w:t>动植物油等</w:t>
            </w:r>
          </w:p>
        </w:tc>
        <w:tc>
          <w:tcPr>
            <w:tcW w:w="1548" w:type="dxa"/>
            <w:tcBorders>
              <w:tl2br w:val="nil"/>
              <w:tr2bl w:val="nil"/>
            </w:tcBorders>
            <w:noWrap/>
            <w:vAlign w:val="center"/>
          </w:tcPr>
          <w:p>
            <w:pPr>
              <w:adjustRightInd w:val="0"/>
              <w:snapToGrid w:val="0"/>
              <w:jc w:val="center"/>
              <w:rPr>
                <w:szCs w:val="21"/>
              </w:rPr>
            </w:pPr>
            <w:r>
              <w:rPr>
                <w:rFonts w:hint="eastAsia"/>
                <w:szCs w:val="21"/>
              </w:rPr>
              <w:t>岳阳县污水处理厂处理</w:t>
            </w:r>
          </w:p>
        </w:tc>
        <w:tc>
          <w:tcPr>
            <w:tcW w:w="2293" w:type="dxa"/>
            <w:vMerge w:val="continue"/>
            <w:tcBorders>
              <w:tl2br w:val="nil"/>
              <w:tr2bl w:val="nil"/>
            </w:tcBorders>
            <w:noWrap/>
            <w:vAlign w:val="center"/>
          </w:tcPr>
          <w:p>
            <w:pPr>
              <w:adjustRightInd w:val="0"/>
              <w:snapToGrid w:val="0"/>
              <w:jc w:val="center"/>
              <w:rPr>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07" w:hRule="atLeast"/>
          <w:jc w:val="center"/>
        </w:trPr>
        <w:tc>
          <w:tcPr>
            <w:tcW w:w="1798" w:type="dxa"/>
            <w:tcBorders>
              <w:tl2br w:val="nil"/>
              <w:tr2bl w:val="nil"/>
            </w:tcBorders>
            <w:noWrap/>
            <w:vAlign w:val="center"/>
          </w:tcPr>
          <w:p>
            <w:pPr>
              <w:adjustRightInd w:val="0"/>
              <w:snapToGrid w:val="0"/>
              <w:jc w:val="center"/>
              <w:rPr>
                <w:szCs w:val="21"/>
              </w:rPr>
            </w:pPr>
            <w:r>
              <w:rPr>
                <w:szCs w:val="21"/>
              </w:rPr>
              <w:t>声环境</w:t>
            </w:r>
          </w:p>
        </w:tc>
        <w:tc>
          <w:tcPr>
            <w:tcW w:w="1774" w:type="dxa"/>
            <w:tcBorders>
              <w:tl2br w:val="nil"/>
              <w:tr2bl w:val="nil"/>
            </w:tcBorders>
            <w:noWrap/>
            <w:vAlign w:val="center"/>
          </w:tcPr>
          <w:p>
            <w:pPr>
              <w:adjustRightInd w:val="0"/>
              <w:snapToGrid w:val="0"/>
              <w:jc w:val="center"/>
              <w:rPr>
                <w:szCs w:val="21"/>
              </w:rPr>
            </w:pPr>
            <w:r>
              <w:rPr>
                <w:szCs w:val="21"/>
              </w:rPr>
              <w:t>设备噪声</w:t>
            </w:r>
          </w:p>
        </w:tc>
        <w:tc>
          <w:tcPr>
            <w:tcW w:w="1483" w:type="dxa"/>
            <w:tcBorders>
              <w:tl2br w:val="nil"/>
              <w:tr2bl w:val="nil"/>
            </w:tcBorders>
            <w:noWrap/>
            <w:vAlign w:val="center"/>
          </w:tcPr>
          <w:p>
            <w:pPr>
              <w:adjustRightInd w:val="0"/>
              <w:snapToGrid w:val="0"/>
              <w:jc w:val="center"/>
              <w:rPr>
                <w:szCs w:val="21"/>
              </w:rPr>
            </w:pPr>
            <w:r>
              <w:rPr>
                <w:szCs w:val="21"/>
              </w:rPr>
              <w:t>LeqA</w:t>
            </w:r>
          </w:p>
        </w:tc>
        <w:tc>
          <w:tcPr>
            <w:tcW w:w="1548" w:type="dxa"/>
            <w:tcBorders>
              <w:tl2br w:val="nil"/>
              <w:tr2bl w:val="nil"/>
            </w:tcBorders>
            <w:noWrap/>
            <w:vAlign w:val="center"/>
          </w:tcPr>
          <w:p>
            <w:pPr>
              <w:adjustRightInd w:val="0"/>
              <w:snapToGrid w:val="0"/>
              <w:jc w:val="center"/>
              <w:rPr>
                <w:szCs w:val="21"/>
              </w:rPr>
            </w:pPr>
            <w:r>
              <w:rPr>
                <w:snapToGrid w:val="0"/>
                <w:szCs w:val="21"/>
              </w:rPr>
              <w:t>低噪设备，减振，车间隔声</w:t>
            </w:r>
          </w:p>
        </w:tc>
        <w:tc>
          <w:tcPr>
            <w:tcW w:w="2293" w:type="dxa"/>
            <w:tcBorders>
              <w:tl2br w:val="nil"/>
              <w:tr2bl w:val="nil"/>
            </w:tcBorders>
            <w:noWrap/>
            <w:vAlign w:val="center"/>
          </w:tcPr>
          <w:p>
            <w:pPr>
              <w:adjustRightInd w:val="0"/>
              <w:snapToGrid w:val="0"/>
              <w:jc w:val="center"/>
              <w:rPr>
                <w:szCs w:val="21"/>
              </w:rPr>
            </w:pPr>
            <w:r>
              <w:rPr>
                <w:szCs w:val="21"/>
              </w:rPr>
              <w:t>《工业企业厂界环境噪声排放标准》（GB12348-2008）中的</w:t>
            </w:r>
            <w:r>
              <w:rPr>
                <w:rFonts w:hint="eastAsia"/>
                <w:szCs w:val="21"/>
              </w:rPr>
              <w:t>4</w:t>
            </w:r>
            <w:r>
              <w:rPr>
                <w:szCs w:val="21"/>
              </w:rPr>
              <w:t>类标准</w:t>
            </w:r>
            <w:r>
              <w:rPr>
                <w:rFonts w:hint="eastAsia"/>
                <w:szCs w:val="21"/>
              </w:rPr>
              <w:t>，</w:t>
            </w:r>
            <w:r>
              <w:rPr>
                <w:szCs w:val="21"/>
              </w:rPr>
              <w:t>昼间</w:t>
            </w:r>
            <w:r>
              <w:rPr>
                <w:rFonts w:hint="eastAsia"/>
                <w:szCs w:val="21"/>
              </w:rPr>
              <w:t>70</w:t>
            </w:r>
            <w:r>
              <w:rPr>
                <w:szCs w:val="21"/>
              </w:rPr>
              <w:t>dB(A)</w:t>
            </w:r>
            <w:r>
              <w:rPr>
                <w:rFonts w:hint="eastAsia"/>
                <w:szCs w:val="21"/>
              </w:rPr>
              <w:t>、</w:t>
            </w:r>
            <w:r>
              <w:rPr>
                <w:szCs w:val="21"/>
              </w:rPr>
              <w:t>夜</w:t>
            </w:r>
            <w:r>
              <w:rPr>
                <w:rFonts w:hint="eastAsia"/>
                <w:szCs w:val="21"/>
              </w:rPr>
              <w:t>55</w:t>
            </w:r>
            <w:r>
              <w:rPr>
                <w:szCs w:val="21"/>
              </w:rPr>
              <w:t>dB(A)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798" w:type="dxa"/>
            <w:tcBorders>
              <w:tl2br w:val="nil"/>
              <w:tr2bl w:val="nil"/>
            </w:tcBorders>
            <w:noWrap/>
            <w:vAlign w:val="center"/>
          </w:tcPr>
          <w:p>
            <w:pPr>
              <w:adjustRightInd w:val="0"/>
              <w:snapToGrid w:val="0"/>
              <w:jc w:val="center"/>
              <w:rPr>
                <w:szCs w:val="21"/>
              </w:rPr>
            </w:pPr>
            <w:r>
              <w:rPr>
                <w:szCs w:val="21"/>
              </w:rPr>
              <w:t>固体废物</w:t>
            </w:r>
          </w:p>
        </w:tc>
        <w:tc>
          <w:tcPr>
            <w:tcW w:w="7098" w:type="dxa"/>
            <w:gridSpan w:val="4"/>
            <w:tcBorders>
              <w:tl2br w:val="nil"/>
              <w:tr2bl w:val="nil"/>
            </w:tcBorders>
            <w:noWrap/>
            <w:vAlign w:val="center"/>
          </w:tcPr>
          <w:p>
            <w:pPr>
              <w:adjustRightInd w:val="0"/>
              <w:snapToGrid w:val="0"/>
              <w:spacing w:line="360" w:lineRule="auto"/>
              <w:jc w:val="center"/>
              <w:rPr>
                <w:szCs w:val="21"/>
              </w:rPr>
            </w:pPr>
            <w:r>
              <w:rPr>
                <w:rFonts w:hint="eastAsia"/>
                <w:bCs/>
                <w:szCs w:val="21"/>
              </w:rPr>
              <w:t>废机油（071-001-08）交由远大（湖南）燃油股份有限公司处理、生活垃圾交由环卫部门处理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798" w:type="dxa"/>
            <w:tcBorders>
              <w:tl2br w:val="nil"/>
              <w:tr2bl w:val="nil"/>
            </w:tcBorders>
            <w:noWrap/>
            <w:vAlign w:val="center"/>
          </w:tcPr>
          <w:p>
            <w:pPr>
              <w:adjustRightInd w:val="0"/>
              <w:snapToGrid w:val="0"/>
              <w:jc w:val="center"/>
              <w:rPr>
                <w:szCs w:val="21"/>
              </w:rPr>
            </w:pPr>
            <w:r>
              <w:rPr>
                <w:szCs w:val="21"/>
              </w:rPr>
              <w:t>土壤及地下水</w:t>
            </w:r>
          </w:p>
          <w:p>
            <w:pPr>
              <w:adjustRightInd w:val="0"/>
              <w:snapToGrid w:val="0"/>
              <w:jc w:val="center"/>
              <w:rPr>
                <w:szCs w:val="21"/>
              </w:rPr>
            </w:pPr>
            <w:r>
              <w:rPr>
                <w:szCs w:val="21"/>
              </w:rPr>
              <w:t>污染防治措施</w:t>
            </w:r>
          </w:p>
        </w:tc>
        <w:tc>
          <w:tcPr>
            <w:tcW w:w="7098" w:type="dxa"/>
            <w:gridSpan w:val="4"/>
            <w:tcBorders>
              <w:tl2br w:val="nil"/>
              <w:tr2bl w:val="nil"/>
            </w:tcBorders>
            <w:noWrap/>
            <w:vAlign w:val="center"/>
          </w:tcPr>
          <w:p>
            <w:pPr>
              <w:adjustRightInd w:val="0"/>
              <w:snapToGrid w:val="0"/>
              <w:jc w:val="center"/>
              <w:rPr>
                <w:szCs w:val="21"/>
              </w:rPr>
            </w:pPr>
            <w:r>
              <w:rPr>
                <w:rFonts w:hint="eastAsia" w:ascii="宋体" w:hAnsi="宋体" w:cs="宋体"/>
                <w:szCs w:val="21"/>
              </w:rPr>
              <w:t>采取一般场所地面进行硬化等措施，并且要做好厂区的绿化工作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798" w:type="dxa"/>
            <w:tcBorders>
              <w:tl2br w:val="nil"/>
              <w:tr2bl w:val="nil"/>
            </w:tcBorders>
            <w:noWrap/>
            <w:vAlign w:val="center"/>
          </w:tcPr>
          <w:p>
            <w:pPr>
              <w:adjustRightInd w:val="0"/>
              <w:snapToGrid w:val="0"/>
              <w:jc w:val="center"/>
              <w:rPr>
                <w:szCs w:val="21"/>
              </w:rPr>
            </w:pPr>
            <w:r>
              <w:rPr>
                <w:szCs w:val="21"/>
              </w:rPr>
              <w:t>生态保护措施</w:t>
            </w:r>
          </w:p>
        </w:tc>
        <w:tc>
          <w:tcPr>
            <w:tcW w:w="7098" w:type="dxa"/>
            <w:gridSpan w:val="4"/>
            <w:tcBorders>
              <w:tl2br w:val="nil"/>
              <w:tr2bl w:val="nil"/>
            </w:tcBorders>
            <w:noWrap/>
            <w:vAlign w:val="center"/>
          </w:tcPr>
          <w:p>
            <w:pPr>
              <w:adjustRightInd w:val="0"/>
              <w:snapToGrid w:val="0"/>
              <w:jc w:val="center"/>
              <w:rPr>
                <w:szCs w:val="21"/>
              </w:rPr>
            </w:pPr>
            <w:r>
              <w:rPr>
                <w:rFonts w:hint="eastAsia"/>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6" w:hRule="atLeast"/>
          <w:jc w:val="center"/>
        </w:trPr>
        <w:tc>
          <w:tcPr>
            <w:tcW w:w="1798" w:type="dxa"/>
            <w:tcBorders>
              <w:tl2br w:val="nil"/>
              <w:tr2bl w:val="nil"/>
            </w:tcBorders>
            <w:noWrap/>
            <w:vAlign w:val="center"/>
          </w:tcPr>
          <w:p>
            <w:pPr>
              <w:adjustRightInd w:val="0"/>
              <w:snapToGrid w:val="0"/>
              <w:jc w:val="center"/>
              <w:rPr>
                <w:spacing w:val="-8"/>
                <w:szCs w:val="21"/>
              </w:rPr>
            </w:pPr>
            <w:r>
              <w:rPr>
                <w:spacing w:val="-8"/>
                <w:szCs w:val="21"/>
              </w:rPr>
              <w:t>环境风险</w:t>
            </w:r>
          </w:p>
          <w:p>
            <w:pPr>
              <w:adjustRightInd w:val="0"/>
              <w:snapToGrid w:val="0"/>
              <w:jc w:val="center"/>
              <w:rPr>
                <w:spacing w:val="-8"/>
                <w:szCs w:val="21"/>
              </w:rPr>
            </w:pPr>
            <w:r>
              <w:rPr>
                <w:spacing w:val="-8"/>
                <w:szCs w:val="21"/>
              </w:rPr>
              <w:t>防范措施</w:t>
            </w:r>
          </w:p>
        </w:tc>
        <w:tc>
          <w:tcPr>
            <w:tcW w:w="7098" w:type="dxa"/>
            <w:gridSpan w:val="4"/>
            <w:tcBorders>
              <w:tl2br w:val="nil"/>
              <w:tr2bl w:val="nil"/>
            </w:tcBorders>
            <w:noWrap/>
            <w:vAlign w:val="center"/>
          </w:tcPr>
          <w:p>
            <w:pPr>
              <w:adjustRightInd w:val="0"/>
              <w:snapToGrid w:val="0"/>
              <w:jc w:val="center"/>
              <w:rPr>
                <w:szCs w:val="21"/>
              </w:rPr>
            </w:pPr>
            <w:r>
              <w:rPr>
                <w:rFonts w:hint="eastAsia" w:ascii="宋体" w:hAnsi="宋体" w:cs="宋体"/>
                <w:szCs w:val="21"/>
              </w:rPr>
              <w:t>加强管理，定期巡检，设有消防设备与应急池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798" w:type="dxa"/>
            <w:tcBorders>
              <w:tl2br w:val="nil"/>
              <w:tr2bl w:val="nil"/>
            </w:tcBorders>
            <w:noWrap/>
            <w:vAlign w:val="center"/>
          </w:tcPr>
          <w:p>
            <w:pPr>
              <w:adjustRightInd w:val="0"/>
              <w:snapToGrid w:val="0"/>
              <w:jc w:val="center"/>
              <w:rPr>
                <w:spacing w:val="-8"/>
                <w:szCs w:val="21"/>
              </w:rPr>
            </w:pPr>
            <w:r>
              <w:rPr>
                <w:spacing w:val="-8"/>
                <w:szCs w:val="21"/>
              </w:rPr>
              <w:t>其他环境</w:t>
            </w:r>
          </w:p>
          <w:p>
            <w:pPr>
              <w:adjustRightInd w:val="0"/>
              <w:snapToGrid w:val="0"/>
              <w:jc w:val="center"/>
              <w:rPr>
                <w:spacing w:val="-8"/>
                <w:szCs w:val="21"/>
              </w:rPr>
            </w:pPr>
            <w:r>
              <w:rPr>
                <w:spacing w:val="-8"/>
                <w:szCs w:val="21"/>
              </w:rPr>
              <w:t>管理要求</w:t>
            </w:r>
          </w:p>
        </w:tc>
        <w:tc>
          <w:tcPr>
            <w:tcW w:w="7098" w:type="dxa"/>
            <w:gridSpan w:val="4"/>
            <w:tcBorders>
              <w:tl2br w:val="nil"/>
              <w:tr2bl w:val="nil"/>
            </w:tcBorders>
            <w:noWrap/>
            <w:vAlign w:val="center"/>
          </w:tcPr>
          <w:p>
            <w:pPr>
              <w:adjustRightInd w:val="0"/>
              <w:snapToGrid w:val="0"/>
              <w:rPr>
                <w:szCs w:val="21"/>
              </w:rPr>
            </w:pPr>
            <w:r>
              <w:rPr>
                <w:rFonts w:ascii="宋体" w:hAnsi="宋体" w:cs="宋体"/>
                <w:szCs w:val="21"/>
              </w:rPr>
              <w:t>加强环境管理，建立定期检查制度</w:t>
            </w:r>
            <w:r>
              <w:rPr>
                <w:rFonts w:hint="eastAsia" w:ascii="宋体" w:hAnsi="宋体" w:cs="宋体"/>
                <w:szCs w:val="21"/>
              </w:rPr>
              <w:t>。</w:t>
            </w:r>
            <w:r>
              <w:rPr>
                <w:rFonts w:ascii="宋体" w:hAnsi="宋体" w:cs="宋体"/>
                <w:szCs w:val="21"/>
              </w:rPr>
              <w:t>加强对物料运输和</w:t>
            </w:r>
            <w:r>
              <w:rPr>
                <w:rFonts w:hint="eastAsia" w:ascii="宋体" w:hAnsi="宋体" w:cs="宋体"/>
                <w:szCs w:val="21"/>
              </w:rPr>
              <w:t>存储</w:t>
            </w:r>
            <w:r>
              <w:rPr>
                <w:rFonts w:ascii="宋体" w:hAnsi="宋体" w:cs="宋体"/>
                <w:szCs w:val="21"/>
              </w:rPr>
              <w:t>的管理，加强对固体废物的收集、储存、运输、处置的管理，及时收集、及时处置</w:t>
            </w:r>
          </w:p>
        </w:tc>
      </w:tr>
    </w:tbl>
    <w:p>
      <w:pPr>
        <w:pStyle w:val="20"/>
        <w:jc w:val="center"/>
        <w:outlineLvl w:val="0"/>
        <w:rPr>
          <w:rFonts w:ascii="黑体" w:hAnsi="黑体" w:eastAsia="黑体"/>
          <w:snapToGrid w:val="0"/>
          <w:sz w:val="30"/>
          <w:szCs w:val="30"/>
        </w:rPr>
      </w:pPr>
      <w:r>
        <w:rPr>
          <w:snapToGrid w:val="0"/>
        </w:rPr>
        <w:br w:type="page"/>
      </w:r>
      <w:bookmarkStart w:id="49" w:name="_Toc17437"/>
      <w:r>
        <w:rPr>
          <w:rFonts w:hint="eastAsia" w:ascii="黑体" w:hAnsi="黑体" w:eastAsia="黑体"/>
          <w:snapToGrid w:val="0"/>
          <w:sz w:val="30"/>
          <w:szCs w:val="30"/>
        </w:rPr>
        <w:t>六、结论</w:t>
      </w:r>
      <w:bookmarkEnd w:id="49"/>
    </w:p>
    <w:tbl>
      <w:tblPr>
        <w:tblStyle w:val="24"/>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86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991" w:hRule="atLeast"/>
          <w:jc w:val="center"/>
        </w:trPr>
        <w:tc>
          <w:tcPr>
            <w:tcW w:w="8865" w:type="dxa"/>
            <w:tcBorders>
              <w:tl2br w:val="nil"/>
              <w:tr2bl w:val="nil"/>
            </w:tcBorders>
            <w:noWrap/>
            <w:vAlign w:val="center"/>
          </w:tcPr>
          <w:p>
            <w:pPr>
              <w:adjustRightInd w:val="0"/>
              <w:snapToGrid w:val="0"/>
              <w:spacing w:line="360" w:lineRule="auto"/>
              <w:ind w:firstLine="480" w:firstLineChars="200"/>
              <w:rPr>
                <w:sz w:val="24"/>
              </w:rPr>
            </w:pPr>
            <w:r>
              <w:rPr>
                <w:rFonts w:hint="eastAsia"/>
                <w:sz w:val="24"/>
              </w:rPr>
              <w:t>本项目的建设符合国家产业政策，选址可行，平面布局基本合理，</w:t>
            </w:r>
            <w:r>
              <w:rPr>
                <w:rFonts w:hint="eastAsia" w:ascii="宋体" w:cs="宋体"/>
                <w:sz w:val="24"/>
              </w:rPr>
              <w:t>项目所在地环境质量现状良好，满足“三线一单”要求</w:t>
            </w:r>
            <w:r>
              <w:rPr>
                <w:rFonts w:hint="eastAsia"/>
                <w:sz w:val="24"/>
              </w:rPr>
              <w:t>。</w:t>
            </w:r>
          </w:p>
          <w:p>
            <w:pPr>
              <w:spacing w:line="360" w:lineRule="auto"/>
              <w:rPr>
                <w:rFonts w:ascii="宋体" w:cs="宋体"/>
                <w:sz w:val="24"/>
              </w:rPr>
            </w:pPr>
            <w:r>
              <w:rPr>
                <w:rFonts w:hint="eastAsia"/>
                <w:sz w:val="24"/>
              </w:rPr>
              <w:t>因此，建设单位在采取本评价所述措施对项目产生的污染物进行污染控制和治理，确保污染物达标排放，对周围环境影响满足相应标准要求的情况下，从环保的角度来说，项目建设是可行的。</w:t>
            </w:r>
          </w:p>
        </w:tc>
      </w:tr>
    </w:tbl>
    <w:p>
      <w:pPr>
        <w:sectPr>
          <w:pgSz w:w="11906" w:h="16838"/>
          <w:pgMar w:top="1440" w:right="1800" w:bottom="1440" w:left="1800" w:header="851" w:footer="992" w:gutter="0"/>
          <w:cols w:space="425" w:num="1"/>
          <w:docGrid w:type="lines" w:linePitch="312" w:charSpace="0"/>
        </w:sectPr>
      </w:pPr>
    </w:p>
    <w:p>
      <w:pPr>
        <w:outlineLvl w:val="0"/>
        <w:rPr>
          <w:b/>
          <w:bCs/>
          <w:sz w:val="30"/>
          <w:szCs w:val="30"/>
        </w:rPr>
      </w:pPr>
      <w:bookmarkStart w:id="50" w:name="_Toc2006"/>
      <w:r>
        <w:rPr>
          <w:b/>
          <w:bCs/>
          <w:sz w:val="30"/>
          <w:szCs w:val="30"/>
        </w:rPr>
        <mc:AlternateContent>
          <mc:Choice Requires="wps">
            <w:drawing>
              <wp:anchor distT="0" distB="0" distL="114300" distR="114300" simplePos="0" relativeHeight="251663360" behindDoc="0" locked="0" layoutInCell="1" allowOverlap="1">
                <wp:simplePos x="0" y="0"/>
                <wp:positionH relativeFrom="column">
                  <wp:posOffset>4852035</wp:posOffset>
                </wp:positionH>
                <wp:positionV relativeFrom="paragraph">
                  <wp:posOffset>180340</wp:posOffset>
                </wp:positionV>
                <wp:extent cx="608965" cy="243205"/>
                <wp:effectExtent l="0" t="0" r="0" b="0"/>
                <wp:wrapNone/>
                <wp:docPr id="11" name="文本框 11"/>
                <wp:cNvGraphicFramePr/>
                <a:graphic xmlns:a="http://schemas.openxmlformats.org/drawingml/2006/main">
                  <a:graphicData uri="http://schemas.microsoft.com/office/word/2010/wordprocessingShape">
                    <wps:wsp>
                      <wps:cNvSpPr txBox="1"/>
                      <wps:spPr>
                        <a:xfrm rot="840000">
                          <a:off x="0" y="0"/>
                          <a:ext cx="608965" cy="243205"/>
                        </a:xfrm>
                        <a:prstGeom prst="rect">
                          <a:avLst/>
                        </a:prstGeom>
                        <a:noFill/>
                        <a:ln>
                          <a:noFill/>
                        </a:ln>
                        <a:effectLst/>
                      </wps:spPr>
                      <wps:txbx>
                        <w:txbxContent>
                          <w:p/>
                        </w:txbxContent>
                      </wps:txbx>
                      <wps:bodyPr/>
                    </wps:wsp>
                  </a:graphicData>
                </a:graphic>
              </wp:anchor>
            </w:drawing>
          </mc:Choice>
          <mc:Fallback>
            <w:pict>
              <v:shape id="_x0000_s1026" o:spid="_x0000_s1026" o:spt="202" type="#_x0000_t202" style="position:absolute;left:0pt;margin-left:382.05pt;margin-top:14.2pt;height:19.15pt;width:47.95pt;rotation:917504f;z-index:251663360;mso-width-relative:page;mso-height-relative:page;" filled="f" stroked="f" coordsize="21600,21600" o:gfxdata="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AX1bfc2QAAAAkBAAAPAAAAAAAAAAEAIAAAACIAAABkcnMvZG93bnJldi54bWxQSwECFAAUAAAA&#10;CACHTuJAacTGqbQBAABeAwAADgAAAAAAAAABACAAAAAoAQAAZHJzL2Uyb0RvYy54bWxQSwUGAAAA&#10;AAYABgBZAQAATgUAAAAA&#10;">
                <v:fill on="f" focussize="0,0"/>
                <v:stroke on="f"/>
                <v:imagedata o:title=""/>
                <o:lock v:ext="edit" aspectratio="f"/>
                <v:textbox>
                  <w:txbxContent>
                    <w:p/>
                  </w:txbxContent>
                </v:textbox>
              </v:shape>
            </w:pict>
          </mc:Fallback>
        </mc:AlternateContent>
      </w:r>
      <w:r>
        <w:rPr>
          <w:b/>
          <w:bCs/>
          <w:sz w:val="30"/>
          <w:szCs w:val="30"/>
        </w:rPr>
        <mc:AlternateContent>
          <mc:Choice Requires="wps">
            <w:drawing>
              <wp:anchor distT="0" distB="0" distL="114300" distR="114300" simplePos="0" relativeHeight="251662336" behindDoc="0" locked="0" layoutInCell="1" allowOverlap="1">
                <wp:simplePos x="0" y="0"/>
                <wp:positionH relativeFrom="column">
                  <wp:posOffset>5519420</wp:posOffset>
                </wp:positionH>
                <wp:positionV relativeFrom="paragraph">
                  <wp:posOffset>149225</wp:posOffset>
                </wp:positionV>
                <wp:extent cx="608965" cy="243205"/>
                <wp:effectExtent l="0" t="0" r="0" b="0"/>
                <wp:wrapNone/>
                <wp:docPr id="10" name="文本框 10"/>
                <wp:cNvGraphicFramePr/>
                <a:graphic xmlns:a="http://schemas.openxmlformats.org/drawingml/2006/main">
                  <a:graphicData uri="http://schemas.microsoft.com/office/word/2010/wordprocessingShape">
                    <wps:wsp>
                      <wps:cNvSpPr txBox="1"/>
                      <wps:spPr>
                        <a:xfrm rot="840000">
                          <a:off x="0" y="0"/>
                          <a:ext cx="608965" cy="243205"/>
                        </a:xfrm>
                        <a:prstGeom prst="rect">
                          <a:avLst/>
                        </a:prstGeom>
                        <a:noFill/>
                        <a:ln>
                          <a:noFill/>
                        </a:ln>
                        <a:effectLst/>
                      </wps:spPr>
                      <wps:txbx>
                        <w:txbxContent>
                          <w:p/>
                        </w:txbxContent>
                      </wps:txbx>
                      <wps:bodyPr/>
                    </wps:wsp>
                  </a:graphicData>
                </a:graphic>
              </wp:anchor>
            </w:drawing>
          </mc:Choice>
          <mc:Fallback>
            <w:pict>
              <v:shape id="_x0000_s1026" o:spid="_x0000_s1026" o:spt="202" type="#_x0000_t202" style="position:absolute;left:0pt;margin-left:434.6pt;margin-top:11.75pt;height:19.15pt;width:47.95pt;rotation:917504f;z-index:251662336;mso-width-relative:page;mso-height-relative:page;" filled="f" stroked="f" coordsize="21600,21600" o:gfxdata="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j6miItgAAAAJAQAADwAAAAAAAAABACAAAAAiAAAAZHJzL2Rvd25yZXYueG1sUEsBAhQAFAAAAAgA&#10;h07iQOZvolmzAQAAXgMAAA4AAAAAAAAAAQAgAAAAJwEAAGRycy9lMm9Eb2MueG1sUEsFBgAAAAAG&#10;AAYAWQEAAEwFAAAAAA==&#10;">
                <v:fill on="f" focussize="0,0"/>
                <v:stroke on="f"/>
                <v:imagedata o:title=""/>
                <o:lock v:ext="edit" aspectratio="f"/>
                <v:textbox>
                  <w:txbxContent>
                    <w:p/>
                  </w:txbxContent>
                </v:textbox>
              </v:shape>
            </w:pict>
          </mc:Fallback>
        </mc:AlternateContent>
      </w:r>
      <w:r>
        <w:rPr>
          <w:b/>
          <w:bCs/>
          <w:sz w:val="30"/>
          <w:szCs w:val="30"/>
        </w:rPr>
        <mc:AlternateContent>
          <mc:Choice Requires="wps">
            <w:drawing>
              <wp:anchor distT="0" distB="0" distL="114300" distR="114300" simplePos="0" relativeHeight="251664384" behindDoc="0" locked="0" layoutInCell="1" allowOverlap="1">
                <wp:simplePos x="0" y="0"/>
                <wp:positionH relativeFrom="column">
                  <wp:posOffset>6256020</wp:posOffset>
                </wp:positionH>
                <wp:positionV relativeFrom="paragraph">
                  <wp:posOffset>60325</wp:posOffset>
                </wp:positionV>
                <wp:extent cx="312420" cy="243205"/>
                <wp:effectExtent l="0" t="0" r="0" b="0"/>
                <wp:wrapNone/>
                <wp:docPr id="9" name="文本框 9"/>
                <wp:cNvGraphicFramePr/>
                <a:graphic xmlns:a="http://schemas.openxmlformats.org/drawingml/2006/main">
                  <a:graphicData uri="http://schemas.microsoft.com/office/word/2010/wordprocessingShape">
                    <wps:wsp>
                      <wps:cNvSpPr txBox="1"/>
                      <wps:spPr>
                        <a:xfrm rot="840000">
                          <a:off x="0" y="0"/>
                          <a:ext cx="312420" cy="243205"/>
                        </a:xfrm>
                        <a:prstGeom prst="rect">
                          <a:avLst/>
                        </a:prstGeom>
                        <a:noFill/>
                        <a:ln>
                          <a:noFill/>
                        </a:ln>
                        <a:effectLst/>
                      </wps:spPr>
                      <wps:txbx>
                        <w:txbxContent>
                          <w:p/>
                        </w:txbxContent>
                      </wps:txbx>
                      <wps:bodyPr/>
                    </wps:wsp>
                  </a:graphicData>
                </a:graphic>
              </wp:anchor>
            </w:drawing>
          </mc:Choice>
          <mc:Fallback>
            <w:pict>
              <v:shape id="_x0000_s1026" o:spid="_x0000_s1026" o:spt="202" type="#_x0000_t202" style="position:absolute;left:0pt;margin-left:492.6pt;margin-top:4.75pt;height:19.15pt;width:24.6pt;rotation:917504f;z-index:251664384;mso-width-relative:page;mso-height-relative:page;" filled="f" stroked="f" coordsize="21600,21600" o:gfxdata="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FU8mbLZAAAACQEAAA8AAAAAAAAAAQAgAAAAIgAAAGRycy9kb3ducmV2LnhtbFBLAQIUABQAAAAI&#10;AIdO4kBbG91wswEAAFwDAAAOAAAAAAAAAAEAIAAAACgBAABkcnMvZTJvRG9jLnhtbFBLBQYAAAAA&#10;BgAGAFkBAABNBQAAAAA=&#10;">
                <v:fill on="f" focussize="0,0"/>
                <v:stroke on="f"/>
                <v:imagedata o:title=""/>
                <o:lock v:ext="edit" aspectratio="f"/>
                <v:textbox>
                  <w:txbxContent>
                    <w:p/>
                  </w:txbxContent>
                </v:textbox>
              </v:shape>
            </w:pict>
          </mc:Fallback>
        </mc:AlternateContent>
      </w:r>
      <w:r>
        <w:rPr>
          <w:b/>
          <w:bCs/>
          <w:sz w:val="30"/>
          <w:szCs w:val="30"/>
        </w:rPr>
        <mc:AlternateContent>
          <mc:Choice Requires="wps">
            <w:drawing>
              <wp:anchor distT="0" distB="0" distL="114300" distR="114300" simplePos="0" relativeHeight="251661312" behindDoc="0" locked="0" layoutInCell="1" allowOverlap="1">
                <wp:simplePos x="0" y="0"/>
                <wp:positionH relativeFrom="column">
                  <wp:posOffset>6414770</wp:posOffset>
                </wp:positionH>
                <wp:positionV relativeFrom="paragraph">
                  <wp:posOffset>3175</wp:posOffset>
                </wp:positionV>
                <wp:extent cx="312420" cy="243205"/>
                <wp:effectExtent l="0" t="0" r="0" b="0"/>
                <wp:wrapNone/>
                <wp:docPr id="8" name="文本框 8"/>
                <wp:cNvGraphicFramePr/>
                <a:graphic xmlns:a="http://schemas.openxmlformats.org/drawingml/2006/main">
                  <a:graphicData uri="http://schemas.microsoft.com/office/word/2010/wordprocessingShape">
                    <wps:wsp>
                      <wps:cNvSpPr txBox="1"/>
                      <wps:spPr>
                        <a:xfrm rot="840000">
                          <a:off x="0" y="0"/>
                          <a:ext cx="312420" cy="243205"/>
                        </a:xfrm>
                        <a:prstGeom prst="rect">
                          <a:avLst/>
                        </a:prstGeom>
                        <a:noFill/>
                        <a:ln>
                          <a:noFill/>
                        </a:ln>
                        <a:effectLst/>
                      </wps:spPr>
                      <wps:txbx>
                        <w:txbxContent>
                          <w:p/>
                        </w:txbxContent>
                      </wps:txbx>
                      <wps:bodyPr/>
                    </wps:wsp>
                  </a:graphicData>
                </a:graphic>
              </wp:anchor>
            </w:drawing>
          </mc:Choice>
          <mc:Fallback>
            <w:pict>
              <v:shape id="_x0000_s1026" o:spid="_x0000_s1026" o:spt="202" type="#_x0000_t202" style="position:absolute;left:0pt;margin-left:505.1pt;margin-top:0.25pt;height:19.15pt;width:24.6pt;rotation:917504f;z-index:251661312;mso-width-relative:page;mso-height-relative:page;" filled="f" stroked="f" coordsize="21600,21600" o:gfxdata="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PqX&#10;YBbXAAAACQEAAA8AAAAAAAAAAQAgAAAAIgAAAGRycy9kb3ducmV2LnhtbFBLAQIUABQAAAAIAIdO&#10;4kDbfEpBsgEAAFwDAAAOAAAAAAAAAAEAIAAAACYBAABkcnMvZTJvRG9jLnhtbFBLBQYAAAAABgAG&#10;AFkBAABKBQAAAAA=&#10;">
                <v:fill on="f" focussize="0,0"/>
                <v:stroke on="f"/>
                <v:imagedata o:title=""/>
                <o:lock v:ext="edit" aspectratio="f"/>
                <v:textbox>
                  <w:txbxContent>
                    <w:p/>
                  </w:txbxContent>
                </v:textbox>
              </v:shape>
            </w:pict>
          </mc:Fallback>
        </mc:AlternateContent>
      </w:r>
      <w:r>
        <w:rPr>
          <w:b/>
          <w:bCs/>
          <w:sz w:val="30"/>
          <w:szCs w:val="30"/>
        </w:rPr>
        <mc:AlternateContent>
          <mc:Choice Requires="wps">
            <w:drawing>
              <wp:anchor distT="0" distB="0" distL="114300" distR="114300" simplePos="0" relativeHeight="251660288" behindDoc="1" locked="0" layoutInCell="1" allowOverlap="1">
                <wp:simplePos x="0" y="0"/>
                <wp:positionH relativeFrom="column">
                  <wp:posOffset>6568440</wp:posOffset>
                </wp:positionH>
                <wp:positionV relativeFrom="paragraph">
                  <wp:posOffset>93345</wp:posOffset>
                </wp:positionV>
                <wp:extent cx="730885" cy="243205"/>
                <wp:effectExtent l="0" t="0" r="0" b="0"/>
                <wp:wrapNone/>
                <wp:docPr id="7" name="文本框 7"/>
                <wp:cNvGraphicFramePr/>
                <a:graphic xmlns:a="http://schemas.openxmlformats.org/drawingml/2006/main">
                  <a:graphicData uri="http://schemas.microsoft.com/office/word/2010/wordprocessingShape">
                    <wps:wsp>
                      <wps:cNvSpPr txBox="1"/>
                      <wps:spPr>
                        <a:xfrm rot="840000">
                          <a:off x="0" y="0"/>
                          <a:ext cx="730885" cy="243205"/>
                        </a:xfrm>
                        <a:prstGeom prst="rect">
                          <a:avLst/>
                        </a:prstGeom>
                        <a:noFill/>
                        <a:ln>
                          <a:noFill/>
                        </a:ln>
                        <a:effectLst/>
                      </wps:spPr>
                      <wps:txbx>
                        <w:txbxContent>
                          <w:p>
                            <w:pPr>
                              <w:rPr>
                                <w:rFonts w:ascii="宋体" w:hAnsi="宋体" w:cs="宋体"/>
                              </w:rPr>
                            </w:pPr>
                          </w:p>
                        </w:txbxContent>
                      </wps:txbx>
                      <wps:bodyPr/>
                    </wps:wsp>
                  </a:graphicData>
                </a:graphic>
              </wp:anchor>
            </w:drawing>
          </mc:Choice>
          <mc:Fallback>
            <w:pict>
              <v:shape id="_x0000_s1026" o:spid="_x0000_s1026" o:spt="202" type="#_x0000_t202" style="position:absolute;left:0pt;margin-left:517.2pt;margin-top:7.35pt;height:19.15pt;width:57.55pt;rotation:917504f;z-index:-251656192;mso-width-relative:page;mso-height-relative:page;" filled="f" stroked="f" coordsize="21600,21600" o:gfxdata="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D8X77g2QAAAAsBAAAPAAAAAAAAAAEAIAAAACIAAABkcnMvZG93bnJldi54bWxQSwECFAAUAAAA&#10;CACHTuJAqcCw57QBAABcAwAADgAAAAAAAAABACAAAAAoAQAAZHJzL2Uyb0RvYy54bWxQSwUGAAAA&#10;AAYABgBZAQAATgUAAAAA&#10;">
                <v:fill on="f" focussize="0,0"/>
                <v:stroke on="f"/>
                <v:imagedata o:title=""/>
                <o:lock v:ext="edit" aspectratio="f"/>
                <v:textbox>
                  <w:txbxContent>
                    <w:p>
                      <w:pPr>
                        <w:rPr>
                          <w:rFonts w:ascii="宋体" w:hAnsi="宋体" w:cs="宋体"/>
                        </w:rPr>
                      </w:pPr>
                    </w:p>
                  </w:txbxContent>
                </v:textbox>
              </v:shape>
            </w:pict>
          </mc:Fallback>
        </mc:AlternateContent>
      </w:r>
      <w:bookmarkStart w:id="51" w:name="_Toc2079"/>
      <w:r>
        <w:rPr>
          <w:b/>
          <w:bCs/>
          <w:sz w:val="30"/>
          <w:szCs w:val="30"/>
        </w:rPr>
        <w:t>附表</w:t>
      </w:r>
      <w:bookmarkEnd w:id="50"/>
      <w:bookmarkEnd w:id="51"/>
    </w:p>
    <w:p>
      <w:pPr>
        <w:pStyle w:val="20"/>
        <w:adjustRightInd w:val="0"/>
        <w:snapToGrid w:val="0"/>
        <w:spacing w:before="0" w:beforeAutospacing="0" w:after="0" w:afterAutospacing="0" w:line="360" w:lineRule="auto"/>
        <w:jc w:val="center"/>
        <w:outlineLvl w:val="0"/>
        <w:rPr>
          <w:rFonts w:ascii="Times New Roman" w:hAnsi="Times New Roman"/>
          <w:snapToGrid w:val="0"/>
          <w:sz w:val="38"/>
          <w:szCs w:val="38"/>
        </w:rPr>
      </w:pPr>
      <w:bookmarkStart w:id="52" w:name="_Toc30130"/>
      <w:bookmarkStart w:id="53" w:name="_Toc25728"/>
      <w:r>
        <w:rPr>
          <w:rFonts w:ascii="Times New Roman" w:hAnsi="Times New Roman"/>
          <w:snapToGrid w:val="0"/>
          <w:sz w:val="38"/>
          <w:szCs w:val="38"/>
        </w:rPr>
        <w:t>建设项目污染物排放量汇总表</w:t>
      </w:r>
    </w:p>
    <w:bookmarkEnd w:id="52"/>
    <w:bookmarkEnd w:id="53"/>
    <w:tbl>
      <w:tblPr>
        <w:tblStyle w:val="24"/>
        <w:tblW w:w="14935"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437"/>
        <w:gridCol w:w="1473"/>
        <w:gridCol w:w="1381"/>
        <w:gridCol w:w="1843"/>
        <w:gridCol w:w="1688"/>
        <w:gridCol w:w="1910"/>
        <w:gridCol w:w="1824"/>
        <w:gridCol w:w="119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98" w:hRule="atLeast"/>
        </w:trPr>
        <w:tc>
          <w:tcPr>
            <w:tcW w:w="1188" w:type="dxa"/>
            <w:tcBorders>
              <w:tl2br w:val="nil"/>
              <w:tr2bl w:val="nil"/>
            </w:tcBorders>
            <w:noWrap/>
            <w:tcMar>
              <w:left w:w="28" w:type="dxa"/>
              <w:right w:w="28" w:type="dxa"/>
            </w:tcMar>
            <w:vAlign w:val="center"/>
          </w:tcPr>
          <w:p>
            <w:pPr>
              <w:jc w:val="center"/>
            </w:pPr>
            <w:r>
              <w:t>项目</w:t>
            </w:r>
          </w:p>
          <w:p>
            <w:pPr>
              <w:jc w:val="center"/>
            </w:pPr>
            <w:r>
              <w:t>分类</w:t>
            </w:r>
          </w:p>
        </w:tc>
        <w:tc>
          <w:tcPr>
            <w:tcW w:w="2437" w:type="dxa"/>
            <w:tcBorders>
              <w:tl2br w:val="nil"/>
              <w:tr2bl w:val="nil"/>
            </w:tcBorders>
            <w:noWrap/>
            <w:tcMar>
              <w:left w:w="28" w:type="dxa"/>
              <w:right w:w="28" w:type="dxa"/>
            </w:tcMar>
            <w:vAlign w:val="center"/>
          </w:tcPr>
          <w:p>
            <w:pPr>
              <w:jc w:val="center"/>
            </w:pPr>
            <w:r>
              <w:t>污染物名称</w:t>
            </w:r>
          </w:p>
        </w:tc>
        <w:tc>
          <w:tcPr>
            <w:tcW w:w="1473" w:type="dxa"/>
            <w:tcBorders>
              <w:tl2br w:val="nil"/>
              <w:tr2bl w:val="nil"/>
            </w:tcBorders>
            <w:noWrap/>
            <w:tcMar>
              <w:left w:w="28" w:type="dxa"/>
              <w:right w:w="28" w:type="dxa"/>
            </w:tcMar>
            <w:vAlign w:val="center"/>
          </w:tcPr>
          <w:p>
            <w:pPr>
              <w:jc w:val="center"/>
            </w:pPr>
            <w:r>
              <w:t>现有工程</w:t>
            </w:r>
          </w:p>
          <w:p>
            <w:pPr>
              <w:jc w:val="center"/>
            </w:pPr>
            <w:r>
              <w:t>排放量（固体废物产生量）</w:t>
            </w:r>
            <w:r>
              <w:fldChar w:fldCharType="begin"/>
            </w:r>
            <w:r>
              <w:instrText xml:space="preserve"> = 1 \* GB3 \* MERGEFORMAT </w:instrText>
            </w:r>
            <w:r>
              <w:fldChar w:fldCharType="separate"/>
            </w:r>
            <w:r>
              <w:t>①</w:t>
            </w:r>
            <w:r>
              <w:fldChar w:fldCharType="end"/>
            </w:r>
          </w:p>
        </w:tc>
        <w:tc>
          <w:tcPr>
            <w:tcW w:w="1381" w:type="dxa"/>
            <w:tcBorders>
              <w:tl2br w:val="nil"/>
              <w:tr2bl w:val="nil"/>
            </w:tcBorders>
            <w:noWrap/>
            <w:tcMar>
              <w:left w:w="28" w:type="dxa"/>
              <w:right w:w="28" w:type="dxa"/>
            </w:tcMar>
            <w:vAlign w:val="center"/>
          </w:tcPr>
          <w:p>
            <w:pPr>
              <w:jc w:val="center"/>
            </w:pPr>
            <w:r>
              <w:t>现有工程</w:t>
            </w:r>
          </w:p>
          <w:p>
            <w:pPr>
              <w:jc w:val="center"/>
            </w:pPr>
            <w:r>
              <w:t>许可排放量</w:t>
            </w:r>
          </w:p>
          <w:p>
            <w:pPr>
              <w:jc w:val="center"/>
            </w:pPr>
            <w:r>
              <w:fldChar w:fldCharType="begin"/>
            </w:r>
            <w:r>
              <w:instrText xml:space="preserve"> = 2 \* GB3 \* MERGEFORMAT </w:instrText>
            </w:r>
            <w:r>
              <w:fldChar w:fldCharType="separate"/>
            </w:r>
            <w:r>
              <w:t>②</w:t>
            </w:r>
            <w:r>
              <w:fldChar w:fldCharType="end"/>
            </w:r>
          </w:p>
        </w:tc>
        <w:tc>
          <w:tcPr>
            <w:tcW w:w="1843" w:type="dxa"/>
            <w:tcBorders>
              <w:tl2br w:val="nil"/>
              <w:tr2bl w:val="nil"/>
            </w:tcBorders>
            <w:noWrap/>
            <w:tcMar>
              <w:left w:w="28" w:type="dxa"/>
              <w:right w:w="28" w:type="dxa"/>
            </w:tcMar>
            <w:vAlign w:val="center"/>
          </w:tcPr>
          <w:p>
            <w:pPr>
              <w:jc w:val="center"/>
            </w:pPr>
            <w:r>
              <w:t>在建工程</w:t>
            </w:r>
          </w:p>
          <w:p>
            <w:pPr>
              <w:jc w:val="center"/>
            </w:pPr>
            <w:r>
              <w:t>排放量（固体废物产生量）</w:t>
            </w:r>
            <w:r>
              <w:fldChar w:fldCharType="begin"/>
            </w:r>
            <w:r>
              <w:instrText xml:space="preserve"> = 3 \* GB3 \* MERGEFORMAT </w:instrText>
            </w:r>
            <w:r>
              <w:fldChar w:fldCharType="separate"/>
            </w:r>
            <w:r>
              <w:t>③</w:t>
            </w:r>
            <w:r>
              <w:fldChar w:fldCharType="end"/>
            </w:r>
          </w:p>
        </w:tc>
        <w:tc>
          <w:tcPr>
            <w:tcW w:w="1688" w:type="dxa"/>
            <w:tcBorders>
              <w:tl2br w:val="nil"/>
              <w:tr2bl w:val="nil"/>
            </w:tcBorders>
            <w:noWrap/>
            <w:tcMar>
              <w:left w:w="28" w:type="dxa"/>
              <w:right w:w="28" w:type="dxa"/>
            </w:tcMar>
            <w:vAlign w:val="center"/>
          </w:tcPr>
          <w:p>
            <w:pPr>
              <w:jc w:val="center"/>
            </w:pPr>
            <w:r>
              <w:t>本项目</w:t>
            </w:r>
          </w:p>
          <w:p>
            <w:pPr>
              <w:jc w:val="center"/>
            </w:pPr>
            <w:r>
              <w:t>排放量（固体废物产生量）</w:t>
            </w:r>
            <w:r>
              <w:fldChar w:fldCharType="begin"/>
            </w:r>
            <w:r>
              <w:instrText xml:space="preserve"> = 4 \* GB3 \* MERGEFORMAT </w:instrText>
            </w:r>
            <w:r>
              <w:fldChar w:fldCharType="separate"/>
            </w:r>
            <w:r>
              <w:t>④</w:t>
            </w:r>
            <w:r>
              <w:fldChar w:fldCharType="end"/>
            </w:r>
          </w:p>
        </w:tc>
        <w:tc>
          <w:tcPr>
            <w:tcW w:w="1910" w:type="dxa"/>
            <w:tcBorders>
              <w:tl2br w:val="nil"/>
              <w:tr2bl w:val="nil"/>
            </w:tcBorders>
            <w:noWrap/>
            <w:tcMar>
              <w:left w:w="28" w:type="dxa"/>
              <w:right w:w="28" w:type="dxa"/>
            </w:tcMar>
            <w:vAlign w:val="center"/>
          </w:tcPr>
          <w:p>
            <w:pPr>
              <w:jc w:val="center"/>
            </w:pPr>
            <w:r>
              <w:t>以新带老削减量</w:t>
            </w:r>
          </w:p>
          <w:p>
            <w:pPr>
              <w:jc w:val="center"/>
            </w:pPr>
            <w:r>
              <w:t>（新建项目不填）</w:t>
            </w:r>
            <w:r>
              <w:fldChar w:fldCharType="begin"/>
            </w:r>
            <w:r>
              <w:instrText xml:space="preserve"> = 5 \* GB3 \* MERGEFORMAT </w:instrText>
            </w:r>
            <w:r>
              <w:fldChar w:fldCharType="separate"/>
            </w:r>
            <w:r>
              <w:t>⑤</w:t>
            </w:r>
            <w:r>
              <w:fldChar w:fldCharType="end"/>
            </w:r>
          </w:p>
        </w:tc>
        <w:tc>
          <w:tcPr>
            <w:tcW w:w="1824" w:type="dxa"/>
            <w:tcBorders>
              <w:tl2br w:val="nil"/>
              <w:tr2bl w:val="nil"/>
            </w:tcBorders>
            <w:noWrap/>
            <w:tcMar>
              <w:left w:w="28" w:type="dxa"/>
              <w:right w:w="28" w:type="dxa"/>
            </w:tcMar>
            <w:vAlign w:val="center"/>
          </w:tcPr>
          <w:p>
            <w:pPr>
              <w:jc w:val="center"/>
            </w:pPr>
            <w:r>
              <w:t>本项目建成后</w:t>
            </w:r>
          </w:p>
          <w:p>
            <w:pPr>
              <w:jc w:val="center"/>
            </w:pPr>
            <w:r>
              <w:t>全厂排放量（固体废物产生量）</w:t>
            </w:r>
            <w:r>
              <w:fldChar w:fldCharType="begin"/>
            </w:r>
            <w:r>
              <w:instrText xml:space="preserve"> = 6 \* GB3 \* MERGEFORMAT </w:instrText>
            </w:r>
            <w:r>
              <w:fldChar w:fldCharType="separate"/>
            </w:r>
            <w:r>
              <w:t>⑥</w:t>
            </w:r>
            <w:r>
              <w:fldChar w:fldCharType="end"/>
            </w:r>
          </w:p>
        </w:tc>
        <w:tc>
          <w:tcPr>
            <w:tcW w:w="1191" w:type="dxa"/>
            <w:tcBorders>
              <w:tl2br w:val="nil"/>
              <w:tr2bl w:val="nil"/>
            </w:tcBorders>
            <w:noWrap/>
            <w:tcMar>
              <w:left w:w="28" w:type="dxa"/>
              <w:right w:w="28" w:type="dxa"/>
            </w:tcMar>
            <w:vAlign w:val="center"/>
          </w:tcPr>
          <w:p>
            <w:pPr>
              <w:jc w:val="center"/>
            </w:pPr>
            <w:r>
              <w:t>变化量</w:t>
            </w:r>
          </w:p>
          <w:p>
            <w:pPr>
              <w:jc w:val="center"/>
            </w:pPr>
            <w:r>
              <w:fldChar w:fldCharType="begin"/>
            </w:r>
            <w:r>
              <w:instrText xml:space="preserve"> = 7 \* GB3 \* MERGEFORMAT </w:instrText>
            </w:r>
            <w:r>
              <w:fldChar w:fldCharType="separate"/>
            </w:r>
            <w:r>
              <w:t>⑦</w:t>
            </w:r>
            <w:r>
              <w:fldChar w:fldCharType="end"/>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188" w:type="dxa"/>
            <w:vMerge w:val="restart"/>
            <w:tcBorders>
              <w:tl2br w:val="nil"/>
              <w:tr2bl w:val="nil"/>
            </w:tcBorders>
            <w:noWrap/>
            <w:vAlign w:val="center"/>
          </w:tcPr>
          <w:p>
            <w:pPr>
              <w:jc w:val="center"/>
            </w:pPr>
            <w:r>
              <w:rPr>
                <w:rFonts w:hint="eastAsia"/>
              </w:rPr>
              <w:t>废气</w:t>
            </w:r>
          </w:p>
        </w:tc>
        <w:tc>
          <w:tcPr>
            <w:tcW w:w="2437" w:type="dxa"/>
            <w:tcBorders>
              <w:tl2br w:val="nil"/>
              <w:tr2bl w:val="nil"/>
            </w:tcBorders>
            <w:noWrap/>
            <w:vAlign w:val="center"/>
          </w:tcPr>
          <w:p>
            <w:pPr>
              <w:jc w:val="center"/>
            </w:pPr>
            <w:r>
              <w:rPr>
                <w:rFonts w:hint="eastAsia"/>
              </w:rPr>
              <w:t>二氧化硫kg/a</w:t>
            </w:r>
          </w:p>
        </w:tc>
        <w:tc>
          <w:tcPr>
            <w:tcW w:w="1473" w:type="dxa"/>
            <w:tcBorders>
              <w:tl2br w:val="nil"/>
              <w:tr2bl w:val="nil"/>
            </w:tcBorders>
            <w:noWrap/>
            <w:vAlign w:val="center"/>
          </w:tcPr>
          <w:p>
            <w:pPr>
              <w:jc w:val="center"/>
            </w:pPr>
            <w:r>
              <w:rPr>
                <w:rFonts w:hint="eastAsia"/>
              </w:rPr>
              <w:t>4.8</w:t>
            </w:r>
            <w:r>
              <w:t>kg/a</w:t>
            </w:r>
          </w:p>
        </w:tc>
        <w:tc>
          <w:tcPr>
            <w:tcW w:w="1381" w:type="dxa"/>
            <w:tcBorders>
              <w:tl2br w:val="nil"/>
              <w:tr2bl w:val="nil"/>
            </w:tcBorders>
            <w:noWrap/>
            <w:vAlign w:val="center"/>
          </w:tcPr>
          <w:p>
            <w:pPr>
              <w:jc w:val="center"/>
            </w:pPr>
            <w:r>
              <w:rPr>
                <w:rFonts w:hint="eastAsia"/>
              </w:rPr>
              <w:t>0</w:t>
            </w:r>
          </w:p>
        </w:tc>
        <w:tc>
          <w:tcPr>
            <w:tcW w:w="1843" w:type="dxa"/>
            <w:tcBorders>
              <w:tl2br w:val="nil"/>
              <w:tr2bl w:val="nil"/>
            </w:tcBorders>
            <w:noWrap/>
            <w:vAlign w:val="center"/>
          </w:tcPr>
          <w:p>
            <w:pPr>
              <w:jc w:val="center"/>
            </w:pPr>
            <w:r>
              <w:rPr>
                <w:rFonts w:hint="eastAsia"/>
              </w:rPr>
              <w:t>0</w:t>
            </w:r>
          </w:p>
        </w:tc>
        <w:tc>
          <w:tcPr>
            <w:tcW w:w="1688" w:type="dxa"/>
            <w:tcBorders>
              <w:tl2br w:val="nil"/>
              <w:tr2bl w:val="nil"/>
            </w:tcBorders>
            <w:noWrap/>
            <w:vAlign w:val="center"/>
          </w:tcPr>
          <w:p>
            <w:pPr>
              <w:jc w:val="center"/>
            </w:pPr>
            <w:r>
              <w:rPr>
                <w:rFonts w:hint="eastAsia"/>
              </w:rPr>
              <w:t>15</w:t>
            </w:r>
            <w:r>
              <w:t>kg/a</w:t>
            </w:r>
          </w:p>
        </w:tc>
        <w:tc>
          <w:tcPr>
            <w:tcW w:w="1910" w:type="dxa"/>
            <w:tcBorders>
              <w:tl2br w:val="nil"/>
              <w:tr2bl w:val="nil"/>
            </w:tcBorders>
            <w:noWrap/>
            <w:vAlign w:val="center"/>
          </w:tcPr>
          <w:p>
            <w:pPr>
              <w:jc w:val="center"/>
            </w:pPr>
            <w:r>
              <w:rPr>
                <w:rFonts w:hint="eastAsia"/>
              </w:rPr>
              <w:t>4.8</w:t>
            </w:r>
            <w:r>
              <w:t>kg/a</w:t>
            </w:r>
          </w:p>
        </w:tc>
        <w:tc>
          <w:tcPr>
            <w:tcW w:w="1824" w:type="dxa"/>
            <w:tcBorders>
              <w:tl2br w:val="nil"/>
              <w:tr2bl w:val="nil"/>
            </w:tcBorders>
            <w:noWrap/>
            <w:vAlign w:val="center"/>
          </w:tcPr>
          <w:p>
            <w:pPr>
              <w:jc w:val="center"/>
            </w:pPr>
            <w:r>
              <w:rPr>
                <w:rFonts w:hint="eastAsia"/>
              </w:rPr>
              <w:t>15</w:t>
            </w:r>
            <w:r>
              <w:t>kg/a</w:t>
            </w:r>
          </w:p>
        </w:tc>
        <w:tc>
          <w:tcPr>
            <w:tcW w:w="1191" w:type="dxa"/>
            <w:tcBorders>
              <w:tl2br w:val="nil"/>
              <w:tr2bl w:val="nil"/>
            </w:tcBorders>
            <w:noWrap/>
            <w:vAlign w:val="center"/>
          </w:tcPr>
          <w:p>
            <w:pPr>
              <w:jc w:val="center"/>
            </w:pPr>
            <w:r>
              <w:rPr>
                <w:rFonts w:hint="eastAsia"/>
              </w:rPr>
              <w:t>+10.2</w:t>
            </w:r>
            <w:r>
              <w:t>kg/a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88" w:type="dxa"/>
            <w:vMerge w:val="continue"/>
            <w:tcBorders>
              <w:tl2br w:val="nil"/>
              <w:tr2bl w:val="nil"/>
            </w:tcBorders>
            <w:noWrap/>
            <w:vAlign w:val="center"/>
          </w:tcPr>
          <w:p>
            <w:pPr>
              <w:jc w:val="center"/>
            </w:pPr>
          </w:p>
        </w:tc>
        <w:tc>
          <w:tcPr>
            <w:tcW w:w="2437" w:type="dxa"/>
            <w:tcBorders>
              <w:tl2br w:val="nil"/>
              <w:tr2bl w:val="nil"/>
            </w:tcBorders>
            <w:noWrap/>
            <w:vAlign w:val="center"/>
          </w:tcPr>
          <w:p>
            <w:pPr>
              <w:jc w:val="center"/>
            </w:pPr>
            <w:r>
              <w:rPr>
                <w:rFonts w:hint="eastAsia"/>
              </w:rPr>
              <w:t>氮氧化物kg/a</w:t>
            </w:r>
          </w:p>
        </w:tc>
        <w:tc>
          <w:tcPr>
            <w:tcW w:w="1473" w:type="dxa"/>
            <w:tcBorders>
              <w:tl2br w:val="nil"/>
              <w:tr2bl w:val="nil"/>
            </w:tcBorders>
            <w:noWrap/>
            <w:vAlign w:val="center"/>
          </w:tcPr>
          <w:p>
            <w:pPr>
              <w:jc w:val="center"/>
            </w:pPr>
            <w:r>
              <w:rPr>
                <w:rFonts w:hint="eastAsia"/>
              </w:rPr>
              <w:t>79.64</w:t>
            </w:r>
            <w:r>
              <w:t>kg/a</w:t>
            </w:r>
          </w:p>
        </w:tc>
        <w:tc>
          <w:tcPr>
            <w:tcW w:w="1381" w:type="dxa"/>
            <w:tcBorders>
              <w:tl2br w:val="nil"/>
              <w:tr2bl w:val="nil"/>
            </w:tcBorders>
            <w:noWrap/>
            <w:vAlign w:val="center"/>
          </w:tcPr>
          <w:p>
            <w:pPr>
              <w:jc w:val="center"/>
            </w:pPr>
            <w:r>
              <w:rPr>
                <w:rFonts w:hint="eastAsia"/>
              </w:rPr>
              <w:t>0</w:t>
            </w:r>
          </w:p>
        </w:tc>
        <w:tc>
          <w:tcPr>
            <w:tcW w:w="1843" w:type="dxa"/>
            <w:tcBorders>
              <w:tl2br w:val="nil"/>
              <w:tr2bl w:val="nil"/>
            </w:tcBorders>
            <w:noWrap/>
            <w:vAlign w:val="center"/>
          </w:tcPr>
          <w:p>
            <w:pPr>
              <w:jc w:val="center"/>
            </w:pPr>
            <w:r>
              <w:rPr>
                <w:rFonts w:hint="eastAsia"/>
              </w:rPr>
              <w:t>0</w:t>
            </w:r>
          </w:p>
        </w:tc>
        <w:tc>
          <w:tcPr>
            <w:tcW w:w="1688" w:type="dxa"/>
            <w:tcBorders>
              <w:tl2br w:val="nil"/>
              <w:tr2bl w:val="nil"/>
            </w:tcBorders>
            <w:noWrap/>
            <w:vAlign w:val="center"/>
          </w:tcPr>
          <w:p>
            <w:pPr>
              <w:jc w:val="center"/>
            </w:pPr>
            <w:r>
              <w:rPr>
                <w:rFonts w:hint="eastAsia"/>
              </w:rPr>
              <w:t>229.3</w:t>
            </w:r>
            <w:r>
              <w:t>kg/a</w:t>
            </w:r>
          </w:p>
        </w:tc>
        <w:tc>
          <w:tcPr>
            <w:tcW w:w="1910" w:type="dxa"/>
            <w:tcBorders>
              <w:tl2br w:val="nil"/>
              <w:tr2bl w:val="nil"/>
            </w:tcBorders>
            <w:noWrap/>
            <w:vAlign w:val="center"/>
          </w:tcPr>
          <w:p>
            <w:pPr>
              <w:jc w:val="center"/>
            </w:pPr>
            <w:r>
              <w:rPr>
                <w:rFonts w:hint="eastAsia"/>
              </w:rPr>
              <w:t>79.64</w:t>
            </w:r>
            <w:r>
              <w:t>kg/a</w:t>
            </w:r>
          </w:p>
        </w:tc>
        <w:tc>
          <w:tcPr>
            <w:tcW w:w="1824" w:type="dxa"/>
            <w:tcBorders>
              <w:tl2br w:val="nil"/>
              <w:tr2bl w:val="nil"/>
            </w:tcBorders>
            <w:noWrap/>
            <w:vAlign w:val="center"/>
          </w:tcPr>
          <w:p>
            <w:pPr>
              <w:jc w:val="center"/>
            </w:pPr>
            <w:r>
              <w:rPr>
                <w:rFonts w:hint="eastAsia"/>
              </w:rPr>
              <w:t>229.3</w:t>
            </w:r>
            <w:r>
              <w:t>kg/a</w:t>
            </w:r>
          </w:p>
        </w:tc>
        <w:tc>
          <w:tcPr>
            <w:tcW w:w="1191" w:type="dxa"/>
            <w:tcBorders>
              <w:tl2br w:val="nil"/>
              <w:tr2bl w:val="nil"/>
            </w:tcBorders>
            <w:noWrap/>
            <w:vAlign w:val="center"/>
          </w:tcPr>
          <w:p>
            <w:pPr>
              <w:jc w:val="center"/>
            </w:pPr>
            <w:r>
              <w:rPr>
                <w:rFonts w:hint="eastAsia"/>
              </w:rPr>
              <w:t>+149.66</w:t>
            </w:r>
            <w:r>
              <w:t>kg/a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88" w:type="dxa"/>
            <w:vMerge w:val="continue"/>
            <w:tcBorders>
              <w:tl2br w:val="nil"/>
              <w:tr2bl w:val="nil"/>
            </w:tcBorders>
            <w:noWrap/>
            <w:vAlign w:val="center"/>
          </w:tcPr>
          <w:p>
            <w:pPr>
              <w:jc w:val="center"/>
            </w:pPr>
          </w:p>
        </w:tc>
        <w:tc>
          <w:tcPr>
            <w:tcW w:w="2437" w:type="dxa"/>
            <w:tcBorders>
              <w:tl2br w:val="nil"/>
              <w:tr2bl w:val="nil"/>
            </w:tcBorders>
            <w:noWrap/>
            <w:vAlign w:val="center"/>
          </w:tcPr>
          <w:p>
            <w:pPr>
              <w:jc w:val="center"/>
            </w:pPr>
            <w:r>
              <w:rPr>
                <w:rFonts w:hint="eastAsia"/>
              </w:rPr>
              <w:t>烟尘kg</w:t>
            </w:r>
          </w:p>
        </w:tc>
        <w:tc>
          <w:tcPr>
            <w:tcW w:w="1473" w:type="dxa"/>
            <w:tcBorders>
              <w:tl2br w:val="nil"/>
              <w:tr2bl w:val="nil"/>
            </w:tcBorders>
            <w:noWrap/>
            <w:vAlign w:val="center"/>
          </w:tcPr>
          <w:p>
            <w:pPr>
              <w:jc w:val="center"/>
            </w:pPr>
            <w:r>
              <w:rPr>
                <w:rFonts w:hint="eastAsia"/>
              </w:rPr>
              <w:t>29.47</w:t>
            </w:r>
            <w:r>
              <w:t>kg/a</w:t>
            </w:r>
          </w:p>
        </w:tc>
        <w:tc>
          <w:tcPr>
            <w:tcW w:w="1381" w:type="dxa"/>
            <w:tcBorders>
              <w:tl2br w:val="nil"/>
              <w:tr2bl w:val="nil"/>
            </w:tcBorders>
            <w:noWrap/>
            <w:vAlign w:val="center"/>
          </w:tcPr>
          <w:p>
            <w:pPr>
              <w:jc w:val="center"/>
            </w:pPr>
            <w:r>
              <w:rPr>
                <w:rFonts w:hint="eastAsia"/>
              </w:rPr>
              <w:t>0</w:t>
            </w:r>
          </w:p>
        </w:tc>
        <w:tc>
          <w:tcPr>
            <w:tcW w:w="1843" w:type="dxa"/>
            <w:tcBorders>
              <w:tl2br w:val="nil"/>
              <w:tr2bl w:val="nil"/>
            </w:tcBorders>
            <w:noWrap/>
            <w:vAlign w:val="center"/>
          </w:tcPr>
          <w:p>
            <w:pPr>
              <w:jc w:val="center"/>
            </w:pPr>
            <w:r>
              <w:rPr>
                <w:rFonts w:hint="eastAsia"/>
              </w:rPr>
              <w:t>0</w:t>
            </w:r>
          </w:p>
        </w:tc>
        <w:tc>
          <w:tcPr>
            <w:tcW w:w="1688" w:type="dxa"/>
            <w:tcBorders>
              <w:tl2br w:val="nil"/>
              <w:tr2bl w:val="nil"/>
            </w:tcBorders>
            <w:noWrap/>
            <w:vAlign w:val="center"/>
          </w:tcPr>
          <w:p>
            <w:pPr>
              <w:jc w:val="center"/>
            </w:pPr>
            <w:r>
              <w:rPr>
                <w:rFonts w:hint="eastAsia"/>
              </w:rPr>
              <w:t>92.1</w:t>
            </w:r>
            <w:r>
              <w:t>kg/a</w:t>
            </w:r>
          </w:p>
        </w:tc>
        <w:tc>
          <w:tcPr>
            <w:tcW w:w="1910" w:type="dxa"/>
            <w:tcBorders>
              <w:tl2br w:val="nil"/>
              <w:tr2bl w:val="nil"/>
            </w:tcBorders>
            <w:noWrap/>
            <w:vAlign w:val="center"/>
          </w:tcPr>
          <w:p>
            <w:pPr>
              <w:jc w:val="center"/>
            </w:pPr>
            <w:r>
              <w:rPr>
                <w:rFonts w:hint="eastAsia"/>
              </w:rPr>
              <w:t>29.47</w:t>
            </w:r>
            <w:r>
              <w:t>kg/a</w:t>
            </w:r>
          </w:p>
        </w:tc>
        <w:tc>
          <w:tcPr>
            <w:tcW w:w="1824" w:type="dxa"/>
            <w:tcBorders>
              <w:tl2br w:val="nil"/>
              <w:tr2bl w:val="nil"/>
            </w:tcBorders>
            <w:noWrap/>
            <w:vAlign w:val="center"/>
          </w:tcPr>
          <w:p>
            <w:pPr>
              <w:jc w:val="center"/>
            </w:pPr>
            <w:r>
              <w:rPr>
                <w:rFonts w:hint="eastAsia"/>
              </w:rPr>
              <w:t>92.1</w:t>
            </w:r>
            <w:r>
              <w:t>kg/a</w:t>
            </w:r>
          </w:p>
        </w:tc>
        <w:tc>
          <w:tcPr>
            <w:tcW w:w="1191" w:type="dxa"/>
            <w:tcBorders>
              <w:tl2br w:val="nil"/>
              <w:tr2bl w:val="nil"/>
            </w:tcBorders>
            <w:noWrap/>
            <w:vAlign w:val="center"/>
          </w:tcPr>
          <w:p>
            <w:pPr>
              <w:jc w:val="center"/>
            </w:pPr>
            <w:r>
              <w:rPr>
                <w:rFonts w:hint="eastAsia"/>
              </w:rPr>
              <w:t>+62.63</w:t>
            </w:r>
            <w:r>
              <w:t>kg/a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188" w:type="dxa"/>
            <w:vMerge w:val="continue"/>
            <w:tcBorders>
              <w:tl2br w:val="nil"/>
              <w:tr2bl w:val="nil"/>
            </w:tcBorders>
            <w:noWrap/>
            <w:vAlign w:val="center"/>
          </w:tcPr>
          <w:p>
            <w:pPr>
              <w:jc w:val="center"/>
            </w:pPr>
          </w:p>
        </w:tc>
        <w:tc>
          <w:tcPr>
            <w:tcW w:w="2437" w:type="dxa"/>
            <w:tcBorders>
              <w:tl2br w:val="nil"/>
              <w:tr2bl w:val="nil"/>
            </w:tcBorders>
            <w:noWrap/>
            <w:vAlign w:val="center"/>
          </w:tcPr>
          <w:p>
            <w:pPr>
              <w:jc w:val="center"/>
            </w:pPr>
            <w:r>
              <w:rPr>
                <w:rFonts w:hint="eastAsia"/>
              </w:rPr>
              <w:t>非甲烷总烃t</w:t>
            </w:r>
          </w:p>
        </w:tc>
        <w:tc>
          <w:tcPr>
            <w:tcW w:w="1473" w:type="dxa"/>
            <w:tcBorders>
              <w:tl2br w:val="nil"/>
              <w:tr2bl w:val="nil"/>
            </w:tcBorders>
            <w:noWrap/>
            <w:vAlign w:val="center"/>
          </w:tcPr>
          <w:p>
            <w:pPr>
              <w:jc w:val="center"/>
            </w:pPr>
            <w:r>
              <w:rPr>
                <w:rFonts w:hint="eastAsia"/>
              </w:rPr>
              <w:t>0.0026</w:t>
            </w:r>
          </w:p>
        </w:tc>
        <w:tc>
          <w:tcPr>
            <w:tcW w:w="1381" w:type="dxa"/>
            <w:tcBorders>
              <w:tl2br w:val="nil"/>
              <w:tr2bl w:val="nil"/>
            </w:tcBorders>
            <w:noWrap/>
            <w:vAlign w:val="center"/>
          </w:tcPr>
          <w:p>
            <w:pPr>
              <w:jc w:val="center"/>
            </w:pPr>
            <w:r>
              <w:rPr>
                <w:rFonts w:hint="eastAsia"/>
              </w:rPr>
              <w:t>0</w:t>
            </w:r>
          </w:p>
        </w:tc>
        <w:tc>
          <w:tcPr>
            <w:tcW w:w="1843" w:type="dxa"/>
            <w:tcBorders>
              <w:tl2br w:val="nil"/>
              <w:tr2bl w:val="nil"/>
            </w:tcBorders>
            <w:noWrap/>
            <w:vAlign w:val="center"/>
          </w:tcPr>
          <w:p>
            <w:pPr>
              <w:jc w:val="center"/>
            </w:pPr>
            <w:r>
              <w:rPr>
                <w:rFonts w:hint="eastAsia"/>
              </w:rPr>
              <w:t>0</w:t>
            </w:r>
          </w:p>
        </w:tc>
        <w:tc>
          <w:tcPr>
            <w:tcW w:w="1688" w:type="dxa"/>
            <w:tcBorders>
              <w:tl2br w:val="nil"/>
              <w:tr2bl w:val="nil"/>
            </w:tcBorders>
            <w:noWrap/>
            <w:vAlign w:val="center"/>
          </w:tcPr>
          <w:p>
            <w:pPr>
              <w:jc w:val="center"/>
            </w:pPr>
            <w:r>
              <w:t>0.0</w:t>
            </w:r>
            <w:r>
              <w:rPr>
                <w:rFonts w:hint="eastAsia"/>
              </w:rPr>
              <w:t>7463</w:t>
            </w:r>
            <w:r>
              <w:t>6</w:t>
            </w:r>
            <w:r>
              <w:rPr>
                <w:rFonts w:hint="eastAsia"/>
              </w:rPr>
              <w:t>t</w:t>
            </w:r>
            <w:r>
              <w:t>/a</w:t>
            </w:r>
          </w:p>
        </w:tc>
        <w:tc>
          <w:tcPr>
            <w:tcW w:w="1910" w:type="dxa"/>
            <w:tcBorders>
              <w:tl2br w:val="nil"/>
              <w:tr2bl w:val="nil"/>
            </w:tcBorders>
            <w:noWrap/>
            <w:vAlign w:val="center"/>
          </w:tcPr>
          <w:p>
            <w:pPr>
              <w:jc w:val="center"/>
            </w:pPr>
            <w:r>
              <w:rPr>
                <w:rFonts w:hint="eastAsia"/>
              </w:rPr>
              <w:t>0</w:t>
            </w:r>
          </w:p>
        </w:tc>
        <w:tc>
          <w:tcPr>
            <w:tcW w:w="1824" w:type="dxa"/>
            <w:tcBorders>
              <w:tl2br w:val="nil"/>
              <w:tr2bl w:val="nil"/>
            </w:tcBorders>
            <w:noWrap/>
            <w:vAlign w:val="center"/>
          </w:tcPr>
          <w:p>
            <w:pPr>
              <w:jc w:val="center"/>
            </w:pPr>
            <w:r>
              <w:t>0.0</w:t>
            </w:r>
            <w:r>
              <w:rPr>
                <w:rFonts w:hint="eastAsia"/>
              </w:rPr>
              <w:t>7463</w:t>
            </w:r>
            <w:r>
              <w:t>6</w:t>
            </w:r>
            <w:r>
              <w:rPr>
                <w:rFonts w:hint="eastAsia"/>
              </w:rPr>
              <w:t>t</w:t>
            </w:r>
            <w:r>
              <w:t>/a</w:t>
            </w:r>
          </w:p>
        </w:tc>
        <w:tc>
          <w:tcPr>
            <w:tcW w:w="1191" w:type="dxa"/>
            <w:tcBorders>
              <w:tl2br w:val="nil"/>
              <w:tr2bl w:val="nil"/>
            </w:tcBorders>
            <w:noWrap/>
            <w:vAlign w:val="center"/>
          </w:tcPr>
          <w:p>
            <w:pPr>
              <w:jc w:val="center"/>
            </w:pPr>
            <w:r>
              <w:rPr>
                <w:rFonts w:hint="eastAsia"/>
              </w:rPr>
              <w:t>+0.0072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188" w:type="dxa"/>
            <w:vMerge w:val="restart"/>
            <w:tcBorders>
              <w:tl2br w:val="nil"/>
              <w:tr2bl w:val="nil"/>
            </w:tcBorders>
            <w:noWrap/>
            <w:vAlign w:val="center"/>
          </w:tcPr>
          <w:p>
            <w:pPr>
              <w:jc w:val="center"/>
            </w:pPr>
            <w:r>
              <w:rPr>
                <w:rFonts w:hint="eastAsia"/>
              </w:rPr>
              <w:t>含油</w:t>
            </w:r>
            <w:r>
              <w:t>废水</w:t>
            </w:r>
          </w:p>
        </w:tc>
        <w:tc>
          <w:tcPr>
            <w:tcW w:w="2437" w:type="dxa"/>
            <w:tcBorders>
              <w:tl2br w:val="nil"/>
              <w:tr2bl w:val="nil"/>
            </w:tcBorders>
            <w:noWrap/>
            <w:vAlign w:val="center"/>
          </w:tcPr>
          <w:p>
            <w:pPr>
              <w:jc w:val="center"/>
            </w:pPr>
            <w:r>
              <w:t>COD</w:t>
            </w:r>
            <w:r>
              <w:rPr>
                <w:rFonts w:hint="eastAsia"/>
              </w:rPr>
              <w:t>t/a</w:t>
            </w:r>
          </w:p>
        </w:tc>
        <w:tc>
          <w:tcPr>
            <w:tcW w:w="1473" w:type="dxa"/>
            <w:tcBorders>
              <w:tl2br w:val="nil"/>
              <w:tr2bl w:val="nil"/>
            </w:tcBorders>
            <w:noWrap/>
            <w:vAlign w:val="center"/>
          </w:tcPr>
          <w:p>
            <w:pPr>
              <w:jc w:val="center"/>
            </w:pPr>
            <w:r>
              <w:rPr>
                <w:rFonts w:hint="eastAsia"/>
              </w:rPr>
              <w:t>0.09</w:t>
            </w:r>
          </w:p>
        </w:tc>
        <w:tc>
          <w:tcPr>
            <w:tcW w:w="1381" w:type="dxa"/>
            <w:tcBorders>
              <w:tl2br w:val="nil"/>
              <w:tr2bl w:val="nil"/>
            </w:tcBorders>
            <w:noWrap/>
            <w:vAlign w:val="center"/>
          </w:tcPr>
          <w:p>
            <w:pPr>
              <w:jc w:val="center"/>
            </w:pPr>
            <w:r>
              <w:t>0</w:t>
            </w:r>
          </w:p>
        </w:tc>
        <w:tc>
          <w:tcPr>
            <w:tcW w:w="1843" w:type="dxa"/>
            <w:tcBorders>
              <w:tl2br w:val="nil"/>
              <w:tr2bl w:val="nil"/>
            </w:tcBorders>
            <w:noWrap/>
            <w:vAlign w:val="center"/>
          </w:tcPr>
          <w:p>
            <w:pPr>
              <w:jc w:val="center"/>
            </w:pPr>
            <w:r>
              <w:t>0</w:t>
            </w:r>
          </w:p>
        </w:tc>
        <w:tc>
          <w:tcPr>
            <w:tcW w:w="1688" w:type="dxa"/>
            <w:tcBorders>
              <w:tl2br w:val="nil"/>
              <w:tr2bl w:val="nil"/>
            </w:tcBorders>
            <w:noWrap/>
            <w:vAlign w:val="center"/>
          </w:tcPr>
          <w:p>
            <w:pPr>
              <w:jc w:val="center"/>
            </w:pPr>
            <w:r>
              <w:t>0.465</w:t>
            </w:r>
          </w:p>
        </w:tc>
        <w:tc>
          <w:tcPr>
            <w:tcW w:w="1910" w:type="dxa"/>
            <w:tcBorders>
              <w:tl2br w:val="nil"/>
              <w:tr2bl w:val="nil"/>
            </w:tcBorders>
            <w:noWrap/>
            <w:vAlign w:val="center"/>
          </w:tcPr>
          <w:p>
            <w:pPr>
              <w:jc w:val="center"/>
            </w:pPr>
            <w:r>
              <w:rPr>
                <w:rFonts w:hint="eastAsia"/>
              </w:rPr>
              <w:t>0</w:t>
            </w:r>
          </w:p>
        </w:tc>
        <w:tc>
          <w:tcPr>
            <w:tcW w:w="1824" w:type="dxa"/>
            <w:tcBorders>
              <w:tl2br w:val="nil"/>
              <w:tr2bl w:val="nil"/>
            </w:tcBorders>
            <w:noWrap/>
            <w:vAlign w:val="center"/>
          </w:tcPr>
          <w:p>
            <w:pPr>
              <w:jc w:val="center"/>
            </w:pPr>
            <w:r>
              <w:t>0.465</w:t>
            </w:r>
          </w:p>
        </w:tc>
        <w:tc>
          <w:tcPr>
            <w:tcW w:w="1191" w:type="dxa"/>
            <w:tcBorders>
              <w:tl2br w:val="nil"/>
              <w:tr2bl w:val="nil"/>
            </w:tcBorders>
            <w:noWrap/>
            <w:vAlign w:val="center"/>
          </w:tcPr>
          <w:p>
            <w:pPr>
              <w:jc w:val="center"/>
            </w:pPr>
            <w:r>
              <w:t>+0.</w:t>
            </w:r>
            <w:r>
              <w:rPr>
                <w:rFonts w:hint="eastAsia"/>
              </w:rPr>
              <w:t>375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188" w:type="dxa"/>
            <w:vMerge w:val="continue"/>
            <w:tcBorders>
              <w:tl2br w:val="nil"/>
              <w:tr2bl w:val="nil"/>
            </w:tcBorders>
            <w:noWrap/>
            <w:vAlign w:val="center"/>
          </w:tcPr>
          <w:p>
            <w:pPr>
              <w:jc w:val="center"/>
            </w:pPr>
          </w:p>
        </w:tc>
        <w:tc>
          <w:tcPr>
            <w:tcW w:w="2437" w:type="dxa"/>
            <w:tcBorders>
              <w:tl2br w:val="nil"/>
              <w:tr2bl w:val="nil"/>
            </w:tcBorders>
            <w:noWrap/>
            <w:vAlign w:val="center"/>
          </w:tcPr>
          <w:p>
            <w:pPr>
              <w:jc w:val="center"/>
            </w:pPr>
            <w:r>
              <w:rPr>
                <w:rFonts w:hint="eastAsia"/>
              </w:rPr>
              <w:t>BOD</w:t>
            </w:r>
          </w:p>
        </w:tc>
        <w:tc>
          <w:tcPr>
            <w:tcW w:w="1473" w:type="dxa"/>
            <w:tcBorders>
              <w:tl2br w:val="nil"/>
              <w:tr2bl w:val="nil"/>
            </w:tcBorders>
            <w:noWrap/>
            <w:vAlign w:val="center"/>
          </w:tcPr>
          <w:p>
            <w:pPr>
              <w:jc w:val="center"/>
            </w:pPr>
            <w:r>
              <w:rPr>
                <w:rFonts w:hint="eastAsia"/>
              </w:rPr>
              <w:t>0.04</w:t>
            </w:r>
          </w:p>
        </w:tc>
        <w:tc>
          <w:tcPr>
            <w:tcW w:w="1381" w:type="dxa"/>
            <w:tcBorders>
              <w:tl2br w:val="nil"/>
              <w:tr2bl w:val="nil"/>
            </w:tcBorders>
            <w:noWrap/>
            <w:vAlign w:val="center"/>
          </w:tcPr>
          <w:p>
            <w:pPr>
              <w:jc w:val="center"/>
            </w:pPr>
            <w:r>
              <w:rPr>
                <w:rFonts w:hint="eastAsia"/>
              </w:rPr>
              <w:t>0</w:t>
            </w:r>
          </w:p>
        </w:tc>
        <w:tc>
          <w:tcPr>
            <w:tcW w:w="1843" w:type="dxa"/>
            <w:tcBorders>
              <w:tl2br w:val="nil"/>
              <w:tr2bl w:val="nil"/>
            </w:tcBorders>
            <w:noWrap/>
            <w:vAlign w:val="center"/>
          </w:tcPr>
          <w:p>
            <w:pPr>
              <w:jc w:val="center"/>
            </w:pPr>
            <w:r>
              <w:rPr>
                <w:rFonts w:hint="eastAsia"/>
              </w:rPr>
              <w:t>0</w:t>
            </w:r>
          </w:p>
        </w:tc>
        <w:tc>
          <w:tcPr>
            <w:tcW w:w="1688" w:type="dxa"/>
            <w:tcBorders>
              <w:tl2br w:val="nil"/>
              <w:tr2bl w:val="nil"/>
            </w:tcBorders>
            <w:noWrap/>
            <w:vAlign w:val="center"/>
          </w:tcPr>
          <w:p>
            <w:pPr>
              <w:jc w:val="center"/>
            </w:pPr>
            <w:r>
              <w:t>0.093</w:t>
            </w:r>
          </w:p>
        </w:tc>
        <w:tc>
          <w:tcPr>
            <w:tcW w:w="1910" w:type="dxa"/>
            <w:tcBorders>
              <w:tl2br w:val="nil"/>
              <w:tr2bl w:val="nil"/>
            </w:tcBorders>
            <w:noWrap/>
            <w:vAlign w:val="center"/>
          </w:tcPr>
          <w:p>
            <w:pPr>
              <w:jc w:val="center"/>
            </w:pPr>
            <w:r>
              <w:rPr>
                <w:rFonts w:hint="eastAsia"/>
              </w:rPr>
              <w:t>0</w:t>
            </w:r>
          </w:p>
        </w:tc>
        <w:tc>
          <w:tcPr>
            <w:tcW w:w="1824" w:type="dxa"/>
            <w:tcBorders>
              <w:tl2br w:val="nil"/>
              <w:tr2bl w:val="nil"/>
            </w:tcBorders>
            <w:noWrap/>
            <w:vAlign w:val="center"/>
          </w:tcPr>
          <w:p>
            <w:pPr>
              <w:jc w:val="center"/>
            </w:pPr>
            <w:r>
              <w:t>0.093</w:t>
            </w:r>
          </w:p>
        </w:tc>
        <w:tc>
          <w:tcPr>
            <w:tcW w:w="1191" w:type="dxa"/>
            <w:tcBorders>
              <w:tl2br w:val="nil"/>
              <w:tr2bl w:val="nil"/>
            </w:tcBorders>
            <w:noWrap/>
            <w:vAlign w:val="center"/>
          </w:tcPr>
          <w:p>
            <w:pPr>
              <w:jc w:val="center"/>
            </w:pPr>
            <w:r>
              <w:rPr>
                <w:rFonts w:hint="eastAsia"/>
              </w:rPr>
              <w:t>+0.053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188" w:type="dxa"/>
            <w:vMerge w:val="continue"/>
            <w:tcBorders>
              <w:tl2br w:val="nil"/>
              <w:tr2bl w:val="nil"/>
            </w:tcBorders>
            <w:noWrap/>
            <w:vAlign w:val="center"/>
          </w:tcPr>
          <w:p>
            <w:pPr>
              <w:jc w:val="center"/>
            </w:pPr>
          </w:p>
        </w:tc>
        <w:tc>
          <w:tcPr>
            <w:tcW w:w="2437" w:type="dxa"/>
            <w:tcBorders>
              <w:tl2br w:val="nil"/>
              <w:tr2bl w:val="nil"/>
            </w:tcBorders>
            <w:noWrap/>
            <w:vAlign w:val="center"/>
          </w:tcPr>
          <w:p>
            <w:pPr>
              <w:jc w:val="center"/>
            </w:pPr>
            <w:r>
              <w:rPr>
                <w:rFonts w:hint="eastAsia"/>
              </w:rPr>
              <w:t>SS</w:t>
            </w:r>
          </w:p>
        </w:tc>
        <w:tc>
          <w:tcPr>
            <w:tcW w:w="1473" w:type="dxa"/>
            <w:tcBorders>
              <w:tl2br w:val="nil"/>
              <w:tr2bl w:val="nil"/>
            </w:tcBorders>
            <w:noWrap/>
            <w:vAlign w:val="center"/>
          </w:tcPr>
          <w:p>
            <w:pPr>
              <w:jc w:val="center"/>
            </w:pPr>
            <w:r>
              <w:rPr>
                <w:rFonts w:hint="eastAsia"/>
              </w:rPr>
              <w:t>0.09</w:t>
            </w:r>
          </w:p>
        </w:tc>
        <w:tc>
          <w:tcPr>
            <w:tcW w:w="1381" w:type="dxa"/>
            <w:tcBorders>
              <w:tl2br w:val="nil"/>
              <w:tr2bl w:val="nil"/>
            </w:tcBorders>
            <w:noWrap/>
            <w:vAlign w:val="center"/>
          </w:tcPr>
          <w:p>
            <w:pPr>
              <w:jc w:val="center"/>
            </w:pPr>
            <w:r>
              <w:rPr>
                <w:rFonts w:hint="eastAsia"/>
              </w:rPr>
              <w:t>0</w:t>
            </w:r>
          </w:p>
        </w:tc>
        <w:tc>
          <w:tcPr>
            <w:tcW w:w="1843" w:type="dxa"/>
            <w:tcBorders>
              <w:tl2br w:val="nil"/>
              <w:tr2bl w:val="nil"/>
            </w:tcBorders>
            <w:noWrap/>
            <w:vAlign w:val="center"/>
          </w:tcPr>
          <w:p>
            <w:pPr>
              <w:jc w:val="center"/>
            </w:pPr>
            <w:r>
              <w:rPr>
                <w:rFonts w:hint="eastAsia"/>
              </w:rPr>
              <w:t>0</w:t>
            </w:r>
          </w:p>
        </w:tc>
        <w:tc>
          <w:tcPr>
            <w:tcW w:w="1688" w:type="dxa"/>
            <w:tcBorders>
              <w:tl2br w:val="nil"/>
              <w:tr2bl w:val="nil"/>
            </w:tcBorders>
            <w:noWrap/>
            <w:vAlign w:val="center"/>
          </w:tcPr>
          <w:p>
            <w:pPr>
              <w:jc w:val="center"/>
            </w:pPr>
            <w:r>
              <w:t>0.093</w:t>
            </w:r>
          </w:p>
        </w:tc>
        <w:tc>
          <w:tcPr>
            <w:tcW w:w="1910" w:type="dxa"/>
            <w:tcBorders>
              <w:tl2br w:val="nil"/>
              <w:tr2bl w:val="nil"/>
            </w:tcBorders>
            <w:noWrap/>
            <w:vAlign w:val="center"/>
          </w:tcPr>
          <w:p>
            <w:pPr>
              <w:jc w:val="center"/>
            </w:pPr>
            <w:r>
              <w:rPr>
                <w:rFonts w:hint="eastAsia"/>
              </w:rPr>
              <w:t>0</w:t>
            </w:r>
          </w:p>
        </w:tc>
        <w:tc>
          <w:tcPr>
            <w:tcW w:w="1824" w:type="dxa"/>
            <w:tcBorders>
              <w:tl2br w:val="nil"/>
              <w:tr2bl w:val="nil"/>
            </w:tcBorders>
            <w:noWrap/>
            <w:vAlign w:val="center"/>
          </w:tcPr>
          <w:p>
            <w:pPr>
              <w:jc w:val="center"/>
            </w:pPr>
            <w:r>
              <w:t>0.093</w:t>
            </w:r>
          </w:p>
        </w:tc>
        <w:tc>
          <w:tcPr>
            <w:tcW w:w="1191" w:type="dxa"/>
            <w:tcBorders>
              <w:tl2br w:val="nil"/>
              <w:tr2bl w:val="nil"/>
            </w:tcBorders>
            <w:noWrap/>
            <w:vAlign w:val="center"/>
          </w:tcPr>
          <w:p>
            <w:pPr>
              <w:jc w:val="center"/>
            </w:pPr>
            <w:r>
              <w:rPr>
                <w:rFonts w:hint="eastAsia"/>
              </w:rPr>
              <w:t>-0.003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188" w:type="dxa"/>
            <w:vMerge w:val="continue"/>
            <w:tcBorders>
              <w:tl2br w:val="nil"/>
              <w:tr2bl w:val="nil"/>
            </w:tcBorders>
            <w:noWrap/>
            <w:vAlign w:val="center"/>
          </w:tcPr>
          <w:p>
            <w:pPr>
              <w:jc w:val="center"/>
            </w:pPr>
          </w:p>
        </w:tc>
        <w:tc>
          <w:tcPr>
            <w:tcW w:w="2437" w:type="dxa"/>
            <w:tcBorders>
              <w:tl2br w:val="nil"/>
              <w:tr2bl w:val="nil"/>
            </w:tcBorders>
            <w:noWrap/>
            <w:vAlign w:val="center"/>
          </w:tcPr>
          <w:p>
            <w:pPr>
              <w:jc w:val="center"/>
            </w:pPr>
            <w:r>
              <w:rPr>
                <w:rFonts w:hint="eastAsia"/>
              </w:rPr>
              <w:t>氨氮</w:t>
            </w:r>
          </w:p>
        </w:tc>
        <w:tc>
          <w:tcPr>
            <w:tcW w:w="1473" w:type="dxa"/>
            <w:tcBorders>
              <w:tl2br w:val="nil"/>
              <w:tr2bl w:val="nil"/>
            </w:tcBorders>
            <w:noWrap/>
            <w:vAlign w:val="center"/>
          </w:tcPr>
          <w:p>
            <w:pPr>
              <w:jc w:val="center"/>
            </w:pPr>
            <w:r>
              <w:rPr>
                <w:rFonts w:hint="eastAsia"/>
              </w:rPr>
              <w:t>0.02</w:t>
            </w:r>
          </w:p>
        </w:tc>
        <w:tc>
          <w:tcPr>
            <w:tcW w:w="1381" w:type="dxa"/>
            <w:tcBorders>
              <w:tl2br w:val="nil"/>
              <w:tr2bl w:val="nil"/>
            </w:tcBorders>
            <w:noWrap/>
            <w:vAlign w:val="center"/>
          </w:tcPr>
          <w:p>
            <w:pPr>
              <w:jc w:val="center"/>
            </w:pPr>
            <w:r>
              <w:rPr>
                <w:rFonts w:hint="eastAsia"/>
              </w:rPr>
              <w:t>0</w:t>
            </w:r>
          </w:p>
        </w:tc>
        <w:tc>
          <w:tcPr>
            <w:tcW w:w="1843" w:type="dxa"/>
            <w:tcBorders>
              <w:tl2br w:val="nil"/>
              <w:tr2bl w:val="nil"/>
            </w:tcBorders>
            <w:noWrap/>
            <w:vAlign w:val="center"/>
          </w:tcPr>
          <w:p>
            <w:pPr>
              <w:jc w:val="center"/>
            </w:pPr>
            <w:r>
              <w:rPr>
                <w:rFonts w:hint="eastAsia"/>
              </w:rPr>
              <w:t>0</w:t>
            </w:r>
          </w:p>
        </w:tc>
        <w:tc>
          <w:tcPr>
            <w:tcW w:w="1688" w:type="dxa"/>
            <w:tcBorders>
              <w:tl2br w:val="nil"/>
              <w:tr2bl w:val="nil"/>
            </w:tcBorders>
            <w:noWrap/>
            <w:vAlign w:val="center"/>
          </w:tcPr>
          <w:p>
            <w:pPr>
              <w:jc w:val="center"/>
            </w:pPr>
            <w:r>
              <w:t>0.0465</w:t>
            </w:r>
          </w:p>
        </w:tc>
        <w:tc>
          <w:tcPr>
            <w:tcW w:w="1910" w:type="dxa"/>
            <w:tcBorders>
              <w:tl2br w:val="nil"/>
              <w:tr2bl w:val="nil"/>
            </w:tcBorders>
            <w:noWrap/>
            <w:vAlign w:val="center"/>
          </w:tcPr>
          <w:p>
            <w:pPr>
              <w:jc w:val="center"/>
            </w:pPr>
            <w:r>
              <w:rPr>
                <w:rFonts w:hint="eastAsia"/>
              </w:rPr>
              <w:t>0</w:t>
            </w:r>
          </w:p>
        </w:tc>
        <w:tc>
          <w:tcPr>
            <w:tcW w:w="1824" w:type="dxa"/>
            <w:tcBorders>
              <w:tl2br w:val="nil"/>
              <w:tr2bl w:val="nil"/>
            </w:tcBorders>
            <w:noWrap/>
            <w:vAlign w:val="center"/>
          </w:tcPr>
          <w:p>
            <w:pPr>
              <w:jc w:val="center"/>
            </w:pPr>
            <w:r>
              <w:t>0.0465</w:t>
            </w:r>
          </w:p>
        </w:tc>
        <w:tc>
          <w:tcPr>
            <w:tcW w:w="1191" w:type="dxa"/>
            <w:tcBorders>
              <w:tl2br w:val="nil"/>
              <w:tr2bl w:val="nil"/>
            </w:tcBorders>
            <w:noWrap/>
            <w:vAlign w:val="center"/>
          </w:tcPr>
          <w:p>
            <w:pPr>
              <w:jc w:val="center"/>
            </w:pPr>
            <w:r>
              <w:rPr>
                <w:rFonts w:hint="eastAsia"/>
              </w:rPr>
              <w:t>+0.027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188" w:type="dxa"/>
            <w:vMerge w:val="continue"/>
            <w:tcBorders>
              <w:tl2br w:val="nil"/>
              <w:tr2bl w:val="nil"/>
            </w:tcBorders>
            <w:noWrap/>
            <w:vAlign w:val="center"/>
          </w:tcPr>
          <w:p>
            <w:pPr>
              <w:jc w:val="center"/>
            </w:pPr>
          </w:p>
        </w:tc>
        <w:tc>
          <w:tcPr>
            <w:tcW w:w="2437" w:type="dxa"/>
            <w:tcBorders>
              <w:tl2br w:val="nil"/>
              <w:tr2bl w:val="nil"/>
            </w:tcBorders>
            <w:noWrap/>
            <w:vAlign w:val="center"/>
          </w:tcPr>
          <w:p>
            <w:pPr>
              <w:jc w:val="center"/>
            </w:pPr>
            <w:r>
              <w:rPr>
                <w:rFonts w:hint="eastAsia"/>
              </w:rPr>
              <w:t>石油类</w:t>
            </w:r>
          </w:p>
        </w:tc>
        <w:tc>
          <w:tcPr>
            <w:tcW w:w="1473" w:type="dxa"/>
            <w:tcBorders>
              <w:tl2br w:val="nil"/>
              <w:tr2bl w:val="nil"/>
            </w:tcBorders>
            <w:noWrap/>
            <w:vAlign w:val="center"/>
          </w:tcPr>
          <w:p>
            <w:pPr>
              <w:jc w:val="center"/>
            </w:pPr>
            <w:r>
              <w:rPr>
                <w:rFonts w:hint="eastAsia"/>
              </w:rPr>
              <w:t>0.0003</w:t>
            </w:r>
          </w:p>
        </w:tc>
        <w:tc>
          <w:tcPr>
            <w:tcW w:w="1381" w:type="dxa"/>
            <w:tcBorders>
              <w:tl2br w:val="nil"/>
              <w:tr2bl w:val="nil"/>
            </w:tcBorders>
            <w:noWrap/>
            <w:vAlign w:val="center"/>
          </w:tcPr>
          <w:p>
            <w:pPr>
              <w:jc w:val="center"/>
            </w:pPr>
            <w:r>
              <w:t>0</w:t>
            </w:r>
          </w:p>
        </w:tc>
        <w:tc>
          <w:tcPr>
            <w:tcW w:w="1843" w:type="dxa"/>
            <w:tcBorders>
              <w:tl2br w:val="nil"/>
              <w:tr2bl w:val="nil"/>
            </w:tcBorders>
            <w:noWrap/>
            <w:vAlign w:val="center"/>
          </w:tcPr>
          <w:p>
            <w:pPr>
              <w:jc w:val="center"/>
            </w:pPr>
            <w:r>
              <w:t>0</w:t>
            </w:r>
          </w:p>
        </w:tc>
        <w:tc>
          <w:tcPr>
            <w:tcW w:w="1688" w:type="dxa"/>
            <w:tcBorders>
              <w:tl2br w:val="nil"/>
              <w:tr2bl w:val="nil"/>
            </w:tcBorders>
            <w:noWrap/>
            <w:vAlign w:val="center"/>
          </w:tcPr>
          <w:p>
            <w:pPr>
              <w:jc w:val="center"/>
            </w:pPr>
            <w:r>
              <w:t>0.00</w:t>
            </w:r>
            <w:r>
              <w:rPr>
                <w:rFonts w:hint="eastAsia"/>
              </w:rPr>
              <w:t>23</w:t>
            </w:r>
          </w:p>
        </w:tc>
        <w:tc>
          <w:tcPr>
            <w:tcW w:w="1910" w:type="dxa"/>
            <w:tcBorders>
              <w:tl2br w:val="nil"/>
              <w:tr2bl w:val="nil"/>
            </w:tcBorders>
            <w:noWrap/>
            <w:vAlign w:val="center"/>
          </w:tcPr>
          <w:p>
            <w:pPr>
              <w:jc w:val="center"/>
            </w:pPr>
            <w:r>
              <w:rPr>
                <w:rFonts w:hint="eastAsia"/>
              </w:rPr>
              <w:t>0</w:t>
            </w:r>
          </w:p>
        </w:tc>
        <w:tc>
          <w:tcPr>
            <w:tcW w:w="1824" w:type="dxa"/>
            <w:tcBorders>
              <w:tl2br w:val="nil"/>
              <w:tr2bl w:val="nil"/>
            </w:tcBorders>
            <w:noWrap/>
            <w:vAlign w:val="center"/>
          </w:tcPr>
          <w:p>
            <w:pPr>
              <w:jc w:val="center"/>
            </w:pPr>
            <w:r>
              <w:t>0.00</w:t>
            </w:r>
            <w:r>
              <w:rPr>
                <w:rFonts w:hint="eastAsia"/>
              </w:rPr>
              <w:t>23</w:t>
            </w:r>
          </w:p>
        </w:tc>
        <w:tc>
          <w:tcPr>
            <w:tcW w:w="1191" w:type="dxa"/>
            <w:tcBorders>
              <w:tl2br w:val="nil"/>
              <w:tr2bl w:val="nil"/>
            </w:tcBorders>
            <w:noWrap/>
            <w:vAlign w:val="center"/>
          </w:tcPr>
          <w:p>
            <w:pPr>
              <w:jc w:val="center"/>
            </w:pPr>
            <w:r>
              <w:rPr>
                <w:rFonts w:hint="eastAsia"/>
              </w:rPr>
              <w:t>+0.002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188" w:type="dxa"/>
            <w:vMerge w:val="restart"/>
            <w:tcBorders>
              <w:tl2br w:val="nil"/>
              <w:tr2bl w:val="nil"/>
            </w:tcBorders>
            <w:noWrap/>
            <w:vAlign w:val="center"/>
          </w:tcPr>
          <w:p>
            <w:pPr>
              <w:jc w:val="center"/>
            </w:pPr>
            <w:r>
              <w:rPr>
                <w:rFonts w:hint="eastAsia"/>
              </w:rPr>
              <w:t>生活污水</w:t>
            </w:r>
          </w:p>
        </w:tc>
        <w:tc>
          <w:tcPr>
            <w:tcW w:w="2437" w:type="dxa"/>
            <w:tcBorders>
              <w:tl2br w:val="nil"/>
              <w:tr2bl w:val="nil"/>
            </w:tcBorders>
            <w:noWrap/>
            <w:vAlign w:val="center"/>
          </w:tcPr>
          <w:p>
            <w:pPr>
              <w:jc w:val="center"/>
            </w:pPr>
            <w:r>
              <w:t>COD</w:t>
            </w:r>
            <w:r>
              <w:rPr>
                <w:rFonts w:hint="eastAsia"/>
              </w:rPr>
              <w:t>t/a</w:t>
            </w:r>
          </w:p>
        </w:tc>
        <w:tc>
          <w:tcPr>
            <w:tcW w:w="1473" w:type="dxa"/>
            <w:tcBorders>
              <w:tl2br w:val="nil"/>
              <w:tr2bl w:val="nil"/>
            </w:tcBorders>
            <w:noWrap/>
            <w:vAlign w:val="center"/>
          </w:tcPr>
          <w:p>
            <w:pPr>
              <w:jc w:val="center"/>
            </w:pPr>
            <w:r>
              <w:rPr>
                <w:rFonts w:hint="eastAsia"/>
              </w:rPr>
              <w:t>0</w:t>
            </w:r>
          </w:p>
        </w:tc>
        <w:tc>
          <w:tcPr>
            <w:tcW w:w="1381" w:type="dxa"/>
            <w:tcBorders>
              <w:tl2br w:val="nil"/>
              <w:tr2bl w:val="nil"/>
            </w:tcBorders>
            <w:noWrap/>
            <w:vAlign w:val="center"/>
          </w:tcPr>
          <w:p>
            <w:pPr>
              <w:jc w:val="center"/>
            </w:pPr>
            <w:r>
              <w:rPr>
                <w:rFonts w:hint="eastAsia"/>
              </w:rPr>
              <w:t>0</w:t>
            </w:r>
          </w:p>
        </w:tc>
        <w:tc>
          <w:tcPr>
            <w:tcW w:w="1843" w:type="dxa"/>
            <w:tcBorders>
              <w:tl2br w:val="nil"/>
              <w:tr2bl w:val="nil"/>
            </w:tcBorders>
            <w:noWrap/>
            <w:vAlign w:val="center"/>
          </w:tcPr>
          <w:p>
            <w:pPr>
              <w:jc w:val="center"/>
            </w:pPr>
            <w:r>
              <w:rPr>
                <w:rFonts w:hint="eastAsia"/>
              </w:rPr>
              <w:t>0</w:t>
            </w:r>
          </w:p>
        </w:tc>
        <w:tc>
          <w:tcPr>
            <w:tcW w:w="1688" w:type="dxa"/>
            <w:tcBorders>
              <w:tl2br w:val="nil"/>
              <w:tr2bl w:val="nil"/>
            </w:tcBorders>
            <w:noWrap/>
            <w:vAlign w:val="center"/>
          </w:tcPr>
          <w:p>
            <w:pPr>
              <w:jc w:val="center"/>
            </w:pPr>
            <w:r>
              <w:rPr>
                <w:rFonts w:hint="eastAsia"/>
              </w:rPr>
              <w:t>0.5</w:t>
            </w:r>
          </w:p>
        </w:tc>
        <w:tc>
          <w:tcPr>
            <w:tcW w:w="1910" w:type="dxa"/>
            <w:tcBorders>
              <w:tl2br w:val="nil"/>
              <w:tr2bl w:val="nil"/>
            </w:tcBorders>
            <w:noWrap/>
            <w:vAlign w:val="center"/>
          </w:tcPr>
          <w:p>
            <w:pPr>
              <w:jc w:val="center"/>
            </w:pPr>
            <w:r>
              <w:rPr>
                <w:rFonts w:hint="eastAsia"/>
              </w:rPr>
              <w:t>0</w:t>
            </w:r>
          </w:p>
        </w:tc>
        <w:tc>
          <w:tcPr>
            <w:tcW w:w="1824" w:type="dxa"/>
            <w:tcBorders>
              <w:tl2br w:val="nil"/>
              <w:tr2bl w:val="nil"/>
            </w:tcBorders>
            <w:noWrap/>
            <w:vAlign w:val="center"/>
          </w:tcPr>
          <w:p>
            <w:pPr>
              <w:jc w:val="center"/>
            </w:pPr>
            <w:r>
              <w:rPr>
                <w:rFonts w:hint="eastAsia"/>
              </w:rPr>
              <w:t>0.5</w:t>
            </w:r>
          </w:p>
        </w:tc>
        <w:tc>
          <w:tcPr>
            <w:tcW w:w="1191" w:type="dxa"/>
            <w:tcBorders>
              <w:tl2br w:val="nil"/>
              <w:tr2bl w:val="nil"/>
            </w:tcBorders>
            <w:noWrap/>
            <w:vAlign w:val="center"/>
          </w:tcPr>
          <w:p>
            <w:pPr>
              <w:jc w:val="center"/>
            </w:pPr>
            <w:r>
              <w:rPr>
                <w:rFonts w:hint="eastAsia"/>
              </w:rPr>
              <w:t>+0.5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188" w:type="dxa"/>
            <w:vMerge w:val="continue"/>
            <w:tcBorders>
              <w:tl2br w:val="nil"/>
              <w:tr2bl w:val="nil"/>
            </w:tcBorders>
            <w:noWrap/>
            <w:vAlign w:val="center"/>
          </w:tcPr>
          <w:p>
            <w:pPr>
              <w:jc w:val="center"/>
            </w:pPr>
          </w:p>
        </w:tc>
        <w:tc>
          <w:tcPr>
            <w:tcW w:w="2437" w:type="dxa"/>
            <w:tcBorders>
              <w:tl2br w:val="nil"/>
              <w:tr2bl w:val="nil"/>
            </w:tcBorders>
            <w:noWrap/>
            <w:vAlign w:val="center"/>
          </w:tcPr>
          <w:p>
            <w:pPr>
              <w:jc w:val="center"/>
            </w:pPr>
            <w:r>
              <w:rPr>
                <w:rFonts w:hint="eastAsia"/>
              </w:rPr>
              <w:t>BOD</w:t>
            </w:r>
          </w:p>
        </w:tc>
        <w:tc>
          <w:tcPr>
            <w:tcW w:w="1473" w:type="dxa"/>
            <w:tcBorders>
              <w:tl2br w:val="nil"/>
              <w:tr2bl w:val="nil"/>
            </w:tcBorders>
            <w:noWrap/>
            <w:vAlign w:val="center"/>
          </w:tcPr>
          <w:p>
            <w:pPr>
              <w:jc w:val="center"/>
            </w:pPr>
            <w:r>
              <w:rPr>
                <w:rFonts w:hint="eastAsia"/>
              </w:rPr>
              <w:t>0</w:t>
            </w:r>
          </w:p>
        </w:tc>
        <w:tc>
          <w:tcPr>
            <w:tcW w:w="1381" w:type="dxa"/>
            <w:tcBorders>
              <w:tl2br w:val="nil"/>
              <w:tr2bl w:val="nil"/>
            </w:tcBorders>
            <w:noWrap/>
            <w:vAlign w:val="center"/>
          </w:tcPr>
          <w:p>
            <w:pPr>
              <w:jc w:val="center"/>
            </w:pPr>
            <w:r>
              <w:rPr>
                <w:rFonts w:hint="eastAsia"/>
              </w:rPr>
              <w:t>0</w:t>
            </w:r>
          </w:p>
        </w:tc>
        <w:tc>
          <w:tcPr>
            <w:tcW w:w="1843" w:type="dxa"/>
            <w:tcBorders>
              <w:tl2br w:val="nil"/>
              <w:tr2bl w:val="nil"/>
            </w:tcBorders>
            <w:noWrap/>
            <w:vAlign w:val="center"/>
          </w:tcPr>
          <w:p>
            <w:pPr>
              <w:jc w:val="center"/>
            </w:pPr>
            <w:r>
              <w:rPr>
                <w:rFonts w:hint="eastAsia"/>
              </w:rPr>
              <w:t>0</w:t>
            </w:r>
          </w:p>
        </w:tc>
        <w:tc>
          <w:tcPr>
            <w:tcW w:w="1688" w:type="dxa"/>
            <w:tcBorders>
              <w:tl2br w:val="nil"/>
              <w:tr2bl w:val="nil"/>
            </w:tcBorders>
            <w:noWrap/>
            <w:vAlign w:val="center"/>
          </w:tcPr>
          <w:p>
            <w:pPr>
              <w:jc w:val="center"/>
            </w:pPr>
            <w:r>
              <w:rPr>
                <w:rFonts w:hint="eastAsia"/>
              </w:rPr>
              <w:t>0.1</w:t>
            </w:r>
          </w:p>
        </w:tc>
        <w:tc>
          <w:tcPr>
            <w:tcW w:w="1910" w:type="dxa"/>
            <w:tcBorders>
              <w:tl2br w:val="nil"/>
              <w:tr2bl w:val="nil"/>
            </w:tcBorders>
            <w:noWrap/>
            <w:vAlign w:val="center"/>
          </w:tcPr>
          <w:p>
            <w:pPr>
              <w:jc w:val="center"/>
            </w:pPr>
            <w:r>
              <w:rPr>
                <w:rFonts w:hint="eastAsia"/>
              </w:rPr>
              <w:t>0</w:t>
            </w:r>
          </w:p>
        </w:tc>
        <w:tc>
          <w:tcPr>
            <w:tcW w:w="1824" w:type="dxa"/>
            <w:tcBorders>
              <w:tl2br w:val="nil"/>
              <w:tr2bl w:val="nil"/>
            </w:tcBorders>
            <w:noWrap/>
            <w:vAlign w:val="center"/>
          </w:tcPr>
          <w:p>
            <w:pPr>
              <w:jc w:val="center"/>
            </w:pPr>
            <w:r>
              <w:rPr>
                <w:rFonts w:hint="eastAsia"/>
              </w:rPr>
              <w:t>0.1</w:t>
            </w:r>
          </w:p>
        </w:tc>
        <w:tc>
          <w:tcPr>
            <w:tcW w:w="1191" w:type="dxa"/>
            <w:tcBorders>
              <w:tl2br w:val="nil"/>
              <w:tr2bl w:val="nil"/>
            </w:tcBorders>
            <w:noWrap/>
            <w:vAlign w:val="center"/>
          </w:tcPr>
          <w:p>
            <w:pPr>
              <w:jc w:val="center"/>
            </w:pPr>
            <w:r>
              <w:rPr>
                <w:rFonts w:hint="eastAsia"/>
              </w:rPr>
              <w:t>+0.1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188" w:type="dxa"/>
            <w:vMerge w:val="continue"/>
            <w:tcBorders>
              <w:tl2br w:val="nil"/>
              <w:tr2bl w:val="nil"/>
            </w:tcBorders>
            <w:noWrap/>
            <w:vAlign w:val="center"/>
          </w:tcPr>
          <w:p>
            <w:pPr>
              <w:jc w:val="center"/>
            </w:pPr>
          </w:p>
        </w:tc>
        <w:tc>
          <w:tcPr>
            <w:tcW w:w="2437" w:type="dxa"/>
            <w:tcBorders>
              <w:tl2br w:val="nil"/>
              <w:tr2bl w:val="nil"/>
            </w:tcBorders>
            <w:noWrap/>
            <w:vAlign w:val="center"/>
          </w:tcPr>
          <w:p>
            <w:pPr>
              <w:jc w:val="center"/>
            </w:pPr>
            <w:r>
              <w:rPr>
                <w:rFonts w:hint="eastAsia"/>
              </w:rPr>
              <w:t>SS</w:t>
            </w:r>
          </w:p>
        </w:tc>
        <w:tc>
          <w:tcPr>
            <w:tcW w:w="1473" w:type="dxa"/>
            <w:tcBorders>
              <w:tl2br w:val="nil"/>
              <w:tr2bl w:val="nil"/>
            </w:tcBorders>
            <w:noWrap/>
            <w:vAlign w:val="center"/>
          </w:tcPr>
          <w:p>
            <w:pPr>
              <w:jc w:val="center"/>
            </w:pPr>
            <w:r>
              <w:rPr>
                <w:rFonts w:hint="eastAsia"/>
              </w:rPr>
              <w:t>0</w:t>
            </w:r>
          </w:p>
        </w:tc>
        <w:tc>
          <w:tcPr>
            <w:tcW w:w="1381" w:type="dxa"/>
            <w:tcBorders>
              <w:tl2br w:val="nil"/>
              <w:tr2bl w:val="nil"/>
            </w:tcBorders>
            <w:noWrap/>
            <w:vAlign w:val="center"/>
          </w:tcPr>
          <w:p>
            <w:pPr>
              <w:jc w:val="center"/>
            </w:pPr>
            <w:r>
              <w:rPr>
                <w:rFonts w:hint="eastAsia"/>
              </w:rPr>
              <w:t>0</w:t>
            </w:r>
          </w:p>
        </w:tc>
        <w:tc>
          <w:tcPr>
            <w:tcW w:w="1843" w:type="dxa"/>
            <w:tcBorders>
              <w:tl2br w:val="nil"/>
              <w:tr2bl w:val="nil"/>
            </w:tcBorders>
            <w:noWrap/>
            <w:vAlign w:val="center"/>
          </w:tcPr>
          <w:p>
            <w:pPr>
              <w:jc w:val="center"/>
            </w:pPr>
            <w:r>
              <w:rPr>
                <w:rFonts w:hint="eastAsia"/>
              </w:rPr>
              <w:t>0</w:t>
            </w:r>
          </w:p>
        </w:tc>
        <w:tc>
          <w:tcPr>
            <w:tcW w:w="1688" w:type="dxa"/>
            <w:tcBorders>
              <w:tl2br w:val="nil"/>
              <w:tr2bl w:val="nil"/>
            </w:tcBorders>
            <w:noWrap/>
            <w:vAlign w:val="center"/>
          </w:tcPr>
          <w:p>
            <w:pPr>
              <w:jc w:val="center"/>
            </w:pPr>
            <w:r>
              <w:rPr>
                <w:rFonts w:hint="eastAsia"/>
              </w:rPr>
              <w:t>0.1</w:t>
            </w:r>
          </w:p>
        </w:tc>
        <w:tc>
          <w:tcPr>
            <w:tcW w:w="1910" w:type="dxa"/>
            <w:tcBorders>
              <w:tl2br w:val="nil"/>
              <w:tr2bl w:val="nil"/>
            </w:tcBorders>
            <w:noWrap/>
            <w:vAlign w:val="center"/>
          </w:tcPr>
          <w:p>
            <w:pPr>
              <w:jc w:val="center"/>
            </w:pPr>
            <w:r>
              <w:rPr>
                <w:rFonts w:hint="eastAsia"/>
              </w:rPr>
              <w:t>0</w:t>
            </w:r>
          </w:p>
        </w:tc>
        <w:tc>
          <w:tcPr>
            <w:tcW w:w="1824" w:type="dxa"/>
            <w:tcBorders>
              <w:tl2br w:val="nil"/>
              <w:tr2bl w:val="nil"/>
            </w:tcBorders>
            <w:noWrap/>
            <w:vAlign w:val="center"/>
          </w:tcPr>
          <w:p>
            <w:pPr>
              <w:jc w:val="center"/>
            </w:pPr>
            <w:r>
              <w:rPr>
                <w:rFonts w:hint="eastAsia"/>
              </w:rPr>
              <w:t>0.1</w:t>
            </w:r>
          </w:p>
        </w:tc>
        <w:tc>
          <w:tcPr>
            <w:tcW w:w="1191" w:type="dxa"/>
            <w:tcBorders>
              <w:tl2br w:val="nil"/>
              <w:tr2bl w:val="nil"/>
            </w:tcBorders>
            <w:noWrap/>
            <w:vAlign w:val="center"/>
          </w:tcPr>
          <w:p>
            <w:pPr>
              <w:jc w:val="center"/>
            </w:pPr>
            <w:r>
              <w:rPr>
                <w:rFonts w:hint="eastAsia"/>
              </w:rPr>
              <w:t>+0.1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188" w:type="dxa"/>
            <w:vMerge w:val="continue"/>
            <w:tcBorders>
              <w:tl2br w:val="nil"/>
              <w:tr2bl w:val="nil"/>
            </w:tcBorders>
            <w:noWrap/>
            <w:vAlign w:val="center"/>
          </w:tcPr>
          <w:p>
            <w:pPr>
              <w:jc w:val="center"/>
            </w:pPr>
          </w:p>
          <w:p>
            <w:pPr>
              <w:jc w:val="center"/>
            </w:pPr>
          </w:p>
        </w:tc>
        <w:tc>
          <w:tcPr>
            <w:tcW w:w="2437" w:type="dxa"/>
            <w:tcBorders>
              <w:tl2br w:val="nil"/>
              <w:tr2bl w:val="nil"/>
            </w:tcBorders>
            <w:noWrap/>
            <w:vAlign w:val="center"/>
          </w:tcPr>
          <w:p>
            <w:pPr>
              <w:jc w:val="center"/>
            </w:pPr>
            <w:r>
              <w:rPr>
                <w:rFonts w:hint="eastAsia"/>
              </w:rPr>
              <w:t>氨氮</w:t>
            </w:r>
          </w:p>
        </w:tc>
        <w:tc>
          <w:tcPr>
            <w:tcW w:w="1473" w:type="dxa"/>
            <w:tcBorders>
              <w:tl2br w:val="nil"/>
              <w:tr2bl w:val="nil"/>
            </w:tcBorders>
            <w:noWrap/>
            <w:vAlign w:val="center"/>
          </w:tcPr>
          <w:p>
            <w:pPr>
              <w:jc w:val="center"/>
            </w:pPr>
            <w:r>
              <w:rPr>
                <w:rFonts w:hint="eastAsia"/>
              </w:rPr>
              <w:t>0</w:t>
            </w:r>
          </w:p>
        </w:tc>
        <w:tc>
          <w:tcPr>
            <w:tcW w:w="1381" w:type="dxa"/>
            <w:tcBorders>
              <w:tl2br w:val="nil"/>
              <w:tr2bl w:val="nil"/>
            </w:tcBorders>
            <w:noWrap/>
            <w:vAlign w:val="center"/>
          </w:tcPr>
          <w:p>
            <w:pPr>
              <w:jc w:val="center"/>
            </w:pPr>
            <w:r>
              <w:rPr>
                <w:rFonts w:hint="eastAsia"/>
              </w:rPr>
              <w:t>0</w:t>
            </w:r>
          </w:p>
        </w:tc>
        <w:tc>
          <w:tcPr>
            <w:tcW w:w="1843" w:type="dxa"/>
            <w:tcBorders>
              <w:tl2br w:val="nil"/>
              <w:tr2bl w:val="nil"/>
            </w:tcBorders>
            <w:noWrap/>
            <w:vAlign w:val="center"/>
          </w:tcPr>
          <w:p>
            <w:pPr>
              <w:jc w:val="center"/>
            </w:pPr>
            <w:r>
              <w:rPr>
                <w:rFonts w:hint="eastAsia"/>
              </w:rPr>
              <w:t>0</w:t>
            </w:r>
          </w:p>
        </w:tc>
        <w:tc>
          <w:tcPr>
            <w:tcW w:w="1688" w:type="dxa"/>
            <w:tcBorders>
              <w:tl2br w:val="nil"/>
              <w:tr2bl w:val="nil"/>
            </w:tcBorders>
            <w:noWrap/>
            <w:vAlign w:val="center"/>
          </w:tcPr>
          <w:p>
            <w:pPr>
              <w:jc w:val="center"/>
            </w:pPr>
            <w:r>
              <w:rPr>
                <w:rFonts w:hint="eastAsia"/>
              </w:rPr>
              <w:t>0.05</w:t>
            </w:r>
          </w:p>
        </w:tc>
        <w:tc>
          <w:tcPr>
            <w:tcW w:w="1910" w:type="dxa"/>
            <w:tcBorders>
              <w:tl2br w:val="nil"/>
              <w:tr2bl w:val="nil"/>
            </w:tcBorders>
            <w:noWrap/>
            <w:vAlign w:val="center"/>
          </w:tcPr>
          <w:p>
            <w:pPr>
              <w:jc w:val="center"/>
            </w:pPr>
            <w:r>
              <w:rPr>
                <w:rFonts w:hint="eastAsia"/>
              </w:rPr>
              <w:t>0</w:t>
            </w:r>
          </w:p>
        </w:tc>
        <w:tc>
          <w:tcPr>
            <w:tcW w:w="1824" w:type="dxa"/>
            <w:tcBorders>
              <w:tl2br w:val="nil"/>
              <w:tr2bl w:val="nil"/>
            </w:tcBorders>
            <w:noWrap/>
            <w:vAlign w:val="center"/>
          </w:tcPr>
          <w:p>
            <w:pPr>
              <w:jc w:val="center"/>
            </w:pPr>
            <w:r>
              <w:rPr>
                <w:rFonts w:hint="eastAsia"/>
              </w:rPr>
              <w:t>0.05</w:t>
            </w:r>
          </w:p>
        </w:tc>
        <w:tc>
          <w:tcPr>
            <w:tcW w:w="1191" w:type="dxa"/>
            <w:tcBorders>
              <w:tl2br w:val="nil"/>
              <w:tr2bl w:val="nil"/>
            </w:tcBorders>
            <w:noWrap/>
            <w:vAlign w:val="center"/>
          </w:tcPr>
          <w:p>
            <w:pPr>
              <w:jc w:val="center"/>
            </w:pPr>
            <w:r>
              <w:rPr>
                <w:rFonts w:hint="eastAsia"/>
              </w:rPr>
              <w:t>+0.05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188" w:type="dxa"/>
            <w:vMerge w:val="continue"/>
            <w:tcBorders>
              <w:tl2br w:val="nil"/>
              <w:tr2bl w:val="nil"/>
            </w:tcBorders>
            <w:noWrap/>
            <w:vAlign w:val="center"/>
          </w:tcPr>
          <w:p>
            <w:pPr>
              <w:jc w:val="center"/>
            </w:pPr>
          </w:p>
        </w:tc>
        <w:tc>
          <w:tcPr>
            <w:tcW w:w="2437" w:type="dxa"/>
            <w:tcBorders>
              <w:tl2br w:val="nil"/>
              <w:tr2bl w:val="nil"/>
            </w:tcBorders>
            <w:noWrap/>
            <w:vAlign w:val="center"/>
          </w:tcPr>
          <w:p>
            <w:pPr>
              <w:jc w:val="center"/>
            </w:pPr>
            <w:r>
              <w:rPr>
                <w:rFonts w:hint="eastAsia"/>
              </w:rPr>
              <w:t>石油类</w:t>
            </w:r>
          </w:p>
        </w:tc>
        <w:tc>
          <w:tcPr>
            <w:tcW w:w="1473" w:type="dxa"/>
            <w:tcBorders>
              <w:tl2br w:val="nil"/>
              <w:tr2bl w:val="nil"/>
            </w:tcBorders>
            <w:noWrap/>
            <w:vAlign w:val="center"/>
          </w:tcPr>
          <w:p>
            <w:pPr>
              <w:jc w:val="center"/>
            </w:pPr>
            <w:r>
              <w:rPr>
                <w:rFonts w:hint="eastAsia"/>
              </w:rPr>
              <w:t>0</w:t>
            </w:r>
          </w:p>
        </w:tc>
        <w:tc>
          <w:tcPr>
            <w:tcW w:w="1381" w:type="dxa"/>
            <w:tcBorders>
              <w:tl2br w:val="nil"/>
              <w:tr2bl w:val="nil"/>
            </w:tcBorders>
            <w:noWrap/>
            <w:vAlign w:val="center"/>
          </w:tcPr>
          <w:p>
            <w:pPr>
              <w:jc w:val="center"/>
            </w:pPr>
            <w:r>
              <w:rPr>
                <w:rFonts w:hint="eastAsia"/>
              </w:rPr>
              <w:t>0</w:t>
            </w:r>
          </w:p>
        </w:tc>
        <w:tc>
          <w:tcPr>
            <w:tcW w:w="1843" w:type="dxa"/>
            <w:tcBorders>
              <w:tl2br w:val="nil"/>
              <w:tr2bl w:val="nil"/>
            </w:tcBorders>
            <w:noWrap/>
            <w:vAlign w:val="center"/>
          </w:tcPr>
          <w:p>
            <w:pPr>
              <w:jc w:val="center"/>
            </w:pPr>
            <w:r>
              <w:rPr>
                <w:rFonts w:hint="eastAsia"/>
              </w:rPr>
              <w:t>0</w:t>
            </w:r>
          </w:p>
        </w:tc>
        <w:tc>
          <w:tcPr>
            <w:tcW w:w="1688" w:type="dxa"/>
            <w:tcBorders>
              <w:tl2br w:val="nil"/>
              <w:tr2bl w:val="nil"/>
            </w:tcBorders>
            <w:noWrap/>
            <w:vAlign w:val="center"/>
          </w:tcPr>
          <w:p>
            <w:pPr>
              <w:jc w:val="center"/>
            </w:pPr>
            <w:r>
              <w:rPr>
                <w:rFonts w:hint="eastAsia"/>
              </w:rPr>
              <w:t>0.01</w:t>
            </w:r>
          </w:p>
        </w:tc>
        <w:tc>
          <w:tcPr>
            <w:tcW w:w="1910" w:type="dxa"/>
            <w:tcBorders>
              <w:tl2br w:val="nil"/>
              <w:tr2bl w:val="nil"/>
            </w:tcBorders>
            <w:noWrap/>
            <w:vAlign w:val="center"/>
          </w:tcPr>
          <w:p>
            <w:pPr>
              <w:jc w:val="center"/>
            </w:pPr>
            <w:r>
              <w:rPr>
                <w:rFonts w:hint="eastAsia"/>
              </w:rPr>
              <w:t>0</w:t>
            </w:r>
          </w:p>
        </w:tc>
        <w:tc>
          <w:tcPr>
            <w:tcW w:w="1824" w:type="dxa"/>
            <w:tcBorders>
              <w:tl2br w:val="nil"/>
              <w:tr2bl w:val="nil"/>
            </w:tcBorders>
            <w:noWrap/>
            <w:vAlign w:val="center"/>
          </w:tcPr>
          <w:p>
            <w:pPr>
              <w:jc w:val="center"/>
            </w:pPr>
            <w:r>
              <w:rPr>
                <w:rFonts w:hint="eastAsia"/>
              </w:rPr>
              <w:t>0.01</w:t>
            </w:r>
          </w:p>
        </w:tc>
        <w:tc>
          <w:tcPr>
            <w:tcW w:w="1191" w:type="dxa"/>
            <w:tcBorders>
              <w:tl2br w:val="nil"/>
              <w:tr2bl w:val="nil"/>
            </w:tcBorders>
            <w:noWrap/>
            <w:vAlign w:val="center"/>
          </w:tcPr>
          <w:p>
            <w:pPr>
              <w:jc w:val="center"/>
            </w:pPr>
            <w:r>
              <w:rPr>
                <w:rFonts w:hint="eastAsia"/>
              </w:rPr>
              <w:t>+0.01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188" w:type="dxa"/>
            <w:vMerge w:val="restart"/>
            <w:tcBorders>
              <w:tl2br w:val="nil"/>
              <w:tr2bl w:val="nil"/>
            </w:tcBorders>
            <w:noWrap/>
            <w:vAlign w:val="center"/>
          </w:tcPr>
          <w:p>
            <w:pPr>
              <w:jc w:val="center"/>
            </w:pPr>
            <w:r>
              <w:t>一般工业</w:t>
            </w:r>
          </w:p>
          <w:p>
            <w:pPr>
              <w:jc w:val="center"/>
            </w:pPr>
            <w:r>
              <w:t>固体废物</w:t>
            </w:r>
          </w:p>
        </w:tc>
        <w:tc>
          <w:tcPr>
            <w:tcW w:w="2437" w:type="dxa"/>
            <w:tcBorders>
              <w:tl2br w:val="nil"/>
              <w:tr2bl w:val="nil"/>
            </w:tcBorders>
            <w:noWrap/>
            <w:vAlign w:val="center"/>
          </w:tcPr>
          <w:p>
            <w:pPr>
              <w:jc w:val="center"/>
            </w:pPr>
            <w:r>
              <w:t>生活垃圾</w:t>
            </w:r>
            <w:r>
              <w:rPr>
                <w:rFonts w:hint="eastAsia"/>
              </w:rPr>
              <w:t>t/a</w:t>
            </w:r>
          </w:p>
        </w:tc>
        <w:tc>
          <w:tcPr>
            <w:tcW w:w="1473" w:type="dxa"/>
            <w:tcBorders>
              <w:tl2br w:val="nil"/>
              <w:tr2bl w:val="nil"/>
            </w:tcBorders>
            <w:noWrap/>
            <w:vAlign w:val="center"/>
          </w:tcPr>
          <w:p>
            <w:pPr>
              <w:jc w:val="center"/>
            </w:pPr>
            <w:r>
              <w:rPr>
                <w:rFonts w:hint="eastAsia"/>
              </w:rPr>
              <w:t>0.6</w:t>
            </w:r>
          </w:p>
        </w:tc>
        <w:tc>
          <w:tcPr>
            <w:tcW w:w="1381" w:type="dxa"/>
            <w:tcBorders>
              <w:tl2br w:val="nil"/>
              <w:tr2bl w:val="nil"/>
            </w:tcBorders>
            <w:noWrap/>
            <w:vAlign w:val="center"/>
          </w:tcPr>
          <w:p>
            <w:pPr>
              <w:jc w:val="center"/>
            </w:pPr>
            <w:r>
              <w:t>0</w:t>
            </w:r>
          </w:p>
        </w:tc>
        <w:tc>
          <w:tcPr>
            <w:tcW w:w="1843" w:type="dxa"/>
            <w:tcBorders>
              <w:tl2br w:val="nil"/>
              <w:tr2bl w:val="nil"/>
            </w:tcBorders>
            <w:noWrap/>
            <w:vAlign w:val="center"/>
          </w:tcPr>
          <w:p>
            <w:pPr>
              <w:jc w:val="center"/>
            </w:pPr>
            <w:r>
              <w:t>0</w:t>
            </w:r>
          </w:p>
        </w:tc>
        <w:tc>
          <w:tcPr>
            <w:tcW w:w="1688" w:type="dxa"/>
            <w:tcBorders>
              <w:tl2br w:val="nil"/>
              <w:tr2bl w:val="nil"/>
            </w:tcBorders>
            <w:noWrap/>
            <w:vAlign w:val="center"/>
          </w:tcPr>
          <w:p>
            <w:pPr>
              <w:jc w:val="center"/>
            </w:pPr>
            <w:r>
              <w:rPr>
                <w:rFonts w:hint="eastAsia"/>
              </w:rPr>
              <w:t>604.2</w:t>
            </w:r>
          </w:p>
        </w:tc>
        <w:tc>
          <w:tcPr>
            <w:tcW w:w="1910" w:type="dxa"/>
            <w:tcBorders>
              <w:tl2br w:val="nil"/>
              <w:tr2bl w:val="nil"/>
            </w:tcBorders>
            <w:noWrap/>
            <w:vAlign w:val="center"/>
          </w:tcPr>
          <w:p>
            <w:pPr>
              <w:jc w:val="center"/>
            </w:pPr>
            <w:r>
              <w:rPr>
                <w:rFonts w:hint="eastAsia"/>
              </w:rPr>
              <w:t>0</w:t>
            </w:r>
          </w:p>
        </w:tc>
        <w:tc>
          <w:tcPr>
            <w:tcW w:w="1824" w:type="dxa"/>
            <w:tcBorders>
              <w:tl2br w:val="nil"/>
              <w:tr2bl w:val="nil"/>
            </w:tcBorders>
            <w:noWrap/>
            <w:vAlign w:val="center"/>
          </w:tcPr>
          <w:p>
            <w:pPr>
              <w:jc w:val="center"/>
            </w:pPr>
            <w:r>
              <w:rPr>
                <w:rFonts w:hint="eastAsia"/>
              </w:rPr>
              <w:t>604.2</w:t>
            </w:r>
          </w:p>
        </w:tc>
        <w:tc>
          <w:tcPr>
            <w:tcW w:w="1191" w:type="dxa"/>
            <w:tcBorders>
              <w:tl2br w:val="nil"/>
              <w:tr2bl w:val="nil"/>
            </w:tcBorders>
            <w:noWrap/>
            <w:vAlign w:val="center"/>
          </w:tcPr>
          <w:p>
            <w:pPr>
              <w:jc w:val="center"/>
            </w:pPr>
            <w:r>
              <w:rPr>
                <w:rFonts w:hint="eastAsia"/>
              </w:rPr>
              <w:t>+1003.6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1188" w:type="dxa"/>
            <w:vMerge w:val="continue"/>
            <w:tcBorders>
              <w:tl2br w:val="nil"/>
              <w:tr2bl w:val="nil"/>
            </w:tcBorders>
            <w:noWrap/>
            <w:vAlign w:val="center"/>
          </w:tcPr>
          <w:p>
            <w:pPr>
              <w:jc w:val="center"/>
            </w:pPr>
          </w:p>
        </w:tc>
        <w:tc>
          <w:tcPr>
            <w:tcW w:w="2437" w:type="dxa"/>
            <w:tcBorders>
              <w:tl2br w:val="nil"/>
              <w:tr2bl w:val="nil"/>
            </w:tcBorders>
            <w:noWrap/>
            <w:vAlign w:val="center"/>
          </w:tcPr>
          <w:p>
            <w:pPr>
              <w:jc w:val="center"/>
            </w:pPr>
            <w:r>
              <w:rPr>
                <w:rFonts w:hint="eastAsia"/>
              </w:rPr>
              <w:t>废油t/a</w:t>
            </w:r>
          </w:p>
        </w:tc>
        <w:tc>
          <w:tcPr>
            <w:tcW w:w="1473" w:type="dxa"/>
            <w:tcBorders>
              <w:tl2br w:val="nil"/>
              <w:tr2bl w:val="nil"/>
            </w:tcBorders>
            <w:noWrap/>
            <w:vAlign w:val="center"/>
          </w:tcPr>
          <w:p>
            <w:pPr>
              <w:jc w:val="center"/>
            </w:pPr>
            <w:r>
              <w:rPr>
                <w:rFonts w:hint="eastAsia"/>
              </w:rPr>
              <w:t>200</w:t>
            </w:r>
          </w:p>
        </w:tc>
        <w:tc>
          <w:tcPr>
            <w:tcW w:w="1381" w:type="dxa"/>
            <w:tcBorders>
              <w:tl2br w:val="nil"/>
              <w:tr2bl w:val="nil"/>
            </w:tcBorders>
            <w:noWrap/>
            <w:vAlign w:val="center"/>
          </w:tcPr>
          <w:p>
            <w:pPr>
              <w:jc w:val="center"/>
            </w:pPr>
            <w:r>
              <w:t>0</w:t>
            </w:r>
          </w:p>
        </w:tc>
        <w:tc>
          <w:tcPr>
            <w:tcW w:w="1843" w:type="dxa"/>
            <w:tcBorders>
              <w:tl2br w:val="nil"/>
              <w:tr2bl w:val="nil"/>
            </w:tcBorders>
            <w:noWrap/>
            <w:vAlign w:val="center"/>
          </w:tcPr>
          <w:p>
            <w:pPr>
              <w:jc w:val="center"/>
            </w:pPr>
            <w:r>
              <w:t>0</w:t>
            </w:r>
          </w:p>
        </w:tc>
        <w:tc>
          <w:tcPr>
            <w:tcW w:w="1688" w:type="dxa"/>
            <w:tcBorders>
              <w:tl2br w:val="nil"/>
              <w:tr2bl w:val="nil"/>
            </w:tcBorders>
            <w:noWrap/>
            <w:vAlign w:val="center"/>
          </w:tcPr>
          <w:p>
            <w:pPr>
              <w:jc w:val="center"/>
            </w:pPr>
            <w:r>
              <w:rPr>
                <w:rFonts w:hint="eastAsia"/>
              </w:rPr>
              <w:t>1000</w:t>
            </w:r>
          </w:p>
        </w:tc>
        <w:tc>
          <w:tcPr>
            <w:tcW w:w="1910" w:type="dxa"/>
            <w:tcBorders>
              <w:tl2br w:val="nil"/>
              <w:tr2bl w:val="nil"/>
            </w:tcBorders>
            <w:noWrap/>
            <w:vAlign w:val="center"/>
          </w:tcPr>
          <w:p>
            <w:pPr>
              <w:jc w:val="center"/>
            </w:pPr>
            <w:r>
              <w:rPr>
                <w:rFonts w:hint="eastAsia"/>
              </w:rPr>
              <w:t>0</w:t>
            </w:r>
          </w:p>
        </w:tc>
        <w:tc>
          <w:tcPr>
            <w:tcW w:w="1824" w:type="dxa"/>
            <w:tcBorders>
              <w:tl2br w:val="nil"/>
              <w:tr2bl w:val="nil"/>
            </w:tcBorders>
            <w:noWrap/>
            <w:vAlign w:val="center"/>
          </w:tcPr>
          <w:p>
            <w:pPr>
              <w:jc w:val="center"/>
            </w:pPr>
            <w:r>
              <w:rPr>
                <w:rFonts w:hint="eastAsia"/>
              </w:rPr>
              <w:t>1000</w:t>
            </w:r>
          </w:p>
        </w:tc>
        <w:tc>
          <w:tcPr>
            <w:tcW w:w="1191" w:type="dxa"/>
            <w:tcBorders>
              <w:tl2br w:val="nil"/>
              <w:tr2bl w:val="nil"/>
            </w:tcBorders>
            <w:noWrap/>
            <w:vAlign w:val="center"/>
          </w:tcPr>
          <w:p>
            <w:pPr>
              <w:jc w:val="center"/>
            </w:pPr>
            <w:r>
              <w:rPr>
                <w:rFonts w:hint="eastAsia"/>
              </w:rPr>
              <w:t>+800</w:t>
            </w:r>
          </w:p>
        </w:tc>
      </w:tr>
    </w:tbl>
    <w:p>
      <w:pPr>
        <w:pStyle w:val="31"/>
        <w:spacing w:beforeLines="0" w:afterLines="0" w:line="260" w:lineRule="auto"/>
        <w:jc w:val="left"/>
        <w:rPr>
          <w:rFonts w:ascii="Times New Roman"/>
          <w:snapToGrid w:val="0"/>
          <w:spacing w:val="-16"/>
          <w:kern w:val="21"/>
          <w:szCs w:val="21"/>
        </w:rPr>
        <w:sectPr>
          <w:pgSz w:w="16838" w:h="11906" w:orient="landscape"/>
          <w:pgMar w:top="1800" w:right="1440" w:bottom="1800" w:left="1440" w:header="851" w:footer="992" w:gutter="0"/>
          <w:cols w:space="425" w:num="1"/>
          <w:docGrid w:type="lines" w:linePitch="312" w:charSpace="0"/>
        </w:sectPr>
      </w:pPr>
      <w:bookmarkStart w:id="54" w:name="_Toc9752"/>
      <w:r>
        <w:rPr>
          <w:rFonts w:ascii="Times New Roman"/>
          <w:snapToGrid w:val="0"/>
          <w:kern w:val="21"/>
          <w:szCs w:val="21"/>
        </w:rPr>
        <w:t>注：</w:t>
      </w:r>
      <w:r>
        <w:rPr>
          <w:rFonts w:ascii="Times New Roman"/>
          <w:snapToGrid w:val="0"/>
          <w:spacing w:val="-16"/>
          <w:kern w:val="21"/>
          <w:szCs w:val="21"/>
        </w:rPr>
        <w:fldChar w:fldCharType="begin"/>
      </w:r>
      <w:r>
        <w:rPr>
          <w:rFonts w:ascii="Times New Roman"/>
          <w:snapToGrid w:val="0"/>
          <w:spacing w:val="-16"/>
          <w:kern w:val="21"/>
          <w:szCs w:val="21"/>
        </w:rPr>
        <w:instrText xml:space="preserve"> = 6 \* GB3 \* MERGEFORMAT </w:instrText>
      </w:r>
      <w:r>
        <w:rPr>
          <w:rFonts w:ascii="Times New Roman"/>
          <w:snapToGrid w:val="0"/>
          <w:spacing w:val="-16"/>
          <w:kern w:val="21"/>
          <w:szCs w:val="21"/>
        </w:rPr>
        <w:fldChar w:fldCharType="separate"/>
      </w:r>
      <w:r>
        <w:rPr>
          <w:rFonts w:ascii="Times New Roman"/>
          <w:szCs w:val="21"/>
        </w:rPr>
        <w:t>⑥</w:t>
      </w:r>
      <w:r>
        <w:rPr>
          <w:rFonts w:ascii="Times New Roman"/>
          <w:snapToGrid w:val="0"/>
          <w:spacing w:val="-16"/>
          <w:kern w:val="21"/>
          <w:szCs w:val="21"/>
        </w:rPr>
        <w:fldChar w:fldCharType="end"/>
      </w:r>
      <w:r>
        <w:rPr>
          <w:rFonts w:ascii="Times New Roman"/>
          <w:snapToGrid w:val="0"/>
          <w:spacing w:val="-16"/>
          <w:kern w:val="21"/>
          <w:szCs w:val="21"/>
        </w:rPr>
        <w:t>=</w:t>
      </w:r>
      <w:r>
        <w:rPr>
          <w:rFonts w:ascii="Times New Roman"/>
          <w:snapToGrid w:val="0"/>
          <w:spacing w:val="-6"/>
          <w:kern w:val="21"/>
          <w:szCs w:val="21"/>
        </w:rPr>
        <w:fldChar w:fldCharType="begin"/>
      </w:r>
      <w:r>
        <w:rPr>
          <w:rFonts w:ascii="Times New Roman"/>
          <w:snapToGrid w:val="0"/>
          <w:spacing w:val="-6"/>
          <w:kern w:val="21"/>
          <w:szCs w:val="21"/>
        </w:rPr>
        <w:instrText xml:space="preserve"> = 1 \* GB3 \* MERGEFORMAT </w:instrText>
      </w:r>
      <w:r>
        <w:rPr>
          <w:rFonts w:ascii="Times New Roman"/>
          <w:snapToGrid w:val="0"/>
          <w:spacing w:val="-6"/>
          <w:kern w:val="21"/>
          <w:szCs w:val="21"/>
        </w:rPr>
        <w:fldChar w:fldCharType="separate"/>
      </w:r>
      <w:r>
        <w:rPr>
          <w:rFonts w:ascii="Times New Roman"/>
          <w:szCs w:val="21"/>
        </w:rPr>
        <w:t>①</w:t>
      </w:r>
      <w:r>
        <w:rPr>
          <w:rFonts w:ascii="Times New Roman"/>
          <w:snapToGrid w:val="0"/>
          <w:spacing w:val="-6"/>
          <w:kern w:val="21"/>
          <w:szCs w:val="21"/>
        </w:rPr>
        <w:fldChar w:fldCharType="end"/>
      </w:r>
      <w:r>
        <w:rPr>
          <w:rFonts w:ascii="Times New Roman"/>
          <w:snapToGrid w:val="0"/>
          <w:spacing w:val="-6"/>
          <w:kern w:val="21"/>
          <w:szCs w:val="21"/>
        </w:rPr>
        <w:t>+</w:t>
      </w:r>
      <w:r>
        <w:rPr>
          <w:rFonts w:ascii="Times New Roman"/>
          <w:snapToGrid w:val="0"/>
          <w:spacing w:val="-6"/>
          <w:kern w:val="21"/>
          <w:szCs w:val="21"/>
        </w:rPr>
        <w:fldChar w:fldCharType="begin"/>
      </w:r>
      <w:r>
        <w:rPr>
          <w:rFonts w:ascii="Times New Roman"/>
          <w:snapToGrid w:val="0"/>
          <w:spacing w:val="-6"/>
          <w:kern w:val="21"/>
          <w:szCs w:val="21"/>
        </w:rPr>
        <w:instrText xml:space="preserve"> = 3 \* GB3 \* MERGEFORMAT </w:instrText>
      </w:r>
      <w:r>
        <w:rPr>
          <w:rFonts w:ascii="Times New Roman"/>
          <w:snapToGrid w:val="0"/>
          <w:spacing w:val="-6"/>
          <w:kern w:val="21"/>
          <w:szCs w:val="21"/>
        </w:rPr>
        <w:fldChar w:fldCharType="separate"/>
      </w:r>
      <w:r>
        <w:rPr>
          <w:rFonts w:ascii="Times New Roman"/>
          <w:szCs w:val="21"/>
        </w:rPr>
        <w:t>③</w:t>
      </w:r>
      <w:r>
        <w:rPr>
          <w:rFonts w:ascii="Times New Roman"/>
          <w:snapToGrid w:val="0"/>
          <w:spacing w:val="-6"/>
          <w:kern w:val="21"/>
          <w:szCs w:val="21"/>
        </w:rPr>
        <w:fldChar w:fldCharType="end"/>
      </w:r>
      <w:r>
        <w:rPr>
          <w:rFonts w:ascii="Times New Roman"/>
          <w:snapToGrid w:val="0"/>
          <w:spacing w:val="-6"/>
          <w:kern w:val="21"/>
          <w:szCs w:val="21"/>
        </w:rPr>
        <w:t>+</w:t>
      </w:r>
      <w:r>
        <w:rPr>
          <w:rFonts w:ascii="Times New Roman"/>
          <w:snapToGrid w:val="0"/>
          <w:spacing w:val="-6"/>
          <w:kern w:val="21"/>
          <w:szCs w:val="21"/>
        </w:rPr>
        <w:fldChar w:fldCharType="begin"/>
      </w:r>
      <w:r>
        <w:rPr>
          <w:rFonts w:ascii="Times New Roman"/>
          <w:snapToGrid w:val="0"/>
          <w:spacing w:val="-6"/>
          <w:kern w:val="21"/>
          <w:szCs w:val="21"/>
        </w:rPr>
        <w:instrText xml:space="preserve"> = 4 \* GB3 \* MERGEFORMAT </w:instrText>
      </w:r>
      <w:r>
        <w:rPr>
          <w:rFonts w:ascii="Times New Roman"/>
          <w:snapToGrid w:val="0"/>
          <w:spacing w:val="-6"/>
          <w:kern w:val="21"/>
          <w:szCs w:val="21"/>
        </w:rPr>
        <w:fldChar w:fldCharType="separate"/>
      </w:r>
      <w:r>
        <w:rPr>
          <w:rFonts w:ascii="Times New Roman"/>
          <w:szCs w:val="21"/>
        </w:rPr>
        <w:t>④</w:t>
      </w:r>
      <w:r>
        <w:rPr>
          <w:rFonts w:ascii="Times New Roman"/>
          <w:snapToGrid w:val="0"/>
          <w:spacing w:val="-6"/>
          <w:kern w:val="21"/>
          <w:szCs w:val="21"/>
        </w:rPr>
        <w:fldChar w:fldCharType="end"/>
      </w:r>
      <w:r>
        <w:rPr>
          <w:rFonts w:ascii="Times New Roman"/>
          <w:snapToGrid w:val="0"/>
          <w:spacing w:val="-6"/>
          <w:kern w:val="21"/>
          <w:szCs w:val="21"/>
        </w:rPr>
        <w:t>-</w:t>
      </w:r>
      <w:r>
        <w:rPr>
          <w:rFonts w:ascii="Times New Roman"/>
          <w:snapToGrid w:val="0"/>
          <w:spacing w:val="-16"/>
          <w:kern w:val="21"/>
          <w:szCs w:val="21"/>
        </w:rPr>
        <w:fldChar w:fldCharType="begin"/>
      </w:r>
      <w:r>
        <w:rPr>
          <w:rFonts w:ascii="Times New Roman"/>
          <w:snapToGrid w:val="0"/>
          <w:spacing w:val="-16"/>
          <w:kern w:val="21"/>
          <w:szCs w:val="21"/>
        </w:rPr>
        <w:instrText xml:space="preserve"> = 5 \* GB3 \* MERGEFORMAT </w:instrText>
      </w:r>
      <w:r>
        <w:rPr>
          <w:rFonts w:ascii="Times New Roman"/>
          <w:snapToGrid w:val="0"/>
          <w:spacing w:val="-16"/>
          <w:kern w:val="21"/>
          <w:szCs w:val="21"/>
        </w:rPr>
        <w:fldChar w:fldCharType="separate"/>
      </w:r>
      <w:r>
        <w:rPr>
          <w:rFonts w:ascii="Times New Roman"/>
          <w:szCs w:val="21"/>
        </w:rPr>
        <w:t>⑤</w:t>
      </w:r>
      <w:r>
        <w:rPr>
          <w:rFonts w:ascii="Times New Roman"/>
          <w:snapToGrid w:val="0"/>
          <w:spacing w:val="-16"/>
          <w:kern w:val="21"/>
          <w:szCs w:val="21"/>
        </w:rPr>
        <w:fldChar w:fldCharType="end"/>
      </w:r>
      <w:r>
        <w:rPr>
          <w:rFonts w:ascii="Times New Roman"/>
          <w:snapToGrid w:val="0"/>
          <w:spacing w:val="-16"/>
          <w:kern w:val="21"/>
          <w:szCs w:val="21"/>
        </w:rPr>
        <w:t>；</w:t>
      </w:r>
      <w:r>
        <w:rPr>
          <w:rFonts w:ascii="Times New Roman"/>
          <w:snapToGrid w:val="0"/>
          <w:spacing w:val="-6"/>
          <w:kern w:val="21"/>
          <w:szCs w:val="21"/>
        </w:rPr>
        <w:fldChar w:fldCharType="begin"/>
      </w:r>
      <w:r>
        <w:rPr>
          <w:rFonts w:ascii="Times New Roman"/>
          <w:snapToGrid w:val="0"/>
          <w:spacing w:val="-6"/>
          <w:kern w:val="21"/>
          <w:szCs w:val="21"/>
        </w:rPr>
        <w:instrText xml:space="preserve"> = 7 \* GB3 \* MERGEFORMAT </w:instrText>
      </w:r>
      <w:r>
        <w:rPr>
          <w:rFonts w:ascii="Times New Roman"/>
          <w:snapToGrid w:val="0"/>
          <w:spacing w:val="-6"/>
          <w:kern w:val="21"/>
          <w:szCs w:val="21"/>
        </w:rPr>
        <w:fldChar w:fldCharType="separate"/>
      </w:r>
      <w:r>
        <w:rPr>
          <w:rFonts w:ascii="Times New Roman"/>
          <w:szCs w:val="21"/>
        </w:rPr>
        <w:t>⑦</w:t>
      </w:r>
      <w:r>
        <w:rPr>
          <w:rFonts w:ascii="Times New Roman"/>
          <w:snapToGrid w:val="0"/>
          <w:spacing w:val="-6"/>
          <w:kern w:val="21"/>
          <w:szCs w:val="21"/>
        </w:rPr>
        <w:fldChar w:fldCharType="end"/>
      </w:r>
      <w:r>
        <w:rPr>
          <w:rFonts w:ascii="Times New Roman"/>
          <w:snapToGrid w:val="0"/>
          <w:spacing w:val="-6"/>
          <w:kern w:val="21"/>
          <w:szCs w:val="21"/>
        </w:rPr>
        <w:t>=</w:t>
      </w:r>
      <w:r>
        <w:rPr>
          <w:rFonts w:ascii="Times New Roman"/>
          <w:snapToGrid w:val="0"/>
          <w:spacing w:val="-16"/>
          <w:kern w:val="21"/>
          <w:szCs w:val="21"/>
        </w:rPr>
        <w:fldChar w:fldCharType="begin"/>
      </w:r>
      <w:r>
        <w:rPr>
          <w:rFonts w:ascii="Times New Roman"/>
          <w:snapToGrid w:val="0"/>
          <w:spacing w:val="-16"/>
          <w:kern w:val="21"/>
          <w:szCs w:val="21"/>
        </w:rPr>
        <w:instrText xml:space="preserve"> = 6 \* GB3 \* MERGEFORMAT </w:instrText>
      </w:r>
      <w:r>
        <w:rPr>
          <w:rFonts w:ascii="Times New Roman"/>
          <w:snapToGrid w:val="0"/>
          <w:spacing w:val="-16"/>
          <w:kern w:val="21"/>
          <w:szCs w:val="21"/>
        </w:rPr>
        <w:fldChar w:fldCharType="separate"/>
      </w:r>
      <w:r>
        <w:rPr>
          <w:rFonts w:ascii="Times New Roman"/>
          <w:szCs w:val="21"/>
        </w:rPr>
        <w:t>⑥</w:t>
      </w:r>
      <w:r>
        <w:rPr>
          <w:rFonts w:ascii="Times New Roman"/>
          <w:snapToGrid w:val="0"/>
          <w:spacing w:val="-16"/>
          <w:kern w:val="21"/>
          <w:szCs w:val="21"/>
        </w:rPr>
        <w:fldChar w:fldCharType="end"/>
      </w:r>
      <w:bookmarkEnd w:id="54"/>
    </w:p>
    <w:p>
      <w:pPr>
        <w:pStyle w:val="20"/>
        <w:adjustRightInd w:val="0"/>
        <w:snapToGrid w:val="0"/>
        <w:spacing w:before="0" w:beforeAutospacing="0" w:after="0" w:afterAutospacing="0"/>
        <w:jc w:val="center"/>
        <w:outlineLvl w:val="0"/>
        <w:rPr>
          <w:rFonts w:ascii="Times New Roman" w:hAnsi="Times New Roman" w:cs="Times New Roman"/>
          <w:snapToGrid w:val="0"/>
          <w:kern w:val="21"/>
          <w:sz w:val="38"/>
          <w:szCs w:val="38"/>
        </w:rPr>
      </w:pPr>
      <w:bookmarkStart w:id="55" w:name="_Toc20422"/>
      <w:r>
        <w:rPr>
          <w:rFonts w:ascii="Times New Roman" w:hAnsi="Times New Roman" w:cs="Times New Roman"/>
          <w:snapToGrid w:val="0"/>
          <w:kern w:val="21"/>
          <w:sz w:val="38"/>
          <w:szCs w:val="38"/>
        </w:rPr>
        <w:t>编制单位和编制人员情况表</w:t>
      </w:r>
      <w:bookmarkEnd w:id="55"/>
    </w:p>
    <w:tbl>
      <w:tblPr>
        <w:tblStyle w:val="24"/>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298"/>
        <w:gridCol w:w="2652"/>
        <w:gridCol w:w="198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280" w:type="pct"/>
            <w:gridSpan w:val="2"/>
            <w:vAlign w:val="center"/>
          </w:tcPr>
          <w:p>
            <w:pPr>
              <w:pStyle w:val="20"/>
              <w:widowControl w:val="0"/>
              <w:adjustRightInd w:val="0"/>
              <w:snapToGrid w:val="0"/>
              <w:spacing w:before="0" w:beforeAutospacing="0" w:after="0" w:afterAutospacing="0"/>
              <w:rPr>
                <w:rFonts w:ascii="Times New Roman" w:hAnsi="Times New Roman" w:cs="Times New Roman"/>
                <w:kern w:val="21"/>
                <w:sz w:val="21"/>
                <w:szCs w:val="21"/>
              </w:rPr>
            </w:pPr>
            <w:r>
              <w:rPr>
                <w:rFonts w:ascii="Times New Roman" w:hAnsi="Times New Roman" w:cs="Times New Roman"/>
                <w:kern w:val="21"/>
                <w:sz w:val="21"/>
                <w:szCs w:val="21"/>
              </w:rPr>
              <w:t>项目编号</w:t>
            </w:r>
          </w:p>
        </w:tc>
        <w:tc>
          <w:tcPr>
            <w:tcW w:w="2719" w:type="pct"/>
            <w:gridSpan w:val="2"/>
            <w:vAlign w:val="center"/>
          </w:tcPr>
          <w:p>
            <w:pPr>
              <w:pStyle w:val="20"/>
              <w:widowControl w:val="0"/>
              <w:adjustRightInd w:val="0"/>
              <w:snapToGrid w:val="0"/>
              <w:spacing w:before="0" w:beforeAutospacing="0" w:after="0" w:afterAutospacing="0"/>
              <w:jc w:val="center"/>
              <w:rPr>
                <w:rFonts w:ascii="Times New Roman" w:hAnsi="Times New Roman" w:cs="Times New Roman"/>
                <w:kern w:val="2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280" w:type="pct"/>
            <w:gridSpan w:val="2"/>
            <w:vAlign w:val="center"/>
          </w:tcPr>
          <w:p>
            <w:pPr>
              <w:pStyle w:val="20"/>
              <w:widowControl w:val="0"/>
              <w:adjustRightInd w:val="0"/>
              <w:snapToGrid w:val="0"/>
              <w:spacing w:before="0" w:beforeAutospacing="0" w:after="0" w:afterAutospacing="0"/>
              <w:rPr>
                <w:rFonts w:ascii="Times New Roman" w:hAnsi="Times New Roman" w:cs="Times New Roman"/>
                <w:kern w:val="21"/>
                <w:sz w:val="21"/>
                <w:szCs w:val="21"/>
              </w:rPr>
            </w:pPr>
            <w:r>
              <w:rPr>
                <w:rFonts w:ascii="Times New Roman" w:hAnsi="Times New Roman" w:cs="Times New Roman"/>
                <w:kern w:val="21"/>
                <w:sz w:val="21"/>
                <w:szCs w:val="21"/>
              </w:rPr>
              <w:t>建设项目名称</w:t>
            </w:r>
          </w:p>
        </w:tc>
        <w:tc>
          <w:tcPr>
            <w:tcW w:w="2719" w:type="pct"/>
            <w:gridSpan w:val="2"/>
            <w:vAlign w:val="center"/>
          </w:tcPr>
          <w:p>
            <w:pPr>
              <w:pStyle w:val="20"/>
              <w:widowControl w:val="0"/>
              <w:adjustRightInd w:val="0"/>
              <w:snapToGrid w:val="0"/>
              <w:spacing w:before="0" w:beforeAutospacing="0" w:after="0" w:afterAutospacing="0"/>
              <w:jc w:val="center"/>
              <w:rPr>
                <w:rFonts w:ascii="Times New Roman" w:hAnsi="Times New Roman" w:cs="Times New Roman"/>
                <w:kern w:val="21"/>
                <w:sz w:val="21"/>
                <w:szCs w:val="21"/>
              </w:rPr>
            </w:pPr>
            <w:r>
              <w:rPr>
                <w:rFonts w:ascii="Times New Roman" w:hAnsi="Times New Roman" w:cs="Times New Roman"/>
                <w:kern w:val="21"/>
                <w:sz w:val="21"/>
                <w:szCs w:val="21"/>
              </w:rPr>
              <w:t>年接收船舶污染物20900吨建设项目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280" w:type="pct"/>
            <w:gridSpan w:val="2"/>
            <w:vAlign w:val="center"/>
          </w:tcPr>
          <w:p>
            <w:pPr>
              <w:pStyle w:val="20"/>
              <w:widowControl w:val="0"/>
              <w:adjustRightInd w:val="0"/>
              <w:snapToGrid w:val="0"/>
              <w:spacing w:before="0" w:beforeAutospacing="0" w:after="0" w:afterAutospacing="0"/>
              <w:rPr>
                <w:rFonts w:ascii="Times New Roman" w:hAnsi="Times New Roman" w:cs="Times New Roman"/>
                <w:kern w:val="21"/>
                <w:sz w:val="21"/>
                <w:szCs w:val="21"/>
              </w:rPr>
            </w:pPr>
            <w:r>
              <w:rPr>
                <w:rFonts w:ascii="Times New Roman" w:hAnsi="Times New Roman" w:cs="Times New Roman"/>
                <w:kern w:val="21"/>
                <w:sz w:val="21"/>
                <w:szCs w:val="21"/>
              </w:rPr>
              <w:t>建设项目类别</w:t>
            </w:r>
          </w:p>
        </w:tc>
        <w:tc>
          <w:tcPr>
            <w:tcW w:w="2719" w:type="pct"/>
            <w:gridSpan w:val="2"/>
            <w:vAlign w:val="center"/>
          </w:tcPr>
          <w:p>
            <w:pPr>
              <w:pStyle w:val="20"/>
              <w:widowControl w:val="0"/>
              <w:adjustRightInd w:val="0"/>
              <w:snapToGrid w:val="0"/>
              <w:spacing w:before="0" w:beforeAutospacing="0" w:after="0" w:afterAutospacing="0"/>
              <w:jc w:val="center"/>
              <w:rPr>
                <w:rFonts w:ascii="Times New Roman" w:hAnsi="Times New Roman" w:cs="Times New Roman"/>
                <w:kern w:val="21"/>
                <w:sz w:val="21"/>
                <w:szCs w:val="21"/>
              </w:rPr>
            </w:pPr>
            <w:r>
              <w:rPr>
                <w:rFonts w:ascii="Times New Roman" w:hAnsi="Times New Roman" w:cs="Times New Roman"/>
                <w:kern w:val="21"/>
                <w:sz w:val="21"/>
                <w:szCs w:val="21"/>
              </w:rPr>
              <w:t>四十七生态保护和环境治理业危险废物（不含医疗废物）利用及处置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280" w:type="pct"/>
            <w:gridSpan w:val="2"/>
            <w:vAlign w:val="center"/>
          </w:tcPr>
          <w:p>
            <w:pPr>
              <w:pStyle w:val="20"/>
              <w:widowControl w:val="0"/>
              <w:adjustRightInd w:val="0"/>
              <w:snapToGrid w:val="0"/>
              <w:spacing w:before="0" w:beforeAutospacing="0" w:after="0" w:afterAutospacing="0"/>
              <w:rPr>
                <w:rFonts w:ascii="Times New Roman" w:hAnsi="Times New Roman" w:cs="Times New Roman"/>
                <w:kern w:val="21"/>
                <w:sz w:val="21"/>
                <w:szCs w:val="21"/>
              </w:rPr>
            </w:pPr>
            <w:r>
              <w:rPr>
                <w:rFonts w:ascii="Times New Roman" w:hAnsi="Times New Roman" w:cs="Times New Roman"/>
                <w:kern w:val="21"/>
                <w:sz w:val="21"/>
                <w:szCs w:val="21"/>
              </w:rPr>
              <w:t>环境影响评价文件类型</w:t>
            </w:r>
          </w:p>
        </w:tc>
        <w:tc>
          <w:tcPr>
            <w:tcW w:w="2719" w:type="pct"/>
            <w:gridSpan w:val="2"/>
            <w:vAlign w:val="center"/>
          </w:tcPr>
          <w:p>
            <w:pPr>
              <w:pStyle w:val="20"/>
              <w:widowControl w:val="0"/>
              <w:adjustRightInd w:val="0"/>
              <w:snapToGrid w:val="0"/>
              <w:spacing w:before="0" w:beforeAutospacing="0" w:after="0" w:afterAutospacing="0"/>
              <w:jc w:val="center"/>
              <w:rPr>
                <w:rFonts w:ascii="Times New Roman" w:hAnsi="Times New Roman" w:cs="Times New Roman"/>
                <w:kern w:val="21"/>
                <w:sz w:val="21"/>
                <w:szCs w:val="21"/>
              </w:rPr>
            </w:pPr>
            <w:r>
              <w:rPr>
                <w:rFonts w:hint="eastAsia" w:ascii="Times New Roman" w:hAnsi="Times New Roman" w:cs="Times New Roman"/>
                <w:kern w:val="21"/>
                <w:sz w:val="21"/>
                <w:szCs w:val="21"/>
              </w:rPr>
              <w:t>报告表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000" w:type="pct"/>
            <w:gridSpan w:val="4"/>
            <w:vAlign w:val="center"/>
          </w:tcPr>
          <w:p>
            <w:pPr>
              <w:pStyle w:val="20"/>
              <w:widowControl w:val="0"/>
              <w:adjustRightInd w:val="0"/>
              <w:snapToGrid w:val="0"/>
              <w:spacing w:before="0" w:beforeAutospacing="0" w:after="0" w:afterAutospacing="0"/>
              <w:jc w:val="both"/>
              <w:rPr>
                <w:rFonts w:ascii="Times New Roman" w:hAnsi="Times New Roman" w:cs="Times New Roman"/>
                <w:kern w:val="21"/>
                <w:sz w:val="21"/>
                <w:szCs w:val="21"/>
              </w:rPr>
            </w:pPr>
            <w:r>
              <w:rPr>
                <w:rFonts w:ascii="Times New Roman" w:hAnsi="Times New Roman" w:cs="Times New Roman"/>
                <w:kern w:val="21"/>
                <w:sz w:val="21"/>
                <w:szCs w:val="21"/>
              </w:rPr>
              <w:t>一、建设单位情况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280" w:type="pct"/>
            <w:gridSpan w:val="2"/>
            <w:vAlign w:val="center"/>
          </w:tcPr>
          <w:p>
            <w:pPr>
              <w:pStyle w:val="20"/>
              <w:widowControl w:val="0"/>
              <w:adjustRightInd w:val="0"/>
              <w:snapToGrid w:val="0"/>
              <w:spacing w:before="0" w:beforeAutospacing="0" w:after="0" w:afterAutospacing="0"/>
              <w:rPr>
                <w:rFonts w:ascii="Times New Roman" w:hAnsi="Times New Roman" w:cs="Times New Roman"/>
                <w:kern w:val="21"/>
                <w:sz w:val="21"/>
                <w:szCs w:val="21"/>
              </w:rPr>
            </w:pPr>
            <w:r>
              <w:rPr>
                <w:rFonts w:ascii="Times New Roman" w:hAnsi="Times New Roman" w:cs="Times New Roman"/>
                <w:kern w:val="21"/>
                <w:sz w:val="21"/>
                <w:szCs w:val="21"/>
              </w:rPr>
              <w:t>单位名称（盖章）</w:t>
            </w:r>
          </w:p>
        </w:tc>
        <w:tc>
          <w:tcPr>
            <w:tcW w:w="2719" w:type="pct"/>
            <w:gridSpan w:val="2"/>
            <w:vAlign w:val="center"/>
          </w:tcPr>
          <w:p>
            <w:pPr>
              <w:pStyle w:val="20"/>
              <w:widowControl w:val="0"/>
              <w:adjustRightInd w:val="0"/>
              <w:snapToGrid w:val="0"/>
              <w:spacing w:before="0" w:beforeAutospacing="0" w:after="0" w:afterAutospacing="0"/>
              <w:jc w:val="center"/>
              <w:rPr>
                <w:rFonts w:ascii="Times New Roman" w:hAnsi="Times New Roman" w:cs="Times New Roman"/>
                <w:kern w:val="21"/>
                <w:sz w:val="21"/>
                <w:szCs w:val="21"/>
              </w:rPr>
            </w:pPr>
            <w:r>
              <w:rPr>
                <w:rFonts w:ascii="Times New Roman" w:hAnsi="Times New Roman" w:cs="Times New Roman"/>
                <w:kern w:val="21"/>
                <w:sz w:val="21"/>
                <w:szCs w:val="21"/>
              </w:rPr>
              <w:t>湖南清源环保船舶污染物接收有限公司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280" w:type="pct"/>
            <w:gridSpan w:val="2"/>
            <w:vAlign w:val="center"/>
          </w:tcPr>
          <w:p>
            <w:pPr>
              <w:pStyle w:val="20"/>
              <w:widowControl w:val="0"/>
              <w:adjustRightInd w:val="0"/>
              <w:snapToGrid w:val="0"/>
              <w:spacing w:before="0" w:beforeAutospacing="0" w:after="0" w:afterAutospacing="0"/>
              <w:rPr>
                <w:rFonts w:ascii="Times New Roman" w:hAnsi="Times New Roman" w:cs="Times New Roman"/>
                <w:kern w:val="21"/>
                <w:sz w:val="21"/>
                <w:szCs w:val="21"/>
              </w:rPr>
            </w:pPr>
            <w:r>
              <w:rPr>
                <w:rFonts w:ascii="Times New Roman" w:hAnsi="Times New Roman" w:cs="Times New Roman"/>
                <w:kern w:val="21"/>
                <w:sz w:val="21"/>
                <w:szCs w:val="21"/>
              </w:rPr>
              <w:t>统一社会信用代码</w:t>
            </w:r>
          </w:p>
        </w:tc>
        <w:tc>
          <w:tcPr>
            <w:tcW w:w="2719" w:type="pct"/>
            <w:gridSpan w:val="2"/>
            <w:vAlign w:val="center"/>
          </w:tcPr>
          <w:p>
            <w:pPr>
              <w:pStyle w:val="20"/>
              <w:widowControl w:val="0"/>
              <w:adjustRightInd w:val="0"/>
              <w:snapToGrid w:val="0"/>
              <w:spacing w:before="0" w:beforeAutospacing="0" w:after="0" w:afterAutospacing="0"/>
              <w:jc w:val="center"/>
              <w:rPr>
                <w:rFonts w:ascii="Times New Roman" w:hAnsi="Times New Roman" w:cs="Times New Roman"/>
                <w:kern w:val="21"/>
                <w:sz w:val="21"/>
                <w:szCs w:val="21"/>
              </w:rPr>
            </w:pPr>
            <w:r>
              <w:rPr>
                <w:rFonts w:hint="eastAsia" w:ascii="Times New Roman" w:hAnsi="Times New Roman" w:cs="Times New Roman"/>
                <w:kern w:val="21"/>
                <w:sz w:val="21"/>
                <w:szCs w:val="21"/>
              </w:rPr>
              <w:t>914306213206554364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280" w:type="pct"/>
            <w:gridSpan w:val="2"/>
            <w:vAlign w:val="center"/>
          </w:tcPr>
          <w:p>
            <w:pPr>
              <w:pStyle w:val="20"/>
              <w:widowControl w:val="0"/>
              <w:adjustRightInd w:val="0"/>
              <w:snapToGrid w:val="0"/>
              <w:spacing w:before="0" w:beforeAutospacing="0" w:after="0" w:afterAutospacing="0"/>
              <w:rPr>
                <w:rFonts w:ascii="Times New Roman" w:hAnsi="Times New Roman" w:cs="Times New Roman"/>
                <w:kern w:val="21"/>
                <w:sz w:val="21"/>
                <w:szCs w:val="21"/>
              </w:rPr>
            </w:pPr>
            <w:r>
              <w:rPr>
                <w:rFonts w:ascii="Times New Roman" w:hAnsi="Times New Roman" w:cs="Times New Roman"/>
                <w:kern w:val="21"/>
                <w:sz w:val="21"/>
                <w:szCs w:val="21"/>
              </w:rPr>
              <w:t>法定代表人（签章）</w:t>
            </w:r>
          </w:p>
        </w:tc>
        <w:tc>
          <w:tcPr>
            <w:tcW w:w="2719" w:type="pct"/>
            <w:gridSpan w:val="2"/>
            <w:vAlign w:val="center"/>
          </w:tcPr>
          <w:p>
            <w:pPr>
              <w:pStyle w:val="20"/>
              <w:widowControl w:val="0"/>
              <w:adjustRightInd w:val="0"/>
              <w:snapToGrid w:val="0"/>
              <w:spacing w:before="0" w:beforeAutospacing="0" w:after="0" w:afterAutospacing="0"/>
              <w:jc w:val="center"/>
              <w:rPr>
                <w:rFonts w:ascii="Times New Roman" w:hAnsi="Times New Roman" w:cs="Times New Roman"/>
                <w:kern w:val="21"/>
                <w:sz w:val="21"/>
                <w:szCs w:val="21"/>
              </w:rPr>
            </w:pPr>
            <w:r>
              <w:rPr>
                <w:rFonts w:hint="eastAsia" w:ascii="Times New Roman" w:hAnsi="Times New Roman" w:cs="Times New Roman"/>
                <w:kern w:val="21"/>
                <w:sz w:val="21"/>
                <w:szCs w:val="21"/>
              </w:rPr>
              <w:t>张亮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280" w:type="pct"/>
            <w:gridSpan w:val="2"/>
            <w:vAlign w:val="center"/>
          </w:tcPr>
          <w:p>
            <w:pPr>
              <w:pStyle w:val="20"/>
              <w:widowControl w:val="0"/>
              <w:adjustRightInd w:val="0"/>
              <w:snapToGrid w:val="0"/>
              <w:spacing w:before="0" w:beforeAutospacing="0" w:after="0" w:afterAutospacing="0"/>
              <w:rPr>
                <w:rFonts w:ascii="Times New Roman" w:hAnsi="Times New Roman" w:cs="Times New Roman"/>
                <w:kern w:val="21"/>
                <w:sz w:val="21"/>
                <w:szCs w:val="21"/>
              </w:rPr>
            </w:pPr>
            <w:r>
              <w:rPr>
                <w:rFonts w:ascii="Times New Roman" w:hAnsi="Times New Roman" w:cs="Times New Roman"/>
                <w:kern w:val="21"/>
                <w:sz w:val="21"/>
                <w:szCs w:val="21"/>
              </w:rPr>
              <w:t>主要负责人（签字）</w:t>
            </w:r>
          </w:p>
        </w:tc>
        <w:tc>
          <w:tcPr>
            <w:tcW w:w="2719" w:type="pct"/>
            <w:gridSpan w:val="2"/>
            <w:vAlign w:val="center"/>
          </w:tcPr>
          <w:p>
            <w:pPr>
              <w:pStyle w:val="20"/>
              <w:widowControl w:val="0"/>
              <w:adjustRightInd w:val="0"/>
              <w:snapToGrid w:val="0"/>
              <w:spacing w:before="0" w:beforeAutospacing="0" w:after="0" w:afterAutospacing="0"/>
              <w:jc w:val="center"/>
              <w:rPr>
                <w:rFonts w:ascii="Times New Roman" w:hAnsi="Times New Roman" w:cs="Times New Roman"/>
                <w:kern w:val="21"/>
                <w:sz w:val="21"/>
                <w:szCs w:val="21"/>
              </w:rPr>
            </w:pPr>
            <w:r>
              <w:rPr>
                <w:rFonts w:hint="eastAsia" w:ascii="Times New Roman" w:hAnsi="Times New Roman" w:cs="Times New Roman"/>
                <w:kern w:val="21"/>
                <w:sz w:val="21"/>
                <w:szCs w:val="21"/>
              </w:rPr>
              <w:t>张亮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280" w:type="pct"/>
            <w:gridSpan w:val="2"/>
            <w:vAlign w:val="center"/>
          </w:tcPr>
          <w:p>
            <w:pPr>
              <w:pStyle w:val="20"/>
              <w:widowControl w:val="0"/>
              <w:adjustRightInd w:val="0"/>
              <w:snapToGrid w:val="0"/>
              <w:spacing w:before="0" w:beforeAutospacing="0" w:after="0" w:afterAutospacing="0"/>
              <w:rPr>
                <w:rFonts w:ascii="Times New Roman" w:hAnsi="Times New Roman" w:cs="Times New Roman"/>
                <w:kern w:val="21"/>
                <w:sz w:val="21"/>
                <w:szCs w:val="21"/>
              </w:rPr>
            </w:pPr>
            <w:r>
              <w:rPr>
                <w:rFonts w:ascii="Times New Roman" w:hAnsi="Times New Roman" w:cs="Times New Roman"/>
                <w:kern w:val="21"/>
                <w:sz w:val="21"/>
                <w:szCs w:val="21"/>
              </w:rPr>
              <w:t>直接负责的主管人员（签字）</w:t>
            </w:r>
          </w:p>
        </w:tc>
        <w:tc>
          <w:tcPr>
            <w:tcW w:w="2719" w:type="pct"/>
            <w:gridSpan w:val="2"/>
            <w:vAlign w:val="center"/>
          </w:tcPr>
          <w:p>
            <w:pPr>
              <w:pStyle w:val="20"/>
              <w:widowControl w:val="0"/>
              <w:adjustRightInd w:val="0"/>
              <w:snapToGrid w:val="0"/>
              <w:spacing w:before="0" w:beforeAutospacing="0" w:after="0" w:afterAutospacing="0"/>
              <w:jc w:val="center"/>
              <w:rPr>
                <w:rFonts w:ascii="Times New Roman" w:hAnsi="Times New Roman" w:cs="Times New Roman"/>
                <w:kern w:val="21"/>
                <w:sz w:val="21"/>
                <w:szCs w:val="21"/>
              </w:rPr>
            </w:pPr>
            <w:r>
              <w:rPr>
                <w:rFonts w:hint="eastAsia" w:ascii="Times New Roman" w:hAnsi="Times New Roman" w:cs="Times New Roman"/>
                <w:kern w:val="21"/>
                <w:sz w:val="21"/>
                <w:szCs w:val="21"/>
              </w:rPr>
              <w:t>张亮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000" w:type="pct"/>
            <w:gridSpan w:val="4"/>
            <w:vAlign w:val="center"/>
          </w:tcPr>
          <w:p>
            <w:pPr>
              <w:pStyle w:val="20"/>
              <w:widowControl w:val="0"/>
              <w:adjustRightInd w:val="0"/>
              <w:snapToGrid w:val="0"/>
              <w:spacing w:before="0" w:beforeAutospacing="0" w:after="0" w:afterAutospacing="0"/>
              <w:jc w:val="both"/>
              <w:rPr>
                <w:rFonts w:ascii="Times New Roman" w:hAnsi="Times New Roman" w:cs="Times New Roman"/>
                <w:b/>
                <w:kern w:val="21"/>
                <w:sz w:val="21"/>
                <w:szCs w:val="21"/>
              </w:rPr>
            </w:pPr>
            <w:r>
              <w:rPr>
                <w:rFonts w:ascii="Times New Roman" w:hAnsi="Times New Roman" w:cs="Times New Roman"/>
                <w:kern w:val="21"/>
                <w:sz w:val="21"/>
                <w:szCs w:val="21"/>
              </w:rPr>
              <w:t>二、编制单位情况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280" w:type="pct"/>
            <w:gridSpan w:val="2"/>
            <w:vAlign w:val="center"/>
          </w:tcPr>
          <w:p>
            <w:pPr>
              <w:pStyle w:val="20"/>
              <w:widowControl w:val="0"/>
              <w:adjustRightInd w:val="0"/>
              <w:snapToGrid w:val="0"/>
              <w:spacing w:before="0" w:beforeAutospacing="0" w:after="0" w:afterAutospacing="0"/>
              <w:rPr>
                <w:rFonts w:ascii="Times New Roman" w:hAnsi="Times New Roman" w:cs="Times New Roman"/>
                <w:kern w:val="21"/>
                <w:sz w:val="21"/>
                <w:szCs w:val="21"/>
              </w:rPr>
            </w:pPr>
            <w:r>
              <w:rPr>
                <w:rFonts w:ascii="Times New Roman" w:hAnsi="Times New Roman" w:cs="Times New Roman"/>
                <w:kern w:val="21"/>
                <w:sz w:val="21"/>
                <w:szCs w:val="21"/>
              </w:rPr>
              <w:t>单位名称（盖章）</w:t>
            </w:r>
          </w:p>
        </w:tc>
        <w:tc>
          <w:tcPr>
            <w:tcW w:w="2719" w:type="pct"/>
            <w:gridSpan w:val="2"/>
            <w:vAlign w:val="center"/>
          </w:tcPr>
          <w:p>
            <w:pPr>
              <w:pStyle w:val="20"/>
              <w:widowControl w:val="0"/>
              <w:adjustRightInd w:val="0"/>
              <w:snapToGrid w:val="0"/>
              <w:spacing w:before="0" w:beforeAutospacing="0" w:after="0" w:afterAutospacing="0"/>
              <w:jc w:val="center"/>
              <w:rPr>
                <w:rFonts w:ascii="Times New Roman" w:hAnsi="Times New Roman" w:cs="Times New Roman"/>
                <w:kern w:val="21"/>
                <w:sz w:val="21"/>
                <w:szCs w:val="21"/>
              </w:rPr>
            </w:pPr>
            <w:r>
              <w:rPr>
                <w:rFonts w:hint="eastAsia" w:ascii="Times New Roman" w:hAnsi="Times New Roman" w:cs="Times New Roman"/>
                <w:kern w:val="21"/>
                <w:sz w:val="21"/>
                <w:szCs w:val="21"/>
              </w:rPr>
              <w:t>湖南创佳环保有限公司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280" w:type="pct"/>
            <w:gridSpan w:val="2"/>
            <w:vAlign w:val="center"/>
          </w:tcPr>
          <w:p>
            <w:pPr>
              <w:pStyle w:val="20"/>
              <w:widowControl w:val="0"/>
              <w:adjustRightInd w:val="0"/>
              <w:snapToGrid w:val="0"/>
              <w:spacing w:before="0" w:beforeAutospacing="0" w:after="0" w:afterAutospacing="0"/>
              <w:rPr>
                <w:rFonts w:ascii="Times New Roman" w:hAnsi="Times New Roman" w:cs="Times New Roman"/>
                <w:kern w:val="21"/>
                <w:sz w:val="21"/>
                <w:szCs w:val="21"/>
              </w:rPr>
            </w:pPr>
            <w:r>
              <w:rPr>
                <w:rFonts w:ascii="Times New Roman" w:hAnsi="Times New Roman" w:cs="Times New Roman"/>
                <w:kern w:val="21"/>
                <w:sz w:val="21"/>
                <w:szCs w:val="21"/>
              </w:rPr>
              <w:t>统一社会信用代码</w:t>
            </w:r>
          </w:p>
        </w:tc>
        <w:tc>
          <w:tcPr>
            <w:tcW w:w="2719" w:type="pct"/>
            <w:gridSpan w:val="2"/>
            <w:vAlign w:val="center"/>
          </w:tcPr>
          <w:p>
            <w:pPr>
              <w:pStyle w:val="20"/>
              <w:widowControl w:val="0"/>
              <w:adjustRightInd w:val="0"/>
              <w:snapToGrid w:val="0"/>
              <w:spacing w:before="0" w:beforeAutospacing="0" w:after="0" w:afterAutospacing="0"/>
              <w:jc w:val="center"/>
              <w:rPr>
                <w:rFonts w:ascii="Times New Roman" w:hAnsi="Times New Roman" w:cs="Times New Roman"/>
                <w:kern w:val="21"/>
                <w:sz w:val="21"/>
                <w:szCs w:val="21"/>
              </w:rPr>
            </w:pPr>
            <w:r>
              <w:rPr>
                <w:rFonts w:hint="eastAsia" w:ascii="Times New Roman" w:hAnsi="Times New Roman" w:cs="Times New Roman"/>
                <w:kern w:val="21"/>
                <w:sz w:val="21"/>
                <w:szCs w:val="21"/>
              </w:rPr>
              <w:t>91430600MA4P7UBD3F</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000" w:type="pct"/>
            <w:gridSpan w:val="4"/>
            <w:vAlign w:val="center"/>
          </w:tcPr>
          <w:p>
            <w:pPr>
              <w:pStyle w:val="20"/>
              <w:widowControl w:val="0"/>
              <w:adjustRightInd w:val="0"/>
              <w:snapToGrid w:val="0"/>
              <w:spacing w:before="0" w:beforeAutospacing="0" w:after="0" w:afterAutospacing="0"/>
              <w:jc w:val="both"/>
              <w:rPr>
                <w:rFonts w:ascii="Times New Roman" w:hAnsi="Times New Roman" w:cs="Times New Roman"/>
                <w:kern w:val="21"/>
                <w:sz w:val="21"/>
                <w:szCs w:val="21"/>
              </w:rPr>
            </w:pPr>
            <w:r>
              <w:rPr>
                <w:rFonts w:ascii="Times New Roman" w:hAnsi="Times New Roman" w:cs="Times New Roman"/>
                <w:kern w:val="21"/>
                <w:sz w:val="21"/>
                <w:szCs w:val="21"/>
              </w:rPr>
              <w:t>三、编制人员情况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000" w:type="pct"/>
            <w:gridSpan w:val="4"/>
            <w:vAlign w:val="center"/>
          </w:tcPr>
          <w:p>
            <w:pPr>
              <w:pStyle w:val="20"/>
              <w:widowControl w:val="0"/>
              <w:adjustRightInd w:val="0"/>
              <w:snapToGrid w:val="0"/>
              <w:spacing w:before="0" w:beforeAutospacing="0" w:after="0" w:afterAutospacing="0"/>
              <w:jc w:val="both"/>
              <w:rPr>
                <w:rFonts w:ascii="Times New Roman" w:hAnsi="Times New Roman" w:cs="Times New Roman"/>
                <w:kern w:val="21"/>
                <w:sz w:val="21"/>
                <w:szCs w:val="21"/>
              </w:rPr>
            </w:pPr>
            <w:r>
              <w:rPr>
                <w:rFonts w:ascii="Times New Roman" w:hAnsi="Times New Roman" w:cs="Times New Roman"/>
                <w:kern w:val="21"/>
                <w:sz w:val="21"/>
                <w:szCs w:val="21"/>
              </w:rPr>
              <w:t>1.编制主持人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000" w:type="pct"/>
            <w:gridSpan w:val="4"/>
            <w:vAlign w:val="center"/>
          </w:tcPr>
          <w:p>
            <w:pPr>
              <w:pStyle w:val="20"/>
              <w:widowControl w:val="0"/>
              <w:adjustRightInd w:val="0"/>
              <w:snapToGrid w:val="0"/>
              <w:spacing w:before="0" w:beforeAutospacing="0" w:after="0" w:afterAutospacing="0"/>
              <w:jc w:val="both"/>
              <w:rPr>
                <w:rFonts w:ascii="Times New Roman" w:hAnsi="Times New Roman" w:cs="Times New Roman"/>
                <w:kern w:val="2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32" w:type="pct"/>
            <w:vAlign w:val="center"/>
          </w:tcPr>
          <w:p>
            <w:pPr>
              <w:pStyle w:val="20"/>
              <w:widowControl w:val="0"/>
              <w:adjustRightInd w:val="0"/>
              <w:snapToGrid w:val="0"/>
              <w:spacing w:before="0" w:beforeAutospacing="0" w:after="0" w:afterAutospacing="0"/>
              <w:jc w:val="center"/>
              <w:rPr>
                <w:rFonts w:ascii="Times New Roman" w:hAnsi="Times New Roman" w:cs="Times New Roman"/>
                <w:kern w:val="21"/>
                <w:sz w:val="21"/>
                <w:szCs w:val="21"/>
              </w:rPr>
            </w:pPr>
            <w:r>
              <w:rPr>
                <w:rFonts w:ascii="Times New Roman" w:hAnsi="Times New Roman" w:cs="Times New Roman"/>
                <w:kern w:val="21"/>
                <w:sz w:val="21"/>
                <w:szCs w:val="21"/>
              </w:rPr>
              <w:t>姓名</w:t>
            </w:r>
          </w:p>
        </w:tc>
        <w:tc>
          <w:tcPr>
            <w:tcW w:w="1348" w:type="pct"/>
            <w:vAlign w:val="center"/>
          </w:tcPr>
          <w:p>
            <w:pPr>
              <w:pStyle w:val="20"/>
              <w:widowControl w:val="0"/>
              <w:adjustRightInd w:val="0"/>
              <w:snapToGrid w:val="0"/>
              <w:spacing w:before="0" w:beforeAutospacing="0" w:after="0" w:afterAutospacing="0"/>
              <w:jc w:val="center"/>
              <w:rPr>
                <w:rFonts w:ascii="Times New Roman" w:hAnsi="Times New Roman" w:cs="Times New Roman"/>
                <w:kern w:val="21"/>
                <w:sz w:val="21"/>
                <w:szCs w:val="21"/>
              </w:rPr>
            </w:pPr>
            <w:r>
              <w:rPr>
                <w:rFonts w:ascii="Times New Roman" w:hAnsi="Times New Roman" w:cs="Times New Roman"/>
                <w:kern w:val="21"/>
                <w:sz w:val="21"/>
                <w:szCs w:val="21"/>
              </w:rPr>
              <w:t>职业资格证书管理号</w:t>
            </w:r>
          </w:p>
        </w:tc>
        <w:tc>
          <w:tcPr>
            <w:tcW w:w="1556" w:type="pct"/>
            <w:vAlign w:val="center"/>
          </w:tcPr>
          <w:p>
            <w:pPr>
              <w:pStyle w:val="20"/>
              <w:widowControl w:val="0"/>
              <w:adjustRightInd w:val="0"/>
              <w:snapToGrid w:val="0"/>
              <w:spacing w:before="0" w:beforeAutospacing="0" w:after="0" w:afterAutospacing="0"/>
              <w:jc w:val="center"/>
              <w:rPr>
                <w:rFonts w:ascii="Times New Roman" w:hAnsi="Times New Roman" w:cs="Times New Roman"/>
                <w:kern w:val="21"/>
                <w:sz w:val="21"/>
                <w:szCs w:val="21"/>
              </w:rPr>
            </w:pPr>
            <w:r>
              <w:rPr>
                <w:rFonts w:ascii="Times New Roman" w:hAnsi="Times New Roman" w:cs="Times New Roman"/>
                <w:kern w:val="21"/>
                <w:sz w:val="21"/>
                <w:szCs w:val="21"/>
              </w:rPr>
              <w:t>信用编号</w:t>
            </w:r>
          </w:p>
        </w:tc>
        <w:tc>
          <w:tcPr>
            <w:tcW w:w="1162" w:type="pct"/>
            <w:vAlign w:val="center"/>
          </w:tcPr>
          <w:p>
            <w:pPr>
              <w:pStyle w:val="20"/>
              <w:widowControl w:val="0"/>
              <w:adjustRightInd w:val="0"/>
              <w:snapToGrid w:val="0"/>
              <w:spacing w:before="0" w:beforeAutospacing="0" w:after="0" w:afterAutospacing="0"/>
              <w:jc w:val="center"/>
              <w:rPr>
                <w:rFonts w:ascii="Times New Roman" w:hAnsi="Times New Roman" w:cs="Times New Roman"/>
                <w:kern w:val="21"/>
                <w:sz w:val="21"/>
                <w:szCs w:val="21"/>
              </w:rPr>
            </w:pPr>
            <w:r>
              <w:rPr>
                <w:rFonts w:ascii="Times New Roman" w:hAnsi="Times New Roman" w:cs="Times New Roman"/>
                <w:kern w:val="21"/>
                <w:sz w:val="21"/>
                <w:szCs w:val="21"/>
              </w:rPr>
              <w:t>签字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32" w:type="pct"/>
            <w:vAlign w:val="center"/>
          </w:tcPr>
          <w:p>
            <w:pPr>
              <w:pStyle w:val="20"/>
              <w:widowControl w:val="0"/>
              <w:adjustRightInd w:val="0"/>
              <w:snapToGrid w:val="0"/>
              <w:spacing w:before="0" w:beforeAutospacing="0" w:after="0" w:afterAutospacing="0"/>
              <w:jc w:val="center"/>
              <w:rPr>
                <w:rFonts w:ascii="Times New Roman" w:hAnsi="Times New Roman" w:cs="Times New Roman"/>
                <w:kern w:val="21"/>
                <w:sz w:val="21"/>
                <w:szCs w:val="21"/>
              </w:rPr>
            </w:pPr>
            <w:r>
              <w:rPr>
                <w:rFonts w:hint="eastAsia" w:ascii="Times New Roman" w:hAnsi="Times New Roman" w:cs="Times New Roman"/>
                <w:kern w:val="21"/>
                <w:sz w:val="21"/>
                <w:szCs w:val="21"/>
              </w:rPr>
              <w:t>曾旺兴</w:t>
            </w:r>
          </w:p>
        </w:tc>
        <w:tc>
          <w:tcPr>
            <w:tcW w:w="1348" w:type="pct"/>
            <w:vAlign w:val="center"/>
          </w:tcPr>
          <w:p>
            <w:pPr>
              <w:pStyle w:val="20"/>
              <w:widowControl w:val="0"/>
              <w:adjustRightInd w:val="0"/>
              <w:snapToGrid w:val="0"/>
              <w:spacing w:before="0" w:beforeAutospacing="0" w:after="0" w:afterAutospacing="0"/>
              <w:jc w:val="center"/>
              <w:rPr>
                <w:rFonts w:ascii="Times New Roman" w:hAnsi="Times New Roman" w:cs="Times New Roman"/>
                <w:kern w:val="21"/>
                <w:sz w:val="21"/>
                <w:szCs w:val="21"/>
              </w:rPr>
            </w:pPr>
            <w:r>
              <w:rPr>
                <w:rFonts w:ascii="微软雅黑" w:hAnsi="微软雅黑" w:eastAsia="微软雅黑" w:cs="微软雅黑"/>
                <w:color w:val="333333"/>
                <w:sz w:val="16"/>
                <w:szCs w:val="16"/>
                <w:shd w:val="clear" w:color="auto" w:fill="FFFFFF"/>
              </w:rPr>
              <w:t>2014035430352013439901000631</w:t>
            </w:r>
          </w:p>
        </w:tc>
        <w:tc>
          <w:tcPr>
            <w:tcW w:w="1556" w:type="pct"/>
            <w:vAlign w:val="center"/>
          </w:tcPr>
          <w:p>
            <w:pPr>
              <w:pStyle w:val="20"/>
              <w:widowControl w:val="0"/>
              <w:adjustRightInd w:val="0"/>
              <w:snapToGrid w:val="0"/>
              <w:spacing w:before="0" w:beforeAutospacing="0" w:after="0" w:afterAutospacing="0"/>
              <w:jc w:val="center"/>
              <w:rPr>
                <w:rFonts w:ascii="Times New Roman" w:hAnsi="Times New Roman" w:cs="Times New Roman"/>
                <w:kern w:val="21"/>
                <w:sz w:val="21"/>
                <w:szCs w:val="21"/>
              </w:rPr>
            </w:pPr>
            <w:r>
              <w:rPr>
                <w:rFonts w:hint="eastAsia" w:ascii="Times New Roman" w:hAnsi="Times New Roman" w:cs="Times New Roman"/>
                <w:kern w:val="21"/>
                <w:sz w:val="21"/>
                <w:szCs w:val="21"/>
              </w:rPr>
              <w:t>BH022172</w:t>
            </w:r>
          </w:p>
        </w:tc>
        <w:tc>
          <w:tcPr>
            <w:tcW w:w="1162" w:type="pct"/>
            <w:vAlign w:val="center"/>
          </w:tcPr>
          <w:p>
            <w:pPr>
              <w:pStyle w:val="20"/>
              <w:widowControl w:val="0"/>
              <w:adjustRightInd w:val="0"/>
              <w:snapToGrid w:val="0"/>
              <w:spacing w:before="0" w:beforeAutospacing="0" w:after="0" w:afterAutospacing="0"/>
              <w:jc w:val="center"/>
              <w:rPr>
                <w:rFonts w:ascii="Times New Roman" w:hAnsi="Times New Roman" w:cs="Times New Roman"/>
                <w:kern w:val="2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000" w:type="pct"/>
            <w:gridSpan w:val="4"/>
            <w:vAlign w:val="center"/>
          </w:tcPr>
          <w:p>
            <w:pPr>
              <w:pStyle w:val="20"/>
              <w:widowControl w:val="0"/>
              <w:adjustRightInd w:val="0"/>
              <w:snapToGrid w:val="0"/>
              <w:spacing w:before="0" w:beforeAutospacing="0" w:after="0" w:afterAutospacing="0"/>
              <w:jc w:val="both"/>
              <w:rPr>
                <w:rFonts w:ascii="Times New Roman" w:hAnsi="Times New Roman" w:cs="Times New Roman"/>
                <w:kern w:val="21"/>
                <w:sz w:val="21"/>
                <w:szCs w:val="21"/>
              </w:rPr>
            </w:pPr>
            <w:r>
              <w:rPr>
                <w:rFonts w:ascii="Times New Roman" w:hAnsi="Times New Roman" w:cs="Times New Roman"/>
                <w:kern w:val="21"/>
                <w:sz w:val="21"/>
                <w:szCs w:val="21"/>
              </w:rPr>
              <w:t>2.主要编制人员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32" w:type="pct"/>
            <w:vAlign w:val="center"/>
          </w:tcPr>
          <w:p>
            <w:pPr>
              <w:pStyle w:val="20"/>
              <w:widowControl w:val="0"/>
              <w:adjustRightInd w:val="0"/>
              <w:snapToGrid w:val="0"/>
              <w:spacing w:before="0" w:beforeAutospacing="0" w:after="0" w:afterAutospacing="0"/>
              <w:jc w:val="center"/>
              <w:rPr>
                <w:rFonts w:ascii="Times New Roman" w:hAnsi="Times New Roman" w:cs="Times New Roman"/>
                <w:kern w:val="21"/>
                <w:sz w:val="21"/>
                <w:szCs w:val="21"/>
              </w:rPr>
            </w:pPr>
            <w:r>
              <w:rPr>
                <w:rFonts w:ascii="Times New Roman" w:hAnsi="Times New Roman" w:cs="Times New Roman"/>
                <w:kern w:val="21"/>
                <w:sz w:val="21"/>
                <w:szCs w:val="21"/>
              </w:rPr>
              <w:t>姓名</w:t>
            </w:r>
          </w:p>
        </w:tc>
        <w:tc>
          <w:tcPr>
            <w:tcW w:w="1348" w:type="pct"/>
            <w:vAlign w:val="center"/>
          </w:tcPr>
          <w:p>
            <w:pPr>
              <w:pStyle w:val="20"/>
              <w:widowControl w:val="0"/>
              <w:adjustRightInd w:val="0"/>
              <w:snapToGrid w:val="0"/>
              <w:spacing w:before="0" w:beforeAutospacing="0" w:after="0" w:afterAutospacing="0"/>
              <w:jc w:val="center"/>
              <w:rPr>
                <w:rFonts w:ascii="Times New Roman" w:hAnsi="Times New Roman" w:cs="Times New Roman"/>
                <w:kern w:val="21"/>
                <w:sz w:val="21"/>
                <w:szCs w:val="21"/>
              </w:rPr>
            </w:pPr>
            <w:r>
              <w:rPr>
                <w:rFonts w:ascii="Times New Roman" w:hAnsi="Times New Roman" w:cs="Times New Roman"/>
                <w:kern w:val="21"/>
                <w:sz w:val="21"/>
                <w:szCs w:val="21"/>
              </w:rPr>
              <w:t>主要编写内容</w:t>
            </w:r>
          </w:p>
        </w:tc>
        <w:tc>
          <w:tcPr>
            <w:tcW w:w="1556" w:type="pct"/>
            <w:vAlign w:val="center"/>
          </w:tcPr>
          <w:p>
            <w:pPr>
              <w:pStyle w:val="20"/>
              <w:widowControl w:val="0"/>
              <w:adjustRightInd w:val="0"/>
              <w:snapToGrid w:val="0"/>
              <w:spacing w:before="0" w:beforeAutospacing="0" w:after="0" w:afterAutospacing="0"/>
              <w:jc w:val="center"/>
              <w:rPr>
                <w:rFonts w:ascii="Times New Roman" w:hAnsi="Times New Roman" w:cs="Times New Roman"/>
                <w:kern w:val="21"/>
                <w:sz w:val="21"/>
                <w:szCs w:val="21"/>
              </w:rPr>
            </w:pPr>
            <w:r>
              <w:rPr>
                <w:rFonts w:ascii="Times New Roman" w:hAnsi="Times New Roman" w:cs="Times New Roman"/>
                <w:kern w:val="21"/>
                <w:sz w:val="21"/>
                <w:szCs w:val="21"/>
              </w:rPr>
              <w:t>信用编号</w:t>
            </w:r>
          </w:p>
        </w:tc>
        <w:tc>
          <w:tcPr>
            <w:tcW w:w="1162" w:type="pct"/>
            <w:vAlign w:val="center"/>
          </w:tcPr>
          <w:p>
            <w:pPr>
              <w:pStyle w:val="20"/>
              <w:widowControl w:val="0"/>
              <w:adjustRightInd w:val="0"/>
              <w:snapToGrid w:val="0"/>
              <w:spacing w:before="0" w:beforeAutospacing="0" w:after="0" w:afterAutospacing="0"/>
              <w:jc w:val="center"/>
              <w:rPr>
                <w:rFonts w:ascii="Times New Roman" w:hAnsi="Times New Roman" w:cs="Times New Roman"/>
                <w:kern w:val="21"/>
                <w:sz w:val="21"/>
                <w:szCs w:val="21"/>
              </w:rPr>
            </w:pPr>
            <w:r>
              <w:rPr>
                <w:rFonts w:ascii="Times New Roman" w:hAnsi="Times New Roman" w:cs="Times New Roman"/>
                <w:kern w:val="21"/>
                <w:sz w:val="21"/>
                <w:szCs w:val="21"/>
              </w:rPr>
              <w:t>签字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32" w:type="pct"/>
            <w:vAlign w:val="center"/>
          </w:tcPr>
          <w:p>
            <w:pPr>
              <w:pStyle w:val="20"/>
              <w:widowControl w:val="0"/>
              <w:adjustRightInd w:val="0"/>
              <w:snapToGrid w:val="0"/>
              <w:spacing w:before="0" w:beforeAutospacing="0" w:after="0" w:afterAutospacing="0"/>
              <w:jc w:val="center"/>
              <w:rPr>
                <w:rFonts w:ascii="Times New Roman" w:hAnsi="Times New Roman" w:cs="Times New Roman"/>
                <w:kern w:val="21"/>
                <w:sz w:val="21"/>
                <w:szCs w:val="21"/>
              </w:rPr>
            </w:pPr>
            <w:r>
              <w:rPr>
                <w:rFonts w:hint="eastAsia" w:ascii="Times New Roman" w:hAnsi="Times New Roman" w:cs="Times New Roman"/>
                <w:kern w:val="21"/>
                <w:sz w:val="21"/>
                <w:szCs w:val="21"/>
              </w:rPr>
              <w:t>曾旺兴</w:t>
            </w:r>
          </w:p>
        </w:tc>
        <w:tc>
          <w:tcPr>
            <w:tcW w:w="1348" w:type="pct"/>
            <w:vAlign w:val="center"/>
          </w:tcPr>
          <w:p>
            <w:pPr>
              <w:pStyle w:val="20"/>
              <w:widowControl w:val="0"/>
              <w:adjustRightInd w:val="0"/>
              <w:snapToGrid w:val="0"/>
              <w:spacing w:before="0" w:beforeAutospacing="0" w:after="0" w:afterAutospacing="0"/>
              <w:jc w:val="center"/>
              <w:rPr>
                <w:rFonts w:ascii="Times New Roman" w:hAnsi="Times New Roman" w:cs="Times New Roman"/>
                <w:kern w:val="21"/>
                <w:sz w:val="21"/>
                <w:szCs w:val="21"/>
              </w:rPr>
            </w:pPr>
            <w:r>
              <w:rPr>
                <w:rFonts w:hint="eastAsia" w:ascii="Times New Roman" w:hAnsi="Times New Roman" w:cs="Times New Roman"/>
                <w:kern w:val="21"/>
                <w:sz w:val="21"/>
                <w:szCs w:val="21"/>
              </w:rPr>
              <w:t>建设项目基本情况、建设项目工程分析、区域环境质量现状、环境保护目标及评价标准、主要环境影响和保护措施、环境保护措施监督检查清单、结论</w:t>
            </w:r>
          </w:p>
        </w:tc>
        <w:tc>
          <w:tcPr>
            <w:tcW w:w="1556" w:type="pct"/>
            <w:vAlign w:val="center"/>
          </w:tcPr>
          <w:p>
            <w:pPr>
              <w:pStyle w:val="20"/>
              <w:widowControl w:val="0"/>
              <w:adjustRightInd w:val="0"/>
              <w:snapToGrid w:val="0"/>
              <w:spacing w:before="0" w:beforeAutospacing="0" w:after="0" w:afterAutospacing="0"/>
              <w:jc w:val="center"/>
              <w:rPr>
                <w:rFonts w:ascii="Times New Roman" w:hAnsi="Times New Roman" w:cs="Times New Roman"/>
                <w:kern w:val="21"/>
                <w:sz w:val="21"/>
                <w:szCs w:val="21"/>
              </w:rPr>
            </w:pPr>
            <w:r>
              <w:rPr>
                <w:rFonts w:hint="eastAsia" w:ascii="Times New Roman" w:hAnsi="Times New Roman" w:cs="Times New Roman"/>
                <w:kern w:val="21"/>
                <w:sz w:val="21"/>
                <w:szCs w:val="21"/>
              </w:rPr>
              <w:t>BH022172</w:t>
            </w:r>
          </w:p>
        </w:tc>
        <w:tc>
          <w:tcPr>
            <w:tcW w:w="1162" w:type="pct"/>
            <w:vAlign w:val="center"/>
          </w:tcPr>
          <w:p>
            <w:pPr>
              <w:pStyle w:val="20"/>
              <w:widowControl w:val="0"/>
              <w:adjustRightInd w:val="0"/>
              <w:snapToGrid w:val="0"/>
              <w:spacing w:before="0" w:beforeAutospacing="0" w:after="0" w:afterAutospacing="0"/>
              <w:jc w:val="center"/>
              <w:rPr>
                <w:rFonts w:ascii="Times New Roman" w:hAnsi="Times New Roman" w:cs="Times New Roman"/>
                <w:kern w:val="21"/>
                <w:sz w:val="21"/>
                <w:szCs w:val="21"/>
              </w:rPr>
            </w:pPr>
          </w:p>
        </w:tc>
      </w:tr>
    </w:tbl>
    <w:p>
      <w:pPr>
        <w:adjustRightInd w:val="0"/>
        <w:snapToGrid w:val="0"/>
        <w:rPr>
          <w:kern w:val="21"/>
          <w:szCs w:val="21"/>
        </w:rPr>
      </w:pPr>
      <w:r>
        <w:rPr>
          <w:kern w:val="21"/>
          <w:szCs w:val="21"/>
        </w:rPr>
        <w:t>注：</w:t>
      </w:r>
      <w:r>
        <w:rPr>
          <w:rFonts w:hint="eastAsia"/>
          <w:kern w:val="21"/>
          <w:szCs w:val="21"/>
        </w:rPr>
        <w:t>报批时</w:t>
      </w:r>
      <w:r>
        <w:rPr>
          <w:kern w:val="21"/>
          <w:szCs w:val="21"/>
        </w:rPr>
        <w:t>该表由环境影响评价信用平台自动生成</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Impact">
    <w:panose1 w:val="020B0806030902050204"/>
    <w:charset w:val="00"/>
    <w:family w:val="swiss"/>
    <w:pitch w:val="default"/>
    <w:sig w:usb0="00000287" w:usb1="00000000" w:usb2="00000000" w:usb3="00000000" w:csb0="2000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Arial Unicode MS"/>
    <w:panose1 w:val="00000000000000000000"/>
    <w:charset w:val="86"/>
    <w:family w:val="script"/>
    <w:pitch w:val="default"/>
    <w:sig w:usb0="00000000" w:usb1="00000000" w:usb2="00000010" w:usb3="00000000" w:csb0="003C004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Arial Narrow">
    <w:panose1 w:val="020B0606020202030204"/>
    <w:charset w:val="00"/>
    <w:family w:val="swiss"/>
    <w:pitch w:val="default"/>
    <w:sig w:usb0="00000287" w:usb1="00000800" w:usb2="00000000" w:usb3="00000000" w:csb0="2000009F" w:csb1="DFD7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right="360" w:firstLine="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right="360" w:firstLine="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1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right="360" w:firstLine="360"/>
      <w:jc w:val="both"/>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6"/>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16"/>
                    </w:pPr>
                    <w:r>
                      <w:fldChar w:fldCharType="begin"/>
                    </w:r>
                    <w:r>
                      <w:instrText xml:space="preserve"> PAGE  \* MERGEFORMAT </w:instrText>
                    </w:r>
                    <w:r>
                      <w:fldChar w:fldCharType="separate"/>
                    </w:r>
                    <w:r>
                      <w:t>6</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CAFB15"/>
    <w:multiLevelType w:val="singleLevel"/>
    <w:tmpl w:val="80CAFB15"/>
    <w:lvl w:ilvl="0" w:tentative="0">
      <w:start w:val="1"/>
      <w:numFmt w:val="decimal"/>
      <w:suff w:val="nothing"/>
      <w:lvlText w:val="%1、"/>
      <w:lvlJc w:val="left"/>
    </w:lvl>
  </w:abstractNum>
  <w:abstractNum w:abstractNumId="1">
    <w:nsid w:val="9BBE1EEA"/>
    <w:multiLevelType w:val="singleLevel"/>
    <w:tmpl w:val="9BBE1EEA"/>
    <w:lvl w:ilvl="0" w:tentative="0">
      <w:start w:val="1"/>
      <w:numFmt w:val="decimal"/>
      <w:suff w:val="nothing"/>
      <w:lvlText w:val="%1、"/>
      <w:lvlJc w:val="left"/>
    </w:lvl>
  </w:abstractNum>
  <w:abstractNum w:abstractNumId="2">
    <w:nsid w:val="AF456459"/>
    <w:multiLevelType w:val="singleLevel"/>
    <w:tmpl w:val="AF456459"/>
    <w:lvl w:ilvl="0" w:tentative="0">
      <w:start w:val="1"/>
      <w:numFmt w:val="decimal"/>
      <w:suff w:val="nothing"/>
      <w:lvlText w:val="%1、"/>
      <w:lvlJc w:val="left"/>
      <w:pPr>
        <w:ind w:left="-269"/>
      </w:pPr>
    </w:lvl>
  </w:abstractNum>
  <w:abstractNum w:abstractNumId="3">
    <w:nsid w:val="B517DA30"/>
    <w:multiLevelType w:val="singleLevel"/>
    <w:tmpl w:val="B517DA30"/>
    <w:lvl w:ilvl="0" w:tentative="0">
      <w:start w:val="1"/>
      <w:numFmt w:val="decimal"/>
      <w:suff w:val="nothing"/>
      <w:lvlText w:val="%1、"/>
      <w:lvlJc w:val="left"/>
      <w:pPr>
        <w:ind w:left="120"/>
      </w:pPr>
    </w:lvl>
  </w:abstractNum>
  <w:abstractNum w:abstractNumId="4">
    <w:nsid w:val="F9D0F0E3"/>
    <w:multiLevelType w:val="singleLevel"/>
    <w:tmpl w:val="F9D0F0E3"/>
    <w:lvl w:ilvl="0" w:tentative="0">
      <w:start w:val="1"/>
      <w:numFmt w:val="decimal"/>
      <w:suff w:val="nothing"/>
      <w:lvlText w:val="(%1）"/>
      <w:lvlJc w:val="left"/>
      <w:pPr>
        <w:ind w:left="150"/>
      </w:pPr>
    </w:lvl>
  </w:abstractNum>
  <w:abstractNum w:abstractNumId="5">
    <w:nsid w:val="FC801096"/>
    <w:multiLevelType w:val="singleLevel"/>
    <w:tmpl w:val="FC801096"/>
    <w:lvl w:ilvl="0" w:tentative="0">
      <w:start w:val="4"/>
      <w:numFmt w:val="decimal"/>
      <w:lvlText w:val="(%1)"/>
      <w:lvlJc w:val="left"/>
      <w:pPr>
        <w:tabs>
          <w:tab w:val="left" w:pos="312"/>
        </w:tabs>
      </w:pPr>
    </w:lvl>
  </w:abstractNum>
  <w:abstractNum w:abstractNumId="6">
    <w:nsid w:val="FE3B02B6"/>
    <w:multiLevelType w:val="singleLevel"/>
    <w:tmpl w:val="FE3B02B6"/>
    <w:lvl w:ilvl="0" w:tentative="0">
      <w:start w:val="1"/>
      <w:numFmt w:val="decimal"/>
      <w:suff w:val="nothing"/>
      <w:lvlText w:val="%1、"/>
      <w:lvlJc w:val="left"/>
    </w:lvl>
  </w:abstractNum>
  <w:abstractNum w:abstractNumId="7">
    <w:nsid w:val="00000006"/>
    <w:multiLevelType w:val="multilevel"/>
    <w:tmpl w:val="00000006"/>
    <w:lvl w:ilvl="0" w:tentative="0">
      <w:start w:val="3"/>
      <w:numFmt w:val="decimal"/>
      <w:suff w:val="nothing"/>
      <w:lvlText w:val="%1、"/>
      <w:lvlJc w:val="left"/>
    </w:lvl>
    <w:lvl w:ilvl="1" w:tentative="0">
      <w:start w:val="1"/>
      <w:numFmt w:val="lowerLetter"/>
      <w:lvlText w:val="%2)"/>
      <w:lvlJc w:val="left"/>
      <w:pPr>
        <w:tabs>
          <w:tab w:val="left" w:pos="840"/>
        </w:tabs>
        <w:ind w:left="840" w:hanging="420"/>
      </w:pPr>
    </w:lvl>
    <w:lvl w:ilvl="2" w:tentative="0">
      <w:start w:val="1"/>
      <w:numFmt w:val="lowerRoman"/>
      <w:pStyle w:val="63"/>
      <w:lvlText w:val="%3."/>
      <w:lvlJc w:val="right"/>
      <w:pPr>
        <w:tabs>
          <w:tab w:val="left" w:pos="1260"/>
        </w:tabs>
        <w:ind w:left="1260" w:hanging="420"/>
      </w:pPr>
    </w:lvl>
    <w:lvl w:ilvl="3" w:tentative="0">
      <w:start w:val="1"/>
      <w:numFmt w:val="decimal"/>
      <w:pStyle w:val="62"/>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88ACADB"/>
    <w:multiLevelType w:val="multilevel"/>
    <w:tmpl w:val="188ACADB"/>
    <w:lvl w:ilvl="0" w:tentative="0">
      <w:start w:val="1"/>
      <w:numFmt w:val="decimal"/>
      <w:suff w:val="space"/>
      <w:lvlText w:val="%1"/>
      <w:lvlJc w:val="left"/>
      <w:pPr>
        <w:ind w:left="0" w:firstLine="0"/>
      </w:pPr>
      <w:rPr>
        <w:rFonts w:hint="default"/>
      </w:rPr>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9">
    <w:nsid w:val="1BFDCF5C"/>
    <w:multiLevelType w:val="singleLevel"/>
    <w:tmpl w:val="1BFDCF5C"/>
    <w:lvl w:ilvl="0" w:tentative="0">
      <w:start w:val="1"/>
      <w:numFmt w:val="decimal"/>
      <w:suff w:val="nothing"/>
      <w:lvlText w:val="（%1）"/>
      <w:lvlJc w:val="left"/>
    </w:lvl>
  </w:abstractNum>
  <w:abstractNum w:abstractNumId="10">
    <w:nsid w:val="1CE201F1"/>
    <w:multiLevelType w:val="singleLevel"/>
    <w:tmpl w:val="1CE201F1"/>
    <w:lvl w:ilvl="0" w:tentative="0">
      <w:start w:val="2"/>
      <w:numFmt w:val="decimal"/>
      <w:lvlText w:val="(%1)"/>
      <w:lvlJc w:val="left"/>
      <w:pPr>
        <w:tabs>
          <w:tab w:val="left" w:pos="312"/>
        </w:tabs>
      </w:pPr>
    </w:lvl>
  </w:abstractNum>
  <w:abstractNum w:abstractNumId="11">
    <w:nsid w:val="4B959381"/>
    <w:multiLevelType w:val="singleLevel"/>
    <w:tmpl w:val="4B959381"/>
    <w:lvl w:ilvl="0" w:tentative="0">
      <w:start w:val="2"/>
      <w:numFmt w:val="decimal"/>
      <w:suff w:val="nothing"/>
      <w:lvlText w:val="（%1）"/>
      <w:lvlJc w:val="left"/>
      <w:pPr>
        <w:ind w:left="1050"/>
      </w:pPr>
    </w:lvl>
  </w:abstractNum>
  <w:abstractNum w:abstractNumId="12">
    <w:nsid w:val="522BA9E2"/>
    <w:multiLevelType w:val="singleLevel"/>
    <w:tmpl w:val="522BA9E2"/>
    <w:lvl w:ilvl="0" w:tentative="0">
      <w:start w:val="1"/>
      <w:numFmt w:val="decimal"/>
      <w:suff w:val="nothing"/>
      <w:lvlText w:val="%1、"/>
      <w:lvlJc w:val="left"/>
    </w:lvl>
  </w:abstractNum>
  <w:abstractNum w:abstractNumId="13">
    <w:nsid w:val="59191514"/>
    <w:multiLevelType w:val="singleLevel"/>
    <w:tmpl w:val="59191514"/>
    <w:lvl w:ilvl="0" w:tentative="0">
      <w:start w:val="1"/>
      <w:numFmt w:val="decimal"/>
      <w:suff w:val="nothing"/>
      <w:lvlText w:val="%1、"/>
      <w:lvlJc w:val="left"/>
    </w:lvl>
  </w:abstractNum>
  <w:abstractNum w:abstractNumId="14">
    <w:nsid w:val="5FBD76CF"/>
    <w:multiLevelType w:val="singleLevel"/>
    <w:tmpl w:val="5FBD76CF"/>
    <w:lvl w:ilvl="0" w:tentative="0">
      <w:start w:val="1"/>
      <w:numFmt w:val="decimal"/>
      <w:suff w:val="nothing"/>
      <w:lvlText w:val="（%1）"/>
      <w:lvlJc w:val="left"/>
    </w:lvl>
  </w:abstractNum>
  <w:abstractNum w:abstractNumId="15">
    <w:nsid w:val="66D4858F"/>
    <w:multiLevelType w:val="singleLevel"/>
    <w:tmpl w:val="66D4858F"/>
    <w:lvl w:ilvl="0" w:tentative="0">
      <w:start w:val="1"/>
      <w:numFmt w:val="decimal"/>
      <w:suff w:val="nothing"/>
      <w:lvlText w:val="%1、"/>
      <w:lvlJc w:val="left"/>
    </w:lvl>
  </w:abstractNum>
  <w:abstractNum w:abstractNumId="16">
    <w:nsid w:val="6BC479B0"/>
    <w:multiLevelType w:val="multilevel"/>
    <w:tmpl w:val="6BC479B0"/>
    <w:lvl w:ilvl="0" w:tentative="0">
      <w:start w:val="1"/>
      <w:numFmt w:val="decimal"/>
      <w:lvlText w:val="%1、"/>
      <w:lvlJc w:val="left"/>
      <w:pPr>
        <w:ind w:left="630" w:hanging="420"/>
      </w:pPr>
      <w:rPr>
        <w:rFonts w:hint="default" w:ascii="Times New Roman" w:hAnsi="Times New Roman" w:eastAsia="宋体" w:cs="Times New Roman"/>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17">
    <w:nsid w:val="6E658A60"/>
    <w:multiLevelType w:val="singleLevel"/>
    <w:tmpl w:val="6E658A60"/>
    <w:lvl w:ilvl="0" w:tentative="0">
      <w:start w:val="1"/>
      <w:numFmt w:val="decimal"/>
      <w:suff w:val="nothing"/>
      <w:lvlText w:val="%1）"/>
      <w:lvlJc w:val="left"/>
      <w:pPr>
        <w:ind w:left="-59"/>
      </w:pPr>
    </w:lvl>
  </w:abstractNum>
  <w:abstractNum w:abstractNumId="18">
    <w:nsid w:val="7F45807B"/>
    <w:multiLevelType w:val="singleLevel"/>
    <w:tmpl w:val="7F45807B"/>
    <w:lvl w:ilvl="0" w:tentative="0">
      <w:start w:val="1"/>
      <w:numFmt w:val="decimal"/>
      <w:suff w:val="nothing"/>
      <w:lvlText w:val="%1、"/>
      <w:lvlJc w:val="left"/>
      <w:pPr>
        <w:ind w:left="210"/>
      </w:pPr>
    </w:lvl>
  </w:abstractNum>
  <w:num w:numId="1">
    <w:abstractNumId w:val="7"/>
  </w:num>
  <w:num w:numId="2">
    <w:abstractNumId w:val="16"/>
  </w:num>
  <w:num w:numId="3">
    <w:abstractNumId w:val="0"/>
  </w:num>
  <w:num w:numId="4">
    <w:abstractNumId w:val="8"/>
  </w:num>
  <w:num w:numId="5">
    <w:abstractNumId w:val="3"/>
  </w:num>
  <w:num w:numId="6">
    <w:abstractNumId w:val="9"/>
  </w:num>
  <w:num w:numId="7">
    <w:abstractNumId w:val="14"/>
  </w:num>
  <w:num w:numId="8">
    <w:abstractNumId w:val="15"/>
  </w:num>
  <w:num w:numId="9">
    <w:abstractNumId w:val="11"/>
  </w:num>
  <w:num w:numId="10">
    <w:abstractNumId w:val="13"/>
  </w:num>
  <w:num w:numId="11">
    <w:abstractNumId w:val="18"/>
  </w:num>
  <w:num w:numId="12">
    <w:abstractNumId w:val="2"/>
  </w:num>
  <w:num w:numId="13">
    <w:abstractNumId w:val="1"/>
  </w:num>
  <w:num w:numId="14">
    <w:abstractNumId w:val="12"/>
  </w:num>
  <w:num w:numId="15">
    <w:abstractNumId w:val="17"/>
  </w:num>
  <w:num w:numId="16">
    <w:abstractNumId w:val="4"/>
  </w:num>
  <w:num w:numId="17">
    <w:abstractNumId w:val="5"/>
  </w:num>
  <w:num w:numId="18">
    <w:abstractNumId w:val="6"/>
  </w:num>
  <w:num w:numId="19">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易鸣">
    <w15:presenceInfo w15:providerId="Windows Live" w15:userId="093f4611233510a6"/>
  </w15:person>
  <w15:person w15:author="影子、浅笑">
    <w15:presenceInfo w15:providerId="WPS Office" w15:userId="11530119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A57BB4"/>
    <w:rsid w:val="001B3E80"/>
    <w:rsid w:val="001E557A"/>
    <w:rsid w:val="001F7916"/>
    <w:rsid w:val="00214A63"/>
    <w:rsid w:val="002454DA"/>
    <w:rsid w:val="00345C21"/>
    <w:rsid w:val="003774D0"/>
    <w:rsid w:val="003C2BF3"/>
    <w:rsid w:val="004352FA"/>
    <w:rsid w:val="00437B69"/>
    <w:rsid w:val="004951CD"/>
    <w:rsid w:val="00496C40"/>
    <w:rsid w:val="004A5A15"/>
    <w:rsid w:val="005402D4"/>
    <w:rsid w:val="00793F81"/>
    <w:rsid w:val="007C47D6"/>
    <w:rsid w:val="007D37DE"/>
    <w:rsid w:val="007F7D4E"/>
    <w:rsid w:val="00962DD5"/>
    <w:rsid w:val="009853B6"/>
    <w:rsid w:val="009C7498"/>
    <w:rsid w:val="00B04BCD"/>
    <w:rsid w:val="00B30095"/>
    <w:rsid w:val="00B54EA9"/>
    <w:rsid w:val="00BE2CB1"/>
    <w:rsid w:val="00BF0FB4"/>
    <w:rsid w:val="00BF7B70"/>
    <w:rsid w:val="00C356EE"/>
    <w:rsid w:val="00DA20CD"/>
    <w:rsid w:val="00DF3976"/>
    <w:rsid w:val="00DF4316"/>
    <w:rsid w:val="00E77C46"/>
    <w:rsid w:val="00ED7D0B"/>
    <w:rsid w:val="00F12BE7"/>
    <w:rsid w:val="0142156C"/>
    <w:rsid w:val="01A57BB4"/>
    <w:rsid w:val="022C72D2"/>
    <w:rsid w:val="051F41E3"/>
    <w:rsid w:val="07B01B5D"/>
    <w:rsid w:val="0937307B"/>
    <w:rsid w:val="0A9F773C"/>
    <w:rsid w:val="0BA3652C"/>
    <w:rsid w:val="0BAC2D58"/>
    <w:rsid w:val="0D2E2C6A"/>
    <w:rsid w:val="11FD6775"/>
    <w:rsid w:val="12E85427"/>
    <w:rsid w:val="1486395E"/>
    <w:rsid w:val="16EF6698"/>
    <w:rsid w:val="173C4790"/>
    <w:rsid w:val="180F2F72"/>
    <w:rsid w:val="18774257"/>
    <w:rsid w:val="1B21577A"/>
    <w:rsid w:val="1C45424C"/>
    <w:rsid w:val="1C7D2915"/>
    <w:rsid w:val="1D0C59ED"/>
    <w:rsid w:val="224C750A"/>
    <w:rsid w:val="24411A54"/>
    <w:rsid w:val="26697010"/>
    <w:rsid w:val="26AF157D"/>
    <w:rsid w:val="27866731"/>
    <w:rsid w:val="285159D1"/>
    <w:rsid w:val="2B3B4C10"/>
    <w:rsid w:val="30AB1544"/>
    <w:rsid w:val="316E6799"/>
    <w:rsid w:val="32167248"/>
    <w:rsid w:val="3635100E"/>
    <w:rsid w:val="376101C5"/>
    <w:rsid w:val="39063C7F"/>
    <w:rsid w:val="395F321E"/>
    <w:rsid w:val="39DD1D46"/>
    <w:rsid w:val="39DD4CFF"/>
    <w:rsid w:val="3B477ED8"/>
    <w:rsid w:val="3C9428FC"/>
    <w:rsid w:val="3DB96DD9"/>
    <w:rsid w:val="3DC81C43"/>
    <w:rsid w:val="3ED0528B"/>
    <w:rsid w:val="403B5CBD"/>
    <w:rsid w:val="409B6BED"/>
    <w:rsid w:val="40AA4BD7"/>
    <w:rsid w:val="40ED0458"/>
    <w:rsid w:val="441474F2"/>
    <w:rsid w:val="452F42A0"/>
    <w:rsid w:val="457B60BE"/>
    <w:rsid w:val="459916DF"/>
    <w:rsid w:val="45A00D22"/>
    <w:rsid w:val="49A16E49"/>
    <w:rsid w:val="4BBF3305"/>
    <w:rsid w:val="4C8467E4"/>
    <w:rsid w:val="4E1F52FD"/>
    <w:rsid w:val="4E6649D0"/>
    <w:rsid w:val="4F3B6CB5"/>
    <w:rsid w:val="4F3E5BED"/>
    <w:rsid w:val="50D17946"/>
    <w:rsid w:val="51837238"/>
    <w:rsid w:val="534F5D3D"/>
    <w:rsid w:val="54753859"/>
    <w:rsid w:val="563969B5"/>
    <w:rsid w:val="57140134"/>
    <w:rsid w:val="57F73953"/>
    <w:rsid w:val="58C31DE0"/>
    <w:rsid w:val="59B14E66"/>
    <w:rsid w:val="5A4B5486"/>
    <w:rsid w:val="5B5929A1"/>
    <w:rsid w:val="5C556B94"/>
    <w:rsid w:val="5D6A5781"/>
    <w:rsid w:val="5E0704F9"/>
    <w:rsid w:val="5E0B4737"/>
    <w:rsid w:val="5EEC2192"/>
    <w:rsid w:val="60396F46"/>
    <w:rsid w:val="611C181E"/>
    <w:rsid w:val="65BF168A"/>
    <w:rsid w:val="67084731"/>
    <w:rsid w:val="68342C62"/>
    <w:rsid w:val="68CF0B06"/>
    <w:rsid w:val="694F4326"/>
    <w:rsid w:val="6BB8276D"/>
    <w:rsid w:val="6E17065F"/>
    <w:rsid w:val="7089343D"/>
    <w:rsid w:val="728A11D1"/>
    <w:rsid w:val="72F41410"/>
    <w:rsid w:val="75E3235E"/>
    <w:rsid w:val="76BC464F"/>
    <w:rsid w:val="79707591"/>
    <w:rsid w:val="7AF5308A"/>
    <w:rsid w:val="7BA57A6A"/>
    <w:rsid w:val="7C3D4A02"/>
    <w:rsid w:val="7C814A23"/>
    <w:rsid w:val="7C9A0958"/>
    <w:rsid w:val="7E29309D"/>
    <w:rsid w:val="7EFB7DB5"/>
    <w:rsid w:val="7FB02B5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68"/>
    <w:qFormat/>
    <w:uiPriority w:val="0"/>
    <w:pPr>
      <w:keepNext/>
      <w:keepLines/>
      <w:spacing w:line="576" w:lineRule="auto"/>
      <w:outlineLvl w:val="0"/>
    </w:pPr>
    <w:rPr>
      <w:b/>
      <w:kern w:val="44"/>
      <w:sz w:val="44"/>
    </w:rPr>
  </w:style>
  <w:style w:type="paragraph" w:styleId="4">
    <w:name w:val="heading 2"/>
    <w:basedOn w:val="5"/>
    <w:next w:val="1"/>
    <w:semiHidden/>
    <w:unhideWhenUsed/>
    <w:qFormat/>
    <w:uiPriority w:val="0"/>
    <w:pPr>
      <w:spacing w:beforeAutospacing="1" w:afterAutospacing="1"/>
      <w:jc w:val="left"/>
      <w:outlineLvl w:val="1"/>
    </w:pPr>
    <w:rPr>
      <w:rFonts w:hint="eastAsia" w:ascii="宋体" w:hAnsi="宋体"/>
      <w:bCs/>
      <w:kern w:val="0"/>
      <w:sz w:val="36"/>
      <w:szCs w:val="36"/>
    </w:rPr>
  </w:style>
  <w:style w:type="paragraph" w:styleId="6">
    <w:name w:val="heading 3"/>
    <w:basedOn w:val="1"/>
    <w:next w:val="1"/>
    <w:qFormat/>
    <w:uiPriority w:val="0"/>
    <w:pPr>
      <w:keepNext/>
      <w:keepLines/>
      <w:spacing w:line="416" w:lineRule="auto"/>
      <w:outlineLvl w:val="2"/>
    </w:pPr>
    <w:rPr>
      <w:b/>
      <w:bCs/>
      <w:sz w:val="32"/>
      <w:szCs w:val="32"/>
    </w:rPr>
  </w:style>
  <w:style w:type="paragraph" w:styleId="7">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style>
  <w:style w:type="paragraph" w:styleId="5">
    <w:name w:val="Title"/>
    <w:basedOn w:val="1"/>
    <w:qFormat/>
    <w:uiPriority w:val="10"/>
    <w:pPr>
      <w:spacing w:before="240" w:after="60"/>
      <w:jc w:val="center"/>
      <w:outlineLvl w:val="0"/>
    </w:pPr>
    <w:rPr>
      <w:rFonts w:ascii="Arial" w:hAnsi="Arial"/>
      <w:b/>
      <w:sz w:val="32"/>
    </w:rPr>
  </w:style>
  <w:style w:type="paragraph" w:styleId="8">
    <w:name w:val="Normal Indent"/>
    <w:basedOn w:val="1"/>
    <w:qFormat/>
    <w:uiPriority w:val="0"/>
    <w:pPr>
      <w:ind w:firstLine="420"/>
    </w:pPr>
  </w:style>
  <w:style w:type="paragraph" w:styleId="9">
    <w:name w:val="Document Map"/>
    <w:basedOn w:val="1"/>
    <w:semiHidden/>
    <w:qFormat/>
    <w:uiPriority w:val="0"/>
    <w:pPr>
      <w:shd w:val="clear" w:color="auto" w:fill="000080"/>
    </w:pPr>
  </w:style>
  <w:style w:type="paragraph" w:styleId="10">
    <w:name w:val="annotation text"/>
    <w:basedOn w:val="1"/>
    <w:link w:val="71"/>
    <w:qFormat/>
    <w:uiPriority w:val="0"/>
    <w:pPr>
      <w:jc w:val="left"/>
    </w:pPr>
  </w:style>
  <w:style w:type="paragraph" w:styleId="11">
    <w:name w:val="Body Text Indent"/>
    <w:basedOn w:val="1"/>
    <w:next w:val="12"/>
    <w:qFormat/>
    <w:uiPriority w:val="0"/>
    <w:pPr>
      <w:spacing w:after="120"/>
      <w:ind w:left="420" w:leftChars="200"/>
    </w:pPr>
    <w:rPr>
      <w:szCs w:val="24"/>
    </w:rPr>
  </w:style>
  <w:style w:type="paragraph" w:styleId="12">
    <w:name w:val="toc 3"/>
    <w:basedOn w:val="1"/>
    <w:next w:val="1"/>
    <w:unhideWhenUsed/>
    <w:qFormat/>
    <w:uiPriority w:val="39"/>
    <w:pPr>
      <w:ind w:left="840" w:leftChars="400"/>
    </w:pPr>
  </w:style>
  <w:style w:type="paragraph" w:styleId="13">
    <w:name w:val="Plain Text"/>
    <w:basedOn w:val="1"/>
    <w:qFormat/>
    <w:uiPriority w:val="0"/>
    <w:pPr>
      <w:autoSpaceDE w:val="0"/>
      <w:autoSpaceDN w:val="0"/>
      <w:adjustRightInd w:val="0"/>
      <w:jc w:val="left"/>
    </w:pPr>
    <w:rPr>
      <w:szCs w:val="24"/>
    </w:rPr>
  </w:style>
  <w:style w:type="paragraph" w:styleId="14">
    <w:name w:val="Body Text Indent 2"/>
    <w:basedOn w:val="1"/>
    <w:next w:val="1"/>
    <w:qFormat/>
    <w:uiPriority w:val="0"/>
    <w:pPr>
      <w:widowControl/>
      <w:ind w:firstLine="430"/>
      <w:jc w:val="left"/>
    </w:pPr>
    <w:rPr>
      <w:kern w:val="0"/>
      <w:sz w:val="24"/>
      <w:szCs w:val="20"/>
    </w:rPr>
  </w:style>
  <w:style w:type="paragraph" w:styleId="15">
    <w:name w:val="Balloon Text"/>
    <w:basedOn w:val="1"/>
    <w:link w:val="73"/>
    <w:qFormat/>
    <w:uiPriority w:val="0"/>
    <w:rPr>
      <w:sz w:val="18"/>
      <w:szCs w:val="18"/>
    </w:rPr>
  </w:style>
  <w:style w:type="paragraph" w:styleId="16">
    <w:name w:val="footer"/>
    <w:basedOn w:val="1"/>
    <w:link w:val="58"/>
    <w:qFormat/>
    <w:uiPriority w:val="0"/>
    <w:pPr>
      <w:tabs>
        <w:tab w:val="center" w:pos="4153"/>
        <w:tab w:val="right" w:pos="8306"/>
      </w:tabs>
      <w:snapToGrid w:val="0"/>
      <w:jc w:val="left"/>
    </w:pPr>
    <w:rPr>
      <w:sz w:val="18"/>
    </w:rPr>
  </w:style>
  <w:style w:type="paragraph" w:styleId="17">
    <w:name w:val="header"/>
    <w:basedOn w:val="1"/>
    <w:link w:val="57"/>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8">
    <w:name w:val="toc 1"/>
    <w:basedOn w:val="1"/>
    <w:next w:val="1"/>
    <w:qFormat/>
    <w:uiPriority w:val="0"/>
    <w:pPr>
      <w:tabs>
        <w:tab w:val="right" w:leader="dot" w:pos="8720"/>
      </w:tabs>
      <w:jc w:val="center"/>
    </w:pPr>
    <w:rPr>
      <w:rFonts w:ascii="宋体" w:hAnsi="宋体"/>
      <w:caps/>
      <w:sz w:val="32"/>
      <w:szCs w:val="44"/>
    </w:rPr>
  </w:style>
  <w:style w:type="paragraph" w:styleId="19">
    <w:name w:val="List"/>
    <w:basedOn w:val="1"/>
    <w:qFormat/>
    <w:uiPriority w:val="0"/>
    <w:pPr>
      <w:spacing w:before="80" w:after="80" w:line="480" w:lineRule="atLeast"/>
      <w:jc w:val="center"/>
    </w:pPr>
    <w:rPr>
      <w:rFonts w:ascii="黑体" w:eastAsia="黑体"/>
      <w:sz w:val="24"/>
    </w:rPr>
  </w:style>
  <w:style w:type="paragraph" w:styleId="20">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21">
    <w:name w:val="annotation subject"/>
    <w:basedOn w:val="10"/>
    <w:next w:val="10"/>
    <w:link w:val="72"/>
    <w:qFormat/>
    <w:uiPriority w:val="0"/>
    <w:rPr>
      <w:b/>
      <w:bCs/>
    </w:rPr>
  </w:style>
  <w:style w:type="paragraph" w:styleId="22">
    <w:name w:val="Body Text First Indent"/>
    <w:basedOn w:val="1"/>
    <w:qFormat/>
    <w:uiPriority w:val="0"/>
    <w:pPr>
      <w:ind w:firstLine="420" w:firstLineChars="100"/>
    </w:pPr>
  </w:style>
  <w:style w:type="paragraph" w:styleId="23">
    <w:name w:val="Body Text First Indent 2"/>
    <w:basedOn w:val="11"/>
    <w:next w:val="1"/>
    <w:qFormat/>
    <w:uiPriority w:val="0"/>
    <w:pPr>
      <w:ind w:firstLine="420" w:firstLineChars="200"/>
    </w:p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page number"/>
    <w:basedOn w:val="26"/>
    <w:qFormat/>
    <w:uiPriority w:val="0"/>
  </w:style>
  <w:style w:type="character" w:styleId="28">
    <w:name w:val="FollowedHyperlink"/>
    <w:basedOn w:val="26"/>
    <w:qFormat/>
    <w:uiPriority w:val="0"/>
    <w:rPr>
      <w:color w:val="954F72"/>
      <w:u w:val="single"/>
    </w:rPr>
  </w:style>
  <w:style w:type="character" w:styleId="29">
    <w:name w:val="Hyperlink"/>
    <w:basedOn w:val="26"/>
    <w:qFormat/>
    <w:uiPriority w:val="0"/>
    <w:rPr>
      <w:color w:val="0000FF"/>
      <w:u w:val="single"/>
    </w:rPr>
  </w:style>
  <w:style w:type="character" w:styleId="30">
    <w:name w:val="annotation reference"/>
    <w:basedOn w:val="26"/>
    <w:semiHidden/>
    <w:qFormat/>
    <w:uiPriority w:val="0"/>
    <w:rPr>
      <w:sz w:val="21"/>
    </w:rPr>
  </w:style>
  <w:style w:type="paragraph" w:customStyle="1" w:styleId="31">
    <w:name w:val="表格"/>
    <w:basedOn w:val="1"/>
    <w:next w:val="1"/>
    <w:qFormat/>
    <w:uiPriority w:val="0"/>
    <w:pPr>
      <w:adjustRightInd w:val="0"/>
      <w:snapToGrid w:val="0"/>
      <w:spacing w:beforeLines="10" w:afterLines="10" w:line="259" w:lineRule="auto"/>
      <w:jc w:val="center"/>
    </w:pPr>
    <w:rPr>
      <w:rFonts w:ascii="宋体"/>
      <w:kern w:val="0"/>
    </w:rPr>
  </w:style>
  <w:style w:type="paragraph" w:customStyle="1" w:styleId="32">
    <w:name w:val="xl27"/>
    <w:basedOn w:val="1"/>
    <w:next w:val="14"/>
    <w:qFormat/>
    <w:uiPriority w:val="0"/>
    <w:pPr>
      <w:widowControl/>
      <w:pBdr>
        <w:bottom w:val="single" w:color="auto" w:sz="4" w:space="0"/>
        <w:right w:val="single" w:color="auto" w:sz="4" w:space="0"/>
      </w:pBdr>
      <w:spacing w:beforeAutospacing="1" w:afterAutospacing="1"/>
      <w:jc w:val="center"/>
    </w:pPr>
    <w:rPr>
      <w:kern w:val="0"/>
      <w:szCs w:val="21"/>
    </w:rPr>
  </w:style>
  <w:style w:type="paragraph" w:customStyle="1" w:styleId="33">
    <w:name w:val="Char Char Char"/>
    <w:basedOn w:val="9"/>
    <w:qFormat/>
    <w:uiPriority w:val="0"/>
    <w:pPr>
      <w:adjustRightInd w:val="0"/>
      <w:spacing w:line="436" w:lineRule="exact"/>
      <w:ind w:left="357"/>
      <w:jc w:val="left"/>
      <w:outlineLvl w:val="3"/>
    </w:pPr>
    <w:rPr>
      <w:szCs w:val="24"/>
    </w:rPr>
  </w:style>
  <w:style w:type="paragraph" w:customStyle="1" w:styleId="34">
    <w:name w:val="正文1"/>
    <w:basedOn w:val="1"/>
    <w:next w:val="1"/>
    <w:qFormat/>
    <w:uiPriority w:val="0"/>
    <w:pPr>
      <w:widowControl/>
      <w:spacing w:line="360" w:lineRule="auto"/>
      <w:ind w:firstLine="482"/>
    </w:pPr>
    <w:rPr>
      <w:kern w:val="0"/>
      <w:sz w:val="24"/>
    </w:rPr>
  </w:style>
  <w:style w:type="paragraph" w:customStyle="1" w:styleId="35">
    <w:name w:val="Default"/>
    <w:basedOn w:val="36"/>
    <w:next w:val="1"/>
    <w:qFormat/>
    <w:uiPriority w:val="0"/>
    <w:pPr>
      <w:autoSpaceDE w:val="0"/>
      <w:autoSpaceDN w:val="0"/>
    </w:pPr>
    <w:rPr>
      <w:rFonts w:hAnsi="Times New Roman"/>
      <w:color w:val="000000"/>
      <w:sz w:val="24"/>
      <w:szCs w:val="24"/>
    </w:rPr>
  </w:style>
  <w:style w:type="paragraph" w:customStyle="1" w:styleId="36">
    <w:name w:val="纯文本1"/>
    <w:basedOn w:val="1"/>
    <w:qFormat/>
    <w:uiPriority w:val="0"/>
    <w:pPr>
      <w:adjustRightInd w:val="0"/>
      <w:textAlignment w:val="baseline"/>
    </w:pPr>
    <w:rPr>
      <w:rFonts w:ascii="宋体" w:hAnsi="Courier New"/>
    </w:rPr>
  </w:style>
  <w:style w:type="paragraph" w:customStyle="1" w:styleId="37">
    <w:name w:val="正文（用）"/>
    <w:basedOn w:val="1"/>
    <w:qFormat/>
    <w:uiPriority w:val="0"/>
    <w:pPr>
      <w:spacing w:line="360" w:lineRule="auto"/>
      <w:ind w:firstLine="480" w:firstLineChars="200"/>
      <w:jc w:val="left"/>
    </w:pPr>
    <w:rPr>
      <w:rFonts w:ascii="宋体" w:hAnsi="宋体" w:cs="宋体"/>
      <w:sz w:val="24"/>
      <w:szCs w:val="24"/>
    </w:rPr>
  </w:style>
  <w:style w:type="paragraph" w:customStyle="1" w:styleId="38">
    <w:name w:val="表标题"/>
    <w:basedOn w:val="1"/>
    <w:qFormat/>
    <w:uiPriority w:val="0"/>
    <w:pPr>
      <w:jc w:val="center"/>
    </w:pPr>
    <w:rPr>
      <w:b/>
      <w:kern w:val="0"/>
    </w:rPr>
  </w:style>
  <w:style w:type="paragraph" w:customStyle="1" w:styleId="39">
    <w:name w:val="表格题注"/>
    <w:qFormat/>
    <w:uiPriority w:val="0"/>
    <w:pPr>
      <w:jc w:val="center"/>
    </w:pPr>
    <w:rPr>
      <w:rFonts w:ascii="Times New Roman" w:hAnsi="Times New Roman" w:eastAsia="宋体" w:cs="Times New Roman"/>
      <w:b/>
      <w:sz w:val="21"/>
      <w:szCs w:val="24"/>
      <w:lang w:val="en-US" w:eastAsia="zh-CN" w:bidi="ar-SA"/>
    </w:rPr>
  </w:style>
  <w:style w:type="paragraph" w:customStyle="1" w:styleId="40">
    <w:name w:val="表格文字"/>
    <w:basedOn w:val="1"/>
    <w:next w:val="1"/>
    <w:qFormat/>
    <w:uiPriority w:val="0"/>
    <w:pPr>
      <w:jc w:val="center"/>
    </w:pPr>
    <w:rPr>
      <w:szCs w:val="21"/>
    </w:rPr>
  </w:style>
  <w:style w:type="paragraph" w:customStyle="1" w:styleId="41">
    <w:name w:val="南车正文"/>
    <w:basedOn w:val="22"/>
    <w:qFormat/>
    <w:uiPriority w:val="0"/>
    <w:pPr>
      <w:overflowPunct w:val="0"/>
      <w:autoSpaceDE w:val="0"/>
      <w:autoSpaceDN w:val="0"/>
      <w:adjustRightInd w:val="0"/>
      <w:snapToGrid w:val="0"/>
      <w:spacing w:line="360" w:lineRule="auto"/>
      <w:ind w:right="17" w:rightChars="8" w:firstLine="480" w:firstLineChars="200"/>
      <w:jc w:val="left"/>
      <w:textAlignment w:val="baseline"/>
    </w:pPr>
    <w:rPr>
      <w:rFonts w:cs="宋体"/>
      <w:sz w:val="24"/>
    </w:rPr>
  </w:style>
  <w:style w:type="paragraph" w:customStyle="1" w:styleId="42">
    <w:name w:val="正文缩进1"/>
    <w:basedOn w:val="1"/>
    <w:qFormat/>
    <w:uiPriority w:val="0"/>
    <w:pPr>
      <w:ind w:firstLine="420"/>
    </w:pPr>
    <w:rPr>
      <w:sz w:val="24"/>
    </w:rPr>
  </w:style>
  <w:style w:type="paragraph" w:customStyle="1" w:styleId="43">
    <w:name w:val="表文字"/>
    <w:basedOn w:val="1"/>
    <w:qFormat/>
    <w:uiPriority w:val="0"/>
    <w:pPr>
      <w:jc w:val="center"/>
    </w:pPr>
    <w:rPr>
      <w:kern w:val="10"/>
    </w:rPr>
  </w:style>
  <w:style w:type="paragraph" w:customStyle="1" w:styleId="44">
    <w:name w:val="表头 Char Char"/>
    <w:basedOn w:val="1"/>
    <w:qFormat/>
    <w:uiPriority w:val="0"/>
    <w:pPr>
      <w:tabs>
        <w:tab w:val="left" w:pos="795"/>
        <w:tab w:val="left" w:pos="2730"/>
      </w:tabs>
      <w:jc w:val="center"/>
    </w:pPr>
    <w:rPr>
      <w:b/>
      <w:bCs/>
      <w:color w:val="000000"/>
      <w:kern w:val="24"/>
      <w:sz w:val="24"/>
      <w:szCs w:val="24"/>
    </w:rPr>
  </w:style>
  <w:style w:type="paragraph" w:customStyle="1" w:styleId="45">
    <w:name w:val="正文5"/>
    <w:basedOn w:val="1"/>
    <w:qFormat/>
    <w:uiPriority w:val="99"/>
    <w:pPr>
      <w:widowControl/>
      <w:spacing w:line="360" w:lineRule="auto"/>
      <w:ind w:firstLine="200" w:firstLineChars="200"/>
      <w:jc w:val="left"/>
    </w:pPr>
    <w:rPr>
      <w:rFonts w:cs="宋体"/>
      <w:kern w:val="0"/>
      <w:sz w:val="24"/>
    </w:rPr>
  </w:style>
  <w:style w:type="paragraph" w:customStyle="1" w:styleId="46">
    <w:name w:val="表格字体"/>
    <w:basedOn w:val="1"/>
    <w:qFormat/>
    <w:uiPriority w:val="0"/>
    <w:pPr>
      <w:jc w:val="center"/>
    </w:pPr>
    <w:rPr>
      <w:rFonts w:ascii="Arial" w:hAnsi="Arial"/>
    </w:rPr>
  </w:style>
  <w:style w:type="paragraph" w:customStyle="1" w:styleId="47">
    <w:name w:val="正文首行缩进 2 + Times New Roman"/>
    <w:basedOn w:val="1"/>
    <w:qFormat/>
    <w:uiPriority w:val="0"/>
    <w:pPr>
      <w:widowControl/>
      <w:tabs>
        <w:tab w:val="left" w:pos="0"/>
        <w:tab w:val="left" w:pos="870"/>
        <w:tab w:val="left" w:pos="3150"/>
      </w:tabs>
      <w:autoSpaceDE w:val="0"/>
      <w:autoSpaceDN w:val="0"/>
      <w:spacing w:line="360" w:lineRule="auto"/>
      <w:ind w:firstLine="512" w:firstLineChars="200"/>
      <w:jc w:val="left"/>
    </w:pPr>
    <w:rPr>
      <w:color w:val="000000"/>
      <w:spacing w:val="8"/>
      <w:kern w:val="0"/>
      <w:sz w:val="24"/>
      <w:szCs w:val="21"/>
    </w:rPr>
  </w:style>
  <w:style w:type="character" w:customStyle="1" w:styleId="48">
    <w:name w:val="content1"/>
    <w:basedOn w:val="26"/>
    <w:qFormat/>
    <w:uiPriority w:val="0"/>
    <w:rPr>
      <w:rFonts w:ascii="Times New Roman" w:hAnsi="Times New Roman" w:eastAsia="宋体" w:cs="Times New Roman"/>
      <w:color w:val="000000"/>
      <w:sz w:val="20"/>
      <w:szCs w:val="20"/>
    </w:rPr>
  </w:style>
  <w:style w:type="paragraph" w:customStyle="1" w:styleId="49">
    <w:name w:val="表格中"/>
    <w:basedOn w:val="1"/>
    <w:qFormat/>
    <w:uiPriority w:val="0"/>
    <w:pPr>
      <w:adjustRightInd w:val="0"/>
      <w:snapToGrid w:val="0"/>
      <w:spacing w:line="260" w:lineRule="exact"/>
      <w:jc w:val="center"/>
    </w:pPr>
    <w:rPr>
      <w:rFonts w:ascii="宋体"/>
      <w:sz w:val="18"/>
    </w:rPr>
  </w:style>
  <w:style w:type="paragraph" w:customStyle="1" w:styleId="50">
    <w:name w:val="样式 行距: 固定值 24 磅 首行缩进:  2 字符"/>
    <w:basedOn w:val="1"/>
    <w:qFormat/>
    <w:uiPriority w:val="0"/>
    <w:pPr>
      <w:spacing w:line="480" w:lineRule="exact"/>
      <w:ind w:firstLine="480" w:firstLineChars="200"/>
    </w:pPr>
    <w:rPr>
      <w:rFonts w:cs="宋体"/>
      <w:sz w:val="24"/>
    </w:rPr>
  </w:style>
  <w:style w:type="paragraph" w:customStyle="1" w:styleId="51">
    <w:name w:val="A0正文"/>
    <w:basedOn w:val="1"/>
    <w:qFormat/>
    <w:uiPriority w:val="0"/>
    <w:pPr>
      <w:spacing w:line="360" w:lineRule="auto"/>
      <w:ind w:firstLine="200" w:firstLineChars="200"/>
    </w:pPr>
    <w:rPr>
      <w:rFonts w:cs="宋体"/>
      <w:sz w:val="24"/>
      <w:lang w:val="zh-CN"/>
    </w:rPr>
  </w:style>
  <w:style w:type="paragraph" w:customStyle="1" w:styleId="52">
    <w:name w:val="表格式"/>
    <w:basedOn w:val="1"/>
    <w:qFormat/>
    <w:uiPriority w:val="0"/>
    <w:pPr>
      <w:jc w:val="left"/>
    </w:pPr>
    <w:rPr>
      <w:color w:val="000000"/>
      <w:sz w:val="24"/>
      <w:szCs w:val="21"/>
    </w:rPr>
  </w:style>
  <w:style w:type="paragraph" w:customStyle="1" w:styleId="53">
    <w:name w:val="0正文"/>
    <w:unhideWhenUsed/>
    <w:qFormat/>
    <w:uiPriority w:val="0"/>
    <w:pPr>
      <w:widowControl w:val="0"/>
      <w:spacing w:line="360" w:lineRule="auto"/>
      <w:ind w:firstLine="720" w:firstLineChars="200"/>
    </w:pPr>
    <w:rPr>
      <w:rFonts w:ascii="Calibri" w:hAnsi="Calibri" w:eastAsia="宋体" w:cs="Times New Roman"/>
      <w:sz w:val="24"/>
      <w:szCs w:val="22"/>
      <w:lang w:val="en-US" w:eastAsia="zh-CN" w:bidi="ar-SA"/>
    </w:rPr>
  </w:style>
  <w:style w:type="character" w:customStyle="1" w:styleId="54">
    <w:name w:val="font11"/>
    <w:basedOn w:val="26"/>
    <w:qFormat/>
    <w:uiPriority w:val="0"/>
    <w:rPr>
      <w:rFonts w:hint="default" w:ascii="Times New Roman" w:hAnsi="Times New Roman" w:cs="Times New Roman"/>
      <w:color w:val="000000"/>
      <w:sz w:val="21"/>
      <w:szCs w:val="21"/>
      <w:u w:val="none"/>
      <w:vertAlign w:val="subscript"/>
    </w:rPr>
  </w:style>
  <w:style w:type="paragraph" w:customStyle="1" w:styleId="55">
    <w:name w:val="表格 32"/>
    <w:basedOn w:val="1"/>
    <w:qFormat/>
    <w:uiPriority w:val="0"/>
    <w:pPr>
      <w:autoSpaceDE w:val="0"/>
      <w:autoSpaceDN w:val="0"/>
      <w:adjustRightInd w:val="0"/>
      <w:jc w:val="center"/>
      <w:textAlignment w:val="baseline"/>
    </w:pPr>
    <w:rPr>
      <w:rFonts w:ascii="宋体" w:hAnsi="Impact"/>
      <w:kern w:val="24"/>
      <w:sz w:val="24"/>
    </w:rPr>
  </w:style>
  <w:style w:type="paragraph" w:customStyle="1" w:styleId="56">
    <w:name w:val="正  文"/>
    <w:basedOn w:val="1"/>
    <w:next w:val="1"/>
    <w:qFormat/>
    <w:uiPriority w:val="0"/>
    <w:pPr>
      <w:spacing w:line="360" w:lineRule="auto"/>
      <w:ind w:firstLine="560" w:firstLineChars="200"/>
    </w:pPr>
    <w:rPr>
      <w:rFonts w:ascii="宋体" w:hAnsi="宋体" w:cs="仿宋_GB2312"/>
      <w:sz w:val="24"/>
      <w:szCs w:val="28"/>
    </w:rPr>
  </w:style>
  <w:style w:type="character" w:customStyle="1" w:styleId="57">
    <w:name w:val="页眉 字符"/>
    <w:basedOn w:val="26"/>
    <w:link w:val="17"/>
    <w:qFormat/>
    <w:uiPriority w:val="0"/>
  </w:style>
  <w:style w:type="character" w:customStyle="1" w:styleId="58">
    <w:name w:val="页脚 字符"/>
    <w:basedOn w:val="26"/>
    <w:link w:val="16"/>
    <w:qFormat/>
    <w:uiPriority w:val="0"/>
  </w:style>
  <w:style w:type="paragraph" w:customStyle="1" w:styleId="59">
    <w:name w:val="Table Paragraph"/>
    <w:basedOn w:val="1"/>
    <w:unhideWhenUsed/>
    <w:qFormat/>
    <w:uiPriority w:val="1"/>
    <w:rPr>
      <w:sz w:val="24"/>
    </w:rPr>
  </w:style>
  <w:style w:type="paragraph" w:customStyle="1" w:styleId="60">
    <w:name w:val="四级条标题"/>
    <w:basedOn w:val="61"/>
    <w:next w:val="65"/>
    <w:qFormat/>
    <w:uiPriority w:val="0"/>
    <w:pPr>
      <w:tabs>
        <w:tab w:val="left" w:pos="1260"/>
      </w:tabs>
      <w:outlineLvl w:val="5"/>
    </w:pPr>
    <w:rPr>
      <w:szCs w:val="20"/>
    </w:rPr>
  </w:style>
  <w:style w:type="paragraph" w:customStyle="1" w:styleId="61">
    <w:name w:val="三级条标题"/>
    <w:basedOn w:val="62"/>
    <w:next w:val="65"/>
    <w:qFormat/>
    <w:uiPriority w:val="0"/>
    <w:pPr>
      <w:numPr>
        <w:numId w:val="0"/>
      </w:numPr>
      <w:tabs>
        <w:tab w:val="left" w:pos="1260"/>
      </w:tabs>
      <w:outlineLvl w:val="4"/>
    </w:pPr>
  </w:style>
  <w:style w:type="paragraph" w:customStyle="1" w:styleId="62">
    <w:name w:val="二级条标题"/>
    <w:basedOn w:val="63"/>
    <w:next w:val="65"/>
    <w:qFormat/>
    <w:uiPriority w:val="0"/>
    <w:pPr>
      <w:numPr>
        <w:ilvl w:val="3"/>
      </w:numPr>
      <w:tabs>
        <w:tab w:val="left" w:pos="1260"/>
      </w:tabs>
      <w:outlineLvl w:val="3"/>
    </w:pPr>
  </w:style>
  <w:style w:type="paragraph" w:customStyle="1" w:styleId="63">
    <w:name w:val="一级条标题"/>
    <w:basedOn w:val="64"/>
    <w:next w:val="65"/>
    <w:qFormat/>
    <w:uiPriority w:val="0"/>
    <w:pPr>
      <w:numPr>
        <w:ilvl w:val="2"/>
        <w:numId w:val="1"/>
      </w:numPr>
      <w:spacing w:beforeLines="0" w:afterLines="0"/>
      <w:outlineLvl w:val="2"/>
    </w:pPr>
  </w:style>
  <w:style w:type="paragraph" w:customStyle="1" w:styleId="64">
    <w:name w:val="章标题"/>
    <w:next w:val="65"/>
    <w:qFormat/>
    <w:uiPriority w:val="0"/>
    <w:pPr>
      <w:spacing w:beforeLines="50" w:afterLines="50"/>
      <w:jc w:val="both"/>
      <w:outlineLvl w:val="1"/>
    </w:pPr>
    <w:rPr>
      <w:rFonts w:ascii="黑体" w:hAnsi="Calibri" w:eastAsia="黑体" w:cs="Times New Roman"/>
      <w:sz w:val="21"/>
      <w:szCs w:val="22"/>
      <w:lang w:val="en-US" w:eastAsia="zh-CN" w:bidi="ar-SA"/>
    </w:rPr>
  </w:style>
  <w:style w:type="paragraph" w:customStyle="1" w:styleId="65">
    <w:name w:val="段"/>
    <w:qFormat/>
    <w:uiPriority w:val="0"/>
    <w:pPr>
      <w:autoSpaceDE w:val="0"/>
      <w:autoSpaceDN w:val="0"/>
      <w:ind w:firstLine="200" w:firstLineChars="200"/>
      <w:jc w:val="both"/>
    </w:pPr>
    <w:rPr>
      <w:rFonts w:ascii="宋体" w:hAnsi="Calibri" w:eastAsia="宋体" w:cs="Times New Roman"/>
      <w:sz w:val="21"/>
      <w:szCs w:val="22"/>
      <w:lang w:val="en-US" w:eastAsia="zh-CN" w:bidi="ar-SA"/>
    </w:rPr>
  </w:style>
  <w:style w:type="paragraph" w:customStyle="1" w:styleId="66">
    <w:name w:val="5文章(治)"/>
    <w:basedOn w:val="1"/>
    <w:qFormat/>
    <w:uiPriority w:val="0"/>
    <w:pPr>
      <w:spacing w:line="500" w:lineRule="exact"/>
      <w:ind w:firstLine="560" w:firstLineChars="200"/>
    </w:pPr>
    <w:rPr>
      <w:rFonts w:hAnsi="宋体"/>
      <w:color w:val="0000FF"/>
      <w:kern w:val="28"/>
    </w:rPr>
  </w:style>
  <w:style w:type="paragraph" w:customStyle="1" w:styleId="67">
    <w:name w:val="样式 方正仿宋_GBK 三号 行距: 固定值 28 磅"/>
    <w:basedOn w:val="1"/>
    <w:qFormat/>
    <w:uiPriority w:val="0"/>
    <w:pPr>
      <w:spacing w:line="360" w:lineRule="auto"/>
      <w:ind w:firstLine="200" w:firstLineChars="200"/>
      <w:jc w:val="left"/>
    </w:pPr>
    <w:rPr>
      <w:rFonts w:ascii="方正仿宋_GBK" w:hAnsi="方正仿宋_GBK" w:cs="宋体"/>
      <w:sz w:val="28"/>
    </w:rPr>
  </w:style>
  <w:style w:type="character" w:customStyle="1" w:styleId="68">
    <w:name w:val="标题 1 字符"/>
    <w:link w:val="3"/>
    <w:qFormat/>
    <w:uiPriority w:val="0"/>
    <w:rPr>
      <w:b/>
      <w:kern w:val="44"/>
      <w:sz w:val="44"/>
    </w:rPr>
  </w:style>
  <w:style w:type="paragraph" w:customStyle="1" w:styleId="69">
    <w:name w:val="样式 样式 行距: 1.5 倍行距 首行缩进:  2 字符 + 首行缩进:  2 字符1"/>
    <w:basedOn w:val="70"/>
    <w:qFormat/>
    <w:uiPriority w:val="0"/>
    <w:pPr>
      <w:ind w:firstLine="420"/>
    </w:pPr>
    <w:rPr>
      <w:rFonts w:cs="Times New Roman"/>
      <w:sz w:val="24"/>
    </w:rPr>
  </w:style>
  <w:style w:type="paragraph" w:customStyle="1" w:styleId="70">
    <w:name w:val="样式 行距: 1.5 倍行距 首行缩进:  2 字符"/>
    <w:basedOn w:val="1"/>
    <w:qFormat/>
    <w:uiPriority w:val="0"/>
    <w:pPr>
      <w:spacing w:line="360" w:lineRule="auto"/>
      <w:ind w:firstLine="480" w:firstLineChars="200"/>
    </w:pPr>
    <w:rPr>
      <w:rFonts w:cs="宋体"/>
    </w:rPr>
  </w:style>
  <w:style w:type="character" w:customStyle="1" w:styleId="71">
    <w:name w:val="批注文字 字符"/>
    <w:basedOn w:val="26"/>
    <w:link w:val="10"/>
    <w:qFormat/>
    <w:uiPriority w:val="0"/>
    <w:rPr>
      <w:kern w:val="2"/>
      <w:sz w:val="21"/>
    </w:rPr>
  </w:style>
  <w:style w:type="character" w:customStyle="1" w:styleId="72">
    <w:name w:val="批注主题 字符"/>
    <w:basedOn w:val="71"/>
    <w:link w:val="21"/>
    <w:qFormat/>
    <w:uiPriority w:val="0"/>
    <w:rPr>
      <w:kern w:val="2"/>
      <w:sz w:val="21"/>
    </w:rPr>
  </w:style>
  <w:style w:type="character" w:customStyle="1" w:styleId="73">
    <w:name w:val="批注框文本 字符"/>
    <w:basedOn w:val="26"/>
    <w:link w:val="15"/>
    <w:qFormat/>
    <w:uiPriority w:val="0"/>
    <w:rPr>
      <w:kern w:val="2"/>
      <w:sz w:val="18"/>
      <w:szCs w:val="18"/>
    </w:rPr>
  </w:style>
  <w:style w:type="character" w:customStyle="1" w:styleId="74">
    <w:name w:val="h1title"/>
    <w:basedOn w:val="26"/>
    <w:qFormat/>
    <w:uiPriority w:val="0"/>
  </w:style>
  <w:style w:type="paragraph" w:customStyle="1" w:styleId="75">
    <w:name w:val="CM58"/>
    <w:basedOn w:val="1"/>
    <w:next w:val="1"/>
    <w:qFormat/>
    <w:uiPriority w:val="99"/>
    <w:pPr>
      <w:autoSpaceDE w:val="0"/>
      <w:autoSpaceDN w:val="0"/>
      <w:adjustRightInd w:val="0"/>
      <w:jc w:val="left"/>
    </w:pPr>
    <w:rPr>
      <w:rFonts w:ascii="宋体" w:hAnsi="Calibri"/>
      <w:kern w:val="0"/>
      <w:szCs w:val="24"/>
    </w:rPr>
  </w:style>
  <w:style w:type="paragraph" w:customStyle="1" w:styleId="76">
    <w:name w:val="CM20"/>
    <w:basedOn w:val="35"/>
    <w:next w:val="35"/>
    <w:qFormat/>
    <w:uiPriority w:val="99"/>
    <w:pPr>
      <w:spacing w:line="468" w:lineRule="atLeast"/>
    </w:pPr>
    <w:rPr>
      <w:rFonts w:hAnsi="Calibri"/>
      <w:color w:val="auto"/>
    </w:rPr>
  </w:style>
  <w:style w:type="paragraph" w:customStyle="1" w:styleId="77">
    <w:name w:val="CM24"/>
    <w:basedOn w:val="35"/>
    <w:next w:val="35"/>
    <w:qFormat/>
    <w:uiPriority w:val="99"/>
    <w:pPr>
      <w:spacing w:line="468" w:lineRule="atLeast"/>
    </w:pPr>
    <w:rPr>
      <w:rFonts w:hAnsi="Calibri"/>
      <w:color w:val="auto"/>
    </w:rPr>
  </w:style>
  <w:style w:type="paragraph" w:customStyle="1" w:styleId="78">
    <w:name w:val="CM21"/>
    <w:basedOn w:val="35"/>
    <w:next w:val="35"/>
    <w:qFormat/>
    <w:uiPriority w:val="99"/>
    <w:pPr>
      <w:spacing w:line="468" w:lineRule="atLeast"/>
    </w:pPr>
    <w:rPr>
      <w:rFonts w:hAnsi="Calibri"/>
      <w:color w:val="auto"/>
    </w:rPr>
  </w:style>
  <w:style w:type="paragraph" w:customStyle="1" w:styleId="79">
    <w:name w:val="CM57"/>
    <w:basedOn w:val="35"/>
    <w:next w:val="35"/>
    <w:qFormat/>
    <w:uiPriority w:val="99"/>
    <w:rPr>
      <w:rFonts w:hAnsi="Calibri"/>
      <w:color w:val="auto"/>
    </w:rPr>
  </w:style>
  <w:style w:type="paragraph" w:customStyle="1" w:styleId="80">
    <w:name w:val="Body text|1"/>
    <w:basedOn w:val="1"/>
    <w:qFormat/>
    <w:uiPriority w:val="0"/>
    <w:pPr>
      <w:spacing w:line="406" w:lineRule="auto"/>
      <w:ind w:firstLine="400"/>
    </w:pPr>
    <w:rPr>
      <w:rFonts w:ascii="宋体" w:hAnsi="宋体" w:cs="宋体"/>
      <w:lang w:val="zh-TW" w:eastAsia="zh-TW" w:bidi="zh-TW"/>
    </w:rPr>
  </w:style>
  <w:style w:type="paragraph" w:customStyle="1" w:styleId="81">
    <w:name w:val="Heading #3|1"/>
    <w:basedOn w:val="1"/>
    <w:qFormat/>
    <w:uiPriority w:val="0"/>
    <w:pPr>
      <w:spacing w:after="80"/>
      <w:ind w:firstLine="240"/>
      <w:outlineLvl w:val="2"/>
    </w:pPr>
    <w:rPr>
      <w:rFonts w:ascii="宋体" w:hAnsi="宋体" w:cs="宋体"/>
      <w:sz w:val="26"/>
      <w:szCs w:val="26"/>
      <w:lang w:val="zh-TW" w:eastAsia="zh-TW" w:bidi="zh-TW"/>
    </w:rPr>
  </w:style>
  <w:style w:type="paragraph" w:customStyle="1" w:styleId="82">
    <w:name w:val="Header or footer|1"/>
    <w:basedOn w:val="1"/>
    <w:qFormat/>
    <w:uiPriority w:val="0"/>
    <w:rPr>
      <w:rFonts w:ascii="宋体" w:hAnsi="宋体" w:cs="宋体"/>
      <w:sz w:val="17"/>
      <w:szCs w:val="17"/>
      <w:lang w:val="zh-TW" w:eastAsia="zh-TW" w:bidi="zh-TW"/>
    </w:rPr>
  </w:style>
  <w:style w:type="paragraph" w:customStyle="1" w:styleId="83">
    <w:name w:val="Other|1"/>
    <w:basedOn w:val="1"/>
    <w:qFormat/>
    <w:uiPriority w:val="0"/>
    <w:pPr>
      <w:spacing w:line="276" w:lineRule="auto"/>
      <w:ind w:firstLine="400"/>
    </w:pPr>
    <w:rPr>
      <w:rFonts w:ascii="宋体" w:hAnsi="宋体" w:cs="宋体"/>
      <w:lang w:val="zh-TW" w:eastAsia="zh-TW" w:bidi="zh-TW"/>
    </w:rPr>
  </w:style>
  <w:style w:type="paragraph" w:customStyle="1" w:styleId="84">
    <w:name w:val="Body text|3"/>
    <w:basedOn w:val="1"/>
    <w:uiPriority w:val="0"/>
    <w:pPr>
      <w:spacing w:line="315" w:lineRule="exact"/>
    </w:pPr>
    <w:rPr>
      <w:rFonts w:ascii="宋体" w:hAnsi="宋体" w:cs="宋体"/>
      <w:sz w:val="20"/>
      <w:lang w:val="zh-TW" w:eastAsia="zh-TW" w:bidi="zh-TW"/>
    </w:rPr>
  </w:style>
  <w:style w:type="paragraph" w:customStyle="1" w:styleId="85">
    <w:name w:val="ctrl+~  正文"/>
    <w:basedOn w:val="1"/>
    <w:qFormat/>
    <w:uiPriority w:val="0"/>
    <w:pPr>
      <w:spacing w:line="480" w:lineRule="exact"/>
      <w:ind w:firstLine="480" w:firstLineChars="200"/>
    </w:pPr>
    <w:rPr>
      <w:rFonts w:eastAsia="Times New Roman"/>
      <w:sz w:val="24"/>
    </w:rPr>
  </w:style>
  <w:style w:type="paragraph" w:customStyle="1" w:styleId="86">
    <w:name w:val="表字体"/>
    <w:basedOn w:val="1"/>
    <w:next w:val="1"/>
    <w:qFormat/>
    <w:uiPriority w:val="0"/>
    <w:pPr>
      <w:jc w:val="center"/>
    </w:pPr>
    <w:rPr>
      <w:kern w:val="0"/>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1.emf"/><Relationship Id="rId8" Type="http://schemas.openxmlformats.org/officeDocument/2006/relationships/oleObject" Target="embeddings/Microsoft_Visio_2003-2010___1.vsd"/><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7" Type="http://schemas.microsoft.com/office/2011/relationships/people" Target="people.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emf"/><Relationship Id="rId10" Type="http://schemas.openxmlformats.org/officeDocument/2006/relationships/oleObject" Target="embeddings/Microsoft_Visio_2003-2010___2.vsd"/><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66</Pages>
  <Words>6436</Words>
  <Characters>36688</Characters>
  <Lines>305</Lines>
  <Paragraphs>86</Paragraphs>
  <TotalTime>0</TotalTime>
  <ScaleCrop>false</ScaleCrop>
  <LinksUpToDate>false</LinksUpToDate>
  <CharactersWithSpaces>43038</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2021-05-20T00:53:00Z</dcterms:created>
  <dc:creator>影子、浅笑</dc:creator>
  <cp:lastModifiedBy>影子、浅笑</cp:lastModifiedBy>
  <cp:lastPrinted>2021-10-22T07:18:00Z</cp:lastPrinted>
  <dcterms:modified xsi:type="dcterms:W3CDTF">2021-12-03T05:55:15Z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0650DC0C5EBD4A49A7E30B03D7B70566</vt:lpwstr>
  </property>
</Properties>
</file>