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top"/>
        <w:rPr>
          <w:rFonts w:hint="eastAsia" w:ascii="宋体" w:hAnsi="宋体" w:eastAsia="宋体" w:cs="宋体"/>
          <w:b w:val="0"/>
          <w:bCs/>
          <w:kern w:val="2"/>
          <w:sz w:val="36"/>
        </w:rPr>
      </w:pPr>
      <w:r>
        <w:rPr>
          <w:rFonts w:hint="eastAsia" w:eastAsia="黑体"/>
          <w:b/>
          <w:kern w:val="2"/>
          <w:sz w:val="36"/>
        </w:rPr>
        <w:t xml:space="preserve">              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top"/>
        <w:rPr>
          <w:rFonts w:hint="eastAsia" w:ascii="宋体" w:hAnsi="宋体" w:eastAsia="宋体" w:cs="宋体"/>
          <w:b w:val="0"/>
          <w:bCs/>
          <w:kern w:val="2"/>
          <w:sz w:val="36"/>
        </w:rPr>
      </w:pP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top"/>
        <w:rPr>
          <w:rFonts w:hint="eastAsia" w:ascii="宋体" w:hAnsi="宋体" w:eastAsia="宋体" w:cs="宋体"/>
          <w:b w:val="0"/>
          <w:bCs/>
          <w:kern w:val="2"/>
          <w:sz w:val="36"/>
        </w:rPr>
      </w:pP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top"/>
        <w:rPr>
          <w:rFonts w:hint="eastAsia" w:eastAsia="黑体"/>
          <w:b/>
          <w:kern w:val="2"/>
          <w:sz w:val="21"/>
          <w:szCs w:val="21"/>
        </w:rPr>
      </w:pPr>
      <w:r>
        <w:rPr>
          <w:rFonts w:hint="eastAsia" w:eastAsia="黑体"/>
          <w:b/>
          <w:kern w:val="2"/>
          <w:sz w:val="36"/>
        </w:rPr>
        <w:t xml:space="preserve">     </w:t>
      </w:r>
    </w:p>
    <w:p>
      <w:pPr>
        <w:spacing w:line="480" w:lineRule="exact"/>
        <w:ind w:left="300" w:hanging="300" w:hangingChars="1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eastAsia="楷体_GB2312"/>
          <w:color w:val="FF0000"/>
          <w:sz w:val="30"/>
          <w:szCs w:val="30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岳环评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adjustRightInd w:val="0"/>
        <w:snapToGrid w:val="0"/>
        <w:ind w:right="-100" w:rightChars="-50" w:firstLine="0" w:firstLineChars="0"/>
        <w:jc w:val="center"/>
        <w:rPr>
          <w:rFonts w:hint="default" w:ascii="华文中宋" w:hAnsi="华文中宋" w:eastAsia="华文中宋" w:cs="黑体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000000"/>
          <w:sz w:val="36"/>
          <w:szCs w:val="36"/>
        </w:rPr>
        <w:t>关于中国石油化工股份有限公司长岭分公司渣油管式液相FITS加氢侧线项目</w:t>
      </w:r>
      <w:r>
        <w:rPr>
          <w:rFonts w:hint="eastAsia" w:ascii="华文中宋" w:hAnsi="华文中宋" w:eastAsia="华文中宋" w:cs="黑体"/>
          <w:b/>
          <w:color w:val="000000"/>
          <w:sz w:val="36"/>
          <w:szCs w:val="36"/>
          <w:lang w:val="en-US" w:eastAsia="zh-CN"/>
        </w:rPr>
        <w:t>(1000吨/年试验装置)</w:t>
      </w:r>
    </w:p>
    <w:p>
      <w:pPr>
        <w:adjustRightInd w:val="0"/>
        <w:snapToGrid w:val="0"/>
        <w:ind w:right="-100" w:rightChars="-50" w:firstLine="0" w:firstLineChars="0"/>
        <w:jc w:val="center"/>
        <w:rPr>
          <w:rFonts w:hint="eastAsia" w:ascii="华文中宋" w:hAnsi="华文中宋" w:eastAsia="华文中宋" w:cs="黑体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000000"/>
          <w:sz w:val="36"/>
          <w:szCs w:val="36"/>
        </w:rPr>
        <w:t>环境影响报书的批复</w:t>
      </w:r>
    </w:p>
    <w:p>
      <w:pPr>
        <w:pStyle w:val="13"/>
        <w:spacing w:line="480" w:lineRule="exact"/>
        <w:ind w:left="177" w:hanging="177" w:hangingChars="49"/>
        <w:jc w:val="center"/>
        <w:textAlignment w:val="top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中国石油化工股份有限公司长岭分公司：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你公司《关于申请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中国石油化工股份有限公司长岭分公司渣油管式液相FITS加氢侧线项目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(1000吨/年试验装置)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环境影响报书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&gt;环评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批复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的请示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，岳阳市生态环境局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云溪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分局的预审意见及有关附件收悉。经研究，批复如下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一、你公司拟投资2078.64万元（环保投资约25万元）新建中试装置渣油管式液相FITS加氢侧线项目(1000吨/年试验装置)，项目位于170万吨/年渣油加氢装置区内，项目原料来源和产品去向均依托该渣油加氢装置。主要建设内容包括：主体工程为新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1000t/aFITS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加氢侧线试验装置；其他给排水、供配电等公用工程和辅助工程以及废气、废水处理等环保工程均依托公司现有。项目不新增员工，不设食宿。项目主要原辅材料为原料油、氢气、瓷球、硫化剂和各类催化剂，其中原料油、氢气均由现有170万吨/年渣油加氢装置接入，原料油不新增规模,为减压渣油、直馏重蜡油、焦化蜡油的混合油。项目于2018年5月已完成前期小试实验并通过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中石化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总部评议。渣油加氢中试工艺路线为固定床加氢工艺，FITS加氢工艺在反应器入口进行高效油气混合，反应物料自下向上流经催化剂床层，氢气通过微纳米设备的微孔分散后，高度分散到原料油当中，预热器以电为能源，混氢器采用FITS加氢技术。试验装置未单独设置物料分离器，渣油加氢过程中产生的硫化氢和氨混在产品物料中，回到170万吨/年热低压分离器中进行气液分离，废气再进入后续的脱硫脱氨处理。项目建成后可为该渣油加氢处理工艺后期进行工业化、规模化生产提供技术支持。根据湖南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汇环境科技有限公司编制的《中国石油化工股份有限公司长岭分公司渣油管式液相FITS加氢侧线项目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(1000吨/年试验装置)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环境影响报书（报批稿）》基本内容、结论、专家评审意见及岳阳市生态环境局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云溪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分局预审意见，从环境保护角度考虑，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我局原则同意你公司环境影响报告书中所列建设项目的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环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境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影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响评价结论和环境保护对策措施。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二、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项目建设和运营必须全面落实环境影响报告书提出的各项环保措施，并着重做好以下工作：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0"/>
        <w:jc w:val="both"/>
        <w:textAlignment w:val="auto"/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/>
        </w:rPr>
      </w:pPr>
      <w:bookmarkStart w:id="0" w:name="OLE_LINK2"/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项目为工业侧线试验，试验期限不得超过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3年（自建成运行之日起计）。项目不得超过中试规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模进行生产，侧线试验完成后，该试验装置须停止使用。试验期满，如成功转型进行规模生产，须另行办理环评报批；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" w:hAnsi="仿宋" w:eastAsia="仿宋" w:cs="宋体"/>
          <w:sz w:val="32"/>
          <w:szCs w:val="32"/>
        </w:rPr>
        <w:t>施工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期</w:t>
      </w:r>
      <w:r>
        <w:rPr>
          <w:rFonts w:hint="eastAsia" w:ascii="仿宋" w:hAnsi="仿宋" w:eastAsia="仿宋" w:cs="宋体"/>
          <w:sz w:val="32"/>
          <w:szCs w:val="32"/>
        </w:rPr>
        <w:t>环境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宋体"/>
          <w:sz w:val="32"/>
          <w:szCs w:val="32"/>
        </w:rPr>
        <w:t>工作。加强施工期环境管理，优化施工工艺，科学施工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避免</w:t>
      </w:r>
      <w:r>
        <w:rPr>
          <w:rFonts w:hint="eastAsia" w:ascii="仿宋" w:hAnsi="仿宋" w:eastAsia="仿宋"/>
          <w:sz w:val="32"/>
          <w:szCs w:val="32"/>
        </w:rPr>
        <w:t>对现有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装置产生</w:t>
      </w:r>
      <w:r>
        <w:rPr>
          <w:rFonts w:hint="eastAsia" w:ascii="仿宋" w:hAnsi="仿宋" w:eastAsia="仿宋"/>
          <w:sz w:val="32"/>
          <w:szCs w:val="32"/>
        </w:rPr>
        <w:t>影响。</w:t>
      </w:r>
      <w:r>
        <w:rPr>
          <w:rFonts w:ascii="仿宋" w:hAnsi="仿宋" w:eastAsia="仿宋" w:cs="宋体"/>
          <w:sz w:val="32"/>
          <w:szCs w:val="32"/>
        </w:rPr>
        <w:t>施工废水经沉淀池处理后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循坏使用</w:t>
      </w:r>
      <w:r>
        <w:rPr>
          <w:rFonts w:hint="eastAsia" w:ascii="仿宋" w:hAnsi="仿宋" w:eastAsia="仿宋" w:cs="宋体"/>
          <w:sz w:val="32"/>
          <w:szCs w:val="32"/>
        </w:rPr>
        <w:t>；施工人员生活污水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经</w:t>
      </w:r>
      <w:r>
        <w:rPr>
          <w:rFonts w:ascii="仿宋" w:hAnsi="仿宋" w:eastAsia="仿宋" w:cs="宋体"/>
          <w:sz w:val="32"/>
          <w:szCs w:val="32"/>
        </w:rPr>
        <w:t>厂区污水管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网排入污水</w:t>
      </w:r>
      <w:r>
        <w:rPr>
          <w:rFonts w:ascii="仿宋" w:hAnsi="仿宋" w:eastAsia="仿宋" w:cs="宋体"/>
          <w:sz w:val="32"/>
          <w:szCs w:val="32"/>
        </w:rPr>
        <w:t>处理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场达标处理</w:t>
      </w:r>
      <w:r>
        <w:rPr>
          <w:rFonts w:hint="eastAsia" w:ascii="仿宋" w:hAnsi="仿宋" w:eastAsia="仿宋" w:cs="宋体"/>
          <w:sz w:val="32"/>
          <w:szCs w:val="32"/>
        </w:rPr>
        <w:t>。选用低噪声设备，合理安排施工时间和运输路线</w:t>
      </w:r>
      <w:r>
        <w:rPr>
          <w:rFonts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确保施工噪声满足</w:t>
      </w:r>
      <w:r>
        <w:rPr>
          <w:rFonts w:ascii="仿宋" w:hAnsi="仿宋" w:eastAsia="仿宋" w:cs="宋体"/>
          <w:sz w:val="32"/>
          <w:szCs w:val="32"/>
        </w:rPr>
        <w:t>《建筑施工场界</w:t>
      </w:r>
      <w:r>
        <w:rPr>
          <w:rFonts w:hint="eastAsia" w:ascii="仿宋" w:hAnsi="仿宋" w:eastAsia="仿宋" w:cs="宋体"/>
          <w:sz w:val="32"/>
          <w:szCs w:val="32"/>
        </w:rPr>
        <w:t>环境</w:t>
      </w:r>
      <w:r>
        <w:rPr>
          <w:rFonts w:ascii="仿宋" w:hAnsi="仿宋" w:eastAsia="仿宋" w:cs="宋体"/>
          <w:sz w:val="32"/>
          <w:szCs w:val="32"/>
        </w:rPr>
        <w:t>噪声</w:t>
      </w:r>
      <w:r>
        <w:rPr>
          <w:rFonts w:hint="eastAsia" w:ascii="仿宋" w:hAnsi="仿宋" w:eastAsia="仿宋" w:cs="宋体"/>
          <w:sz w:val="32"/>
          <w:szCs w:val="32"/>
        </w:rPr>
        <w:t>排放标准</w:t>
      </w:r>
      <w:r>
        <w:rPr>
          <w:rFonts w:ascii="仿宋" w:hAnsi="仿宋" w:eastAsia="仿宋" w:cs="宋体"/>
          <w:sz w:val="32"/>
          <w:szCs w:val="32"/>
        </w:rPr>
        <w:t>》（GB12523-</w:t>
      </w:r>
      <w:r>
        <w:rPr>
          <w:rFonts w:hint="eastAsia" w:ascii="仿宋" w:hAnsi="仿宋" w:eastAsia="仿宋" w:cs="宋体"/>
          <w:sz w:val="32"/>
          <w:szCs w:val="32"/>
        </w:rPr>
        <w:t>2011</w:t>
      </w:r>
      <w:r>
        <w:rPr>
          <w:rFonts w:ascii="仿宋" w:hAnsi="仿宋" w:eastAsia="仿宋" w:cs="宋体"/>
          <w:sz w:val="32"/>
          <w:szCs w:val="32"/>
        </w:rPr>
        <w:t>）要求</w:t>
      </w:r>
      <w:r>
        <w:rPr>
          <w:rFonts w:hint="eastAsia" w:ascii="仿宋" w:hAnsi="仿宋" w:eastAsia="仿宋" w:cs="宋体"/>
          <w:sz w:val="32"/>
          <w:szCs w:val="32"/>
        </w:rPr>
        <w:t>。强化施工扬尘防治措施，</w:t>
      </w:r>
      <w:r>
        <w:rPr>
          <w:rFonts w:ascii="仿宋" w:hAnsi="仿宋" w:eastAsia="仿宋" w:cs="宋体"/>
          <w:sz w:val="32"/>
          <w:szCs w:val="32"/>
        </w:rPr>
        <w:t>采取</w:t>
      </w:r>
      <w:r>
        <w:rPr>
          <w:rFonts w:hint="eastAsia" w:ascii="仿宋" w:hAnsi="仿宋" w:eastAsia="仿宋" w:cs="宋体"/>
          <w:sz w:val="32"/>
          <w:szCs w:val="32"/>
        </w:rPr>
        <w:t>洒水抑尘、</w:t>
      </w:r>
      <w:r>
        <w:rPr>
          <w:rFonts w:ascii="仿宋" w:hAnsi="仿宋" w:eastAsia="仿宋" w:cs="宋体"/>
          <w:sz w:val="32"/>
          <w:szCs w:val="32"/>
        </w:rPr>
        <w:t>围挡、覆盖等措施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使用商品混凝土。建筑垃圾收集后交相关部门统一处理。</w:t>
      </w:r>
    </w:p>
    <w:p>
      <w:pPr>
        <w:spacing w:line="480" w:lineRule="exact"/>
        <w:ind w:firstLine="640" w:firstLineChars="0"/>
        <w:jc w:val="both"/>
        <w:rPr>
          <w:rFonts w:hint="eastAsia" w:ascii="仿宋_GB2312" w:hAnsi="Times New Roman" w:eastAsia="仿宋_GB2312" w:cs="Times New Roman"/>
          <w:sz w:val="32"/>
          <w:szCs w:val="32"/>
          <w:u w:val="none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（三）废水污染防治工作。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新建装置</w:t>
      </w:r>
      <w:r>
        <w:rPr>
          <w:rFonts w:hint="eastAsia" w:ascii="仿宋" w:hAnsi="仿宋" w:eastAsia="仿宋"/>
          <w:sz w:val="32"/>
          <w:szCs w:val="32"/>
        </w:rPr>
        <w:t>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/>
          <w:sz w:val="32"/>
          <w:szCs w:val="32"/>
        </w:rPr>
        <w:t>“雨污分流、清污分流”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原则与现有装置区做好对接工作。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项目无新增废水排放，项目场地冲洗水和初期雨水由170万吨/年渣油加氢装置的污水管网收</w:t>
      </w:r>
      <w:r>
        <w:rPr>
          <w:rFonts w:hint="default" w:ascii="仿宋_GB2312" w:hAnsi="Times New Roman" w:eastAsia="仿宋_GB2312" w:cs="Times New Roman"/>
          <w:sz w:val="32"/>
          <w:szCs w:val="32"/>
          <w:u w:val="none"/>
          <w:lang w:val="zh-CN" w:eastAsia="zh-CN"/>
        </w:rPr>
        <w:t>集后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zh-CN" w:eastAsia="zh-CN"/>
        </w:rPr>
        <w:t>，</w:t>
      </w:r>
      <w:r>
        <w:rPr>
          <w:rFonts w:hint="default" w:ascii="仿宋_GB2312" w:hAnsi="Times New Roman" w:eastAsia="仿宋_GB2312" w:cs="Times New Roman"/>
          <w:sz w:val="32"/>
          <w:szCs w:val="32"/>
          <w:u w:val="none"/>
          <w:lang w:val="zh-CN" w:eastAsia="zh-CN"/>
        </w:rPr>
        <w:t>进</w:t>
      </w:r>
      <w:r>
        <w:rPr>
          <w:rFonts w:hint="default" w:ascii="仿宋" w:hAnsi="仿宋" w:eastAsia="仿宋" w:cs="Times New Roman"/>
          <w:sz w:val="32"/>
          <w:szCs w:val="32"/>
          <w:lang w:val="zh-CN" w:eastAsia="zh-CN"/>
        </w:rPr>
        <w:t>入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长岭分公司污水处理场达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标</w:t>
      </w:r>
      <w:r>
        <w:rPr>
          <w:rFonts w:hint="default" w:ascii="仿宋_GB2312" w:hAnsi="Times New Roman" w:eastAsia="仿宋_GB2312" w:cs="Times New Roman"/>
          <w:sz w:val="32"/>
          <w:szCs w:val="32"/>
          <w:u w:val="none"/>
          <w:lang w:val="zh-CN" w:eastAsia="zh-CN"/>
        </w:rPr>
        <w:t>处理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0"/>
        <w:jc w:val="both"/>
        <w:textAlignment w:val="auto"/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  <w:t>地下水污染防治工作。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按照分区防控的原则落实报告书提出的地下水污染防治措施，做好设备、装置区地面和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  <w:t>地下污水管网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等的防腐、防渗工作，避免由于防渗层破损造成污染物下渗污染地下水；根据《环境影响评价技术导则地下水环境》(HJ610-2016)要求，跟踪监测地下水质情况，确保地下水环境安全。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  <w:t>（五）废气污染防治工作。严格控制项</w:t>
      </w:r>
      <w:bookmarkStart w:id="1" w:name="_GoBack"/>
      <w:bookmarkEnd w:id="1"/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  <w:t>目废气污染，原料油均由密闭管道输送。各安全阀及装置停开工时产生的放空含烃气体，经收集后进入长岭分公司现火炬系统进行回收及处理，本项目不另设气柜，依托长岭分公司现有气柜。加强日常监管，定期对设备、机泵、管道、阀门、法兰等进行维护和管理，杜绝生产过程中的跑、冒、滴、漏，最大限度减少生产过程中的废气无组织排放，确保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 w:bidi="ar-SA"/>
        </w:rPr>
        <w:t>厂区内非甲烷总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  <w:t>烃满足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 w:bidi="ar-SA"/>
        </w:rPr>
        <w:t>《挥发性有机物无组织排放标准》(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  <w:t>GB27822-2019)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 w:bidi="ar-SA"/>
        </w:rPr>
        <w:t>附录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  <w:t>A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 w:bidi="ar-SA"/>
        </w:rPr>
        <w:t>标准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  <w:t>要求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 w:bidi="ar-SA"/>
        </w:rPr>
        <w:t>，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  <w:t>厂界满足《石油炼制工业污染物排放标准》（GB31570-2015）表5限值要求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 w:bidi="ar-SA"/>
        </w:rPr>
        <w:t>；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  <w:t>硫化氢、氨满足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zh-CN" w:eastAsia="zh-CN" w:bidi="ar-SA"/>
        </w:rPr>
        <w:t>《恶臭污染物排放标准》（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  <w:t>GB14554-93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zh-CN" w:eastAsia="zh-CN" w:bidi="ar-SA"/>
        </w:rPr>
        <w:t>）表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 w:bidi="ar-SA"/>
        </w:rPr>
        <w:t>1中二级标准要求。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（六）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  <w:t>噪声污染防治工作。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/>
        </w:rPr>
        <w:t>合理布局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zh-CN" w:eastAsia="zh-CN"/>
        </w:rPr>
        <w:t>，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/>
        </w:rPr>
        <w:t>采用低噪声设备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zh-CN" w:eastAsia="zh-CN"/>
        </w:rPr>
        <w:t>，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加强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/>
        </w:rPr>
        <w:t>生产设备的日常维护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保养工作，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/>
        </w:rPr>
        <w:t>对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生产装置区等主要噪声源设备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/>
        </w:rPr>
        <w:t>采取隔声、减振等措施，确保厂界噪声达到《工业企业厂界环境噪声排放标准》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</w:rPr>
        <w:t>(GB12348-2008)</w:t>
      </w:r>
      <w:r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  <w:lang w:val="zh-CN" w:eastAsia="zh-CN"/>
        </w:rPr>
        <w:t>中的3类标准要求。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（七）</w:t>
      </w:r>
      <w:r>
        <w:rPr>
          <w:rFonts w:hint="eastAsia" w:ascii="仿宋" w:hAnsi="仿宋" w:eastAsia="仿宋"/>
          <w:sz w:val="32"/>
          <w:szCs w:val="32"/>
          <w:u w:val="none"/>
        </w:rPr>
        <w:t>固体废物管理工作。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"/>
        </w:rPr>
        <w:t>按“无害化、减量化、资源化”原则，严格按《危险废物贮存污染控制标准（GB18597-2001）》及其2013年修改单</w:t>
      </w:r>
      <w:r>
        <w:rPr>
          <w:rFonts w:hint="eastAsia" w:ascii="仿宋" w:hAnsi="仿宋" w:eastAsia="仿宋" w:cs="Times New Roman"/>
          <w:sz w:val="32"/>
          <w:szCs w:val="32"/>
          <w:lang w:val="zh-CN" w:eastAsia="zh-CN" w:bidi="ar"/>
        </w:rPr>
        <w:t>和《危险废物收集贮存运输技术规范》（HJ 2025-2012）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"/>
        </w:rPr>
        <w:t>以及《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"/>
        </w:rPr>
        <w:instrText xml:space="preserve"> HYPERLINK "http://www.mee.gov.cn/ywgz/fgbz/bz/bzwb/gthw/gtfwwrkzbz/202012/W020201218695845325455.pdf" </w:instrTex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"/>
        </w:rPr>
        <w:t>一般工业固体废物贮存和填埋污染控制标准（GB18599-2020）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"/>
        </w:rPr>
        <w:t>》</w:t>
      </w:r>
      <w:r>
        <w:rPr>
          <w:rFonts w:hint="eastAsia" w:ascii="仿宋" w:hAnsi="仿宋" w:eastAsia="仿宋" w:cs="Times New Roman"/>
          <w:sz w:val="32"/>
          <w:szCs w:val="32"/>
          <w:lang w:val="zh-CN" w:eastAsia="zh-CN" w:bidi="ar"/>
        </w:rPr>
        <w:t>相关标准</w:t>
      </w:r>
      <w:r>
        <w:rPr>
          <w:rFonts w:hint="eastAsia" w:ascii="仿宋" w:hAnsi="仿宋" w:eastAsia="仿宋" w:cs="Times New Roman"/>
          <w:sz w:val="32"/>
          <w:szCs w:val="32"/>
          <w:lang w:val="en-US" w:eastAsia="zh-CN" w:bidi="ar"/>
        </w:rPr>
        <w:t>和规定要求，做好各类固体废物分类收集、暂存工作，建立健全固体废物产生、收集、储存、转运、处置等相关管理台帐。废催化剂经收集后依托长岭分公司危险废物暂存库房暂存，与公司其他危险废物一并交由有资质单位处置，妥善处置，严格执行转移联单制度。废瓷球等一般工业固体废物经收集后综合利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u w:val="none"/>
        </w:rPr>
        <w:t>环境管理和风险防范工作。</w:t>
      </w:r>
      <w:r>
        <w:rPr>
          <w:rFonts w:hint="eastAsia" w:ascii="仿宋" w:hAnsi="仿宋" w:eastAsia="仿宋"/>
          <w:sz w:val="32"/>
          <w:szCs w:val="32"/>
        </w:rPr>
        <w:t>设置专门环保机构，配备专职环保管理人员，加强生产设备和污防设施的检修、保养及管理人员培训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，建立健全污染防治设施运行管理台帐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加强日常监管，杜绝生产过程中的跑、冒、滴、漏，</w:t>
      </w:r>
      <w:r>
        <w:rPr>
          <w:rFonts w:hint="eastAsia" w:ascii="仿宋" w:hAnsi="仿宋" w:eastAsia="仿宋"/>
          <w:sz w:val="32"/>
          <w:szCs w:val="32"/>
        </w:rPr>
        <w:t>确保各污染防治设施的正常运行，各类污染物稳定达标排放。做好运营期环境监测工作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default" w:ascii="仿宋" w:hAnsi="仿宋" w:eastAsia="仿宋" w:cs="Times New Roman"/>
          <w:sz w:val="32"/>
          <w:szCs w:val="32"/>
          <w:lang w:val="zh-CN" w:eastAsia="zh-CN"/>
        </w:rPr>
        <w:t>严格落实报告书提出的各项环境风险防范</w:t>
      </w:r>
      <w:r>
        <w:rPr>
          <w:rFonts w:hint="eastAsia" w:ascii="仿宋" w:hAnsi="仿宋" w:eastAsia="仿宋" w:cs="Times New Roman"/>
          <w:sz w:val="32"/>
          <w:szCs w:val="32"/>
        </w:rPr>
        <w:t>措施，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按要求配齐</w:t>
      </w:r>
      <w:r>
        <w:rPr>
          <w:rFonts w:hint="eastAsia" w:ascii="仿宋" w:hAnsi="仿宋" w:eastAsia="仿宋" w:cs="Times New Roman"/>
          <w:sz w:val="32"/>
          <w:szCs w:val="32"/>
        </w:rPr>
        <w:t>泄漏检测仪器，</w:t>
      </w:r>
      <w:r>
        <w:rPr>
          <w:rFonts w:hint="default" w:ascii="仿宋" w:hAnsi="仿宋" w:eastAsia="仿宋" w:cs="Times New Roman"/>
          <w:sz w:val="32"/>
          <w:szCs w:val="32"/>
          <w:lang w:val="zh-CN" w:eastAsia="zh-CN"/>
        </w:rPr>
        <w:t>按照《突发环境事件应急管理办法》修订完善突发环境事件应急预案，储备风险救助物资并组织演练，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杜绝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环境风险事故发生，</w:t>
      </w:r>
      <w:r>
        <w:rPr>
          <w:rFonts w:hint="eastAsia" w:ascii="仿宋" w:hAnsi="仿宋" w:eastAsia="仿宋"/>
          <w:sz w:val="32"/>
          <w:szCs w:val="32"/>
          <w:u w:val="none"/>
        </w:rPr>
        <w:t>确保周边环</w:t>
      </w:r>
      <w:r>
        <w:rPr>
          <w:rFonts w:hint="eastAsia" w:ascii="仿宋" w:hAnsi="仿宋" w:eastAsia="仿宋"/>
          <w:sz w:val="32"/>
          <w:szCs w:val="32"/>
        </w:rPr>
        <w:t>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0"/>
        <w:jc w:val="both"/>
        <w:textAlignment w:val="auto"/>
        <w:rPr>
          <w:rFonts w:hint="default" w:ascii="仿宋" w:hAnsi="仿宋" w:eastAsia="仿宋" w:cs="_4eff_5b8b_GB2312"/>
          <w:bCs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（九）本项目主要污染物总量控制指标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  <w:t>VOCs</w:t>
      </w:r>
      <w:r>
        <w:rPr>
          <w:rFonts w:hint="eastAsia" w:ascii="仿宋" w:hAnsi="仿宋" w:eastAsia="仿宋" w:cs="Times New Roman"/>
          <w:spacing w:val="-11"/>
          <w:sz w:val="32"/>
          <w:szCs w:val="32"/>
          <w:u w:val="none"/>
          <w:lang w:val="en-US" w:eastAsia="zh-CN" w:bidi="ar"/>
        </w:rPr>
        <w:t>≤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  <w:t>0.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  <w:t>t/a。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0"/>
        <w:jc w:val="both"/>
        <w:textAlignment w:val="auto"/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  <w:t>三、你公司应收到本批复后15个工作日内，将批复及批准的环评报告文件送岳阳市生态环境局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云溪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  <w:t>分局、湖南中汇环境科技有限公司。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0"/>
        <w:jc w:val="both"/>
        <w:textAlignment w:val="auto"/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  <w:t>四、请岳阳市生态环境局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  <w:lang w:val="en-US" w:eastAsia="zh-CN"/>
        </w:rPr>
        <w:t>云溪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  <w:t>分局负责项目建设和运营期的日常环境监管。</w:t>
      </w:r>
    </w:p>
    <w:p>
      <w:pPr>
        <w:spacing w:line="480" w:lineRule="exact"/>
        <w:ind w:firstLine="640" w:firstLineChars="0"/>
        <w:jc w:val="both"/>
        <w:rPr>
          <w:rFonts w:hint="eastAsia" w:ascii="仿宋" w:hAnsi="仿宋" w:eastAsia="仿宋" w:cs="_4eff_5b8b_GB2312"/>
          <w:bCs/>
          <w:color w:val="000000"/>
          <w:sz w:val="32"/>
          <w:szCs w:val="32"/>
          <w:u w:val="none"/>
        </w:rPr>
      </w:pPr>
    </w:p>
    <w:p>
      <w:pPr>
        <w:pStyle w:val="7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hint="eastAsia"/>
        </w:rPr>
      </w:pPr>
    </w:p>
    <w:p>
      <w:pPr>
        <w:spacing w:line="48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岳阳市生态环境局</w:t>
      </w:r>
    </w:p>
    <w:p>
      <w:pPr>
        <w:spacing w:line="480" w:lineRule="exact"/>
        <w:ind w:firstLine="64" w:firstLineChars="2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689" w:bottom="1440" w:left="1689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079DF"/>
    <w:rsid w:val="00925FA4"/>
    <w:rsid w:val="0093216E"/>
    <w:rsid w:val="017A36FD"/>
    <w:rsid w:val="024330B6"/>
    <w:rsid w:val="030126EB"/>
    <w:rsid w:val="05D7488F"/>
    <w:rsid w:val="062A1B37"/>
    <w:rsid w:val="06D41775"/>
    <w:rsid w:val="086150D6"/>
    <w:rsid w:val="0BA965B8"/>
    <w:rsid w:val="0BC07F69"/>
    <w:rsid w:val="0D3B5CAB"/>
    <w:rsid w:val="0F1A64E0"/>
    <w:rsid w:val="0F82454C"/>
    <w:rsid w:val="122E5629"/>
    <w:rsid w:val="123322BF"/>
    <w:rsid w:val="145A0633"/>
    <w:rsid w:val="14A02886"/>
    <w:rsid w:val="14B76732"/>
    <w:rsid w:val="1E930AF4"/>
    <w:rsid w:val="1FB95DF2"/>
    <w:rsid w:val="21617BDF"/>
    <w:rsid w:val="218569EA"/>
    <w:rsid w:val="22D24584"/>
    <w:rsid w:val="23077A58"/>
    <w:rsid w:val="25700B4B"/>
    <w:rsid w:val="2620416C"/>
    <w:rsid w:val="265131EC"/>
    <w:rsid w:val="2675089C"/>
    <w:rsid w:val="269742E9"/>
    <w:rsid w:val="27F01264"/>
    <w:rsid w:val="28141F89"/>
    <w:rsid w:val="28854EED"/>
    <w:rsid w:val="293A7102"/>
    <w:rsid w:val="2DA500D2"/>
    <w:rsid w:val="2FBE4369"/>
    <w:rsid w:val="31D1627B"/>
    <w:rsid w:val="31D77B24"/>
    <w:rsid w:val="327562FB"/>
    <w:rsid w:val="37580DE2"/>
    <w:rsid w:val="37DB2961"/>
    <w:rsid w:val="39387D98"/>
    <w:rsid w:val="40B124CA"/>
    <w:rsid w:val="40E619D0"/>
    <w:rsid w:val="425B3DD9"/>
    <w:rsid w:val="42D57B3D"/>
    <w:rsid w:val="43646117"/>
    <w:rsid w:val="461B020C"/>
    <w:rsid w:val="47335C34"/>
    <w:rsid w:val="4830538A"/>
    <w:rsid w:val="48D60EF7"/>
    <w:rsid w:val="490966A2"/>
    <w:rsid w:val="4BD60B78"/>
    <w:rsid w:val="4BF41811"/>
    <w:rsid w:val="4C720429"/>
    <w:rsid w:val="4EB50A05"/>
    <w:rsid w:val="50B52913"/>
    <w:rsid w:val="51022EB8"/>
    <w:rsid w:val="53B5186B"/>
    <w:rsid w:val="561D1830"/>
    <w:rsid w:val="57AB1477"/>
    <w:rsid w:val="57E82929"/>
    <w:rsid w:val="5811586C"/>
    <w:rsid w:val="599134C3"/>
    <w:rsid w:val="5BB1236D"/>
    <w:rsid w:val="5C782274"/>
    <w:rsid w:val="5CE6055C"/>
    <w:rsid w:val="5E3B0524"/>
    <w:rsid w:val="5F8110FD"/>
    <w:rsid w:val="61974B52"/>
    <w:rsid w:val="61D02FB3"/>
    <w:rsid w:val="625C31C0"/>
    <w:rsid w:val="64393226"/>
    <w:rsid w:val="657C1287"/>
    <w:rsid w:val="65F30067"/>
    <w:rsid w:val="66DD0822"/>
    <w:rsid w:val="67675ABC"/>
    <w:rsid w:val="681100F9"/>
    <w:rsid w:val="68780870"/>
    <w:rsid w:val="694B3D6D"/>
    <w:rsid w:val="6C5D15CE"/>
    <w:rsid w:val="6D7F639C"/>
    <w:rsid w:val="6E3B1502"/>
    <w:rsid w:val="6E783365"/>
    <w:rsid w:val="6FB46AB9"/>
    <w:rsid w:val="6FF07C9F"/>
    <w:rsid w:val="70E2609B"/>
    <w:rsid w:val="730065A6"/>
    <w:rsid w:val="73A12654"/>
    <w:rsid w:val="74463A57"/>
    <w:rsid w:val="74D016B7"/>
    <w:rsid w:val="77627606"/>
    <w:rsid w:val="777B69C0"/>
    <w:rsid w:val="77CC5F6D"/>
    <w:rsid w:val="7808174F"/>
    <w:rsid w:val="788D05ED"/>
    <w:rsid w:val="78E71CAD"/>
    <w:rsid w:val="7B844F72"/>
    <w:rsid w:val="7BD6533A"/>
    <w:rsid w:val="7C094CF5"/>
    <w:rsid w:val="7CFF67CF"/>
    <w:rsid w:val="7DC21241"/>
    <w:rsid w:val="7FDD0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00" w:after="300" w:line="360" w:lineRule="auto"/>
      <w:jc w:val="center"/>
      <w:outlineLvl w:val="0"/>
    </w:pPr>
    <w:rPr>
      <w:b/>
      <w:kern w:val="44"/>
      <w:sz w:val="36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Date1"/>
    <w:basedOn w:val="1"/>
    <w:next w:val="1"/>
    <w:qFormat/>
    <w:uiPriority w:val="0"/>
    <w:pPr>
      <w:widowControl w:val="0"/>
      <w:adjustRightInd w:val="0"/>
      <w:jc w:val="both"/>
      <w:textAlignment w:val="baseline"/>
    </w:pPr>
    <w:rPr>
      <w:rFonts w:cs="Times New Roman"/>
      <w:kern w:val="2"/>
      <w:sz w:val="21"/>
      <w:u w:val="none" w:color="FFFFFF"/>
    </w:rPr>
  </w:style>
  <w:style w:type="paragraph" w:styleId="6">
    <w:name w:val="Body Text Indent"/>
    <w:basedOn w:val="1"/>
    <w:next w:val="7"/>
    <w:link w:val="16"/>
    <w:qFormat/>
    <w:uiPriority w:val="0"/>
    <w:pPr>
      <w:spacing w:after="120"/>
      <w:ind w:left="283"/>
    </w:pPr>
    <w:rPr>
      <w:rFonts w:ascii="Times New Roman" w:hAnsi="Times New Roman" w:eastAsia="宋体" w:cs="Times New Roman"/>
    </w:rPr>
  </w:style>
  <w:style w:type="paragraph" w:styleId="7">
    <w:name w:val="Body Text First Indent 2"/>
    <w:basedOn w:val="6"/>
    <w:next w:val="1"/>
    <w:link w:val="17"/>
    <w:qFormat/>
    <w:uiPriority w:val="0"/>
    <w:pPr>
      <w:spacing w:after="200"/>
      <w:ind w:left="360" w:firstLine="360"/>
    </w:pPr>
    <w:rPr>
      <w:rFonts w:ascii="Times New Roman" w:hAnsi="Times New Roman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"/>
    <w:basedOn w:val="4"/>
    <w:unhideWhenUsed/>
    <w:qFormat/>
    <w:uiPriority w:val="99"/>
    <w:pPr>
      <w:keepNext w:val="0"/>
      <w:keepLines w:val="0"/>
      <w:widowControl/>
      <w:suppressLineNumbers w:val="0"/>
      <w:spacing w:before="0" w:beforeAutospacing="0" w:after="120" w:afterAutospacing="0"/>
      <w:ind w:left="0" w:right="0" w:firstLine="420" w:firstLineChars="1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4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5">
    <w:name w:val="标题二"/>
    <w:basedOn w:val="1"/>
    <w:qFormat/>
    <w:uiPriority w:val="99"/>
  </w:style>
  <w:style w:type="character" w:customStyle="1" w:styleId="16">
    <w:name w:val="正文文本缩进 Char"/>
    <w:basedOn w:val="12"/>
    <w:link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正文首行缩进 2 Char"/>
    <w:basedOn w:val="16"/>
    <w:link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2021-07-21T01:25:00Z</dcterms:created>
  <dc:creator>hegx</dc:creator>
  <cp:lastModifiedBy>王志勤</cp:lastModifiedBy>
  <cp:lastPrinted>2021-12-13T08:00:45Z</cp:lastPrinted>
  <dcterms:modified xsi:type="dcterms:W3CDTF">2021-12-13T08:01:32Z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C28C18369A664A1E9420B2EDD2636BF1</vt:lpwstr>
  </property>
</Properties>
</file>