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top"/>
        <w:rPr>
          <w:rFonts w:hint="eastAsia" w:ascii="仿宋" w:hAnsi="仿宋" w:eastAsia="仿宋" w:cs="仿宋"/>
          <w:b/>
          <w:color w:val="auto"/>
          <w:sz w:val="32"/>
          <w:szCs w:val="32"/>
        </w:rPr>
      </w:pPr>
    </w:p>
    <w:p>
      <w:pPr>
        <w:widowControl/>
        <w:spacing w:line="480" w:lineRule="exact"/>
        <w:jc w:val="left"/>
        <w:textAlignment w:val="top"/>
        <w:rPr>
          <w:rFonts w:hint="eastAsia" w:ascii="仿宋" w:hAnsi="仿宋" w:eastAsia="仿宋" w:cs="仿宋"/>
          <w:b/>
          <w:color w:val="auto"/>
          <w:sz w:val="32"/>
          <w:szCs w:val="32"/>
        </w:rPr>
      </w:pPr>
    </w:p>
    <w:p>
      <w:pPr>
        <w:widowControl/>
        <w:spacing w:line="480" w:lineRule="exact"/>
        <w:jc w:val="left"/>
        <w:textAlignment w:val="top"/>
        <w:rPr>
          <w:rFonts w:hint="eastAsia" w:ascii="仿宋" w:hAnsi="仿宋" w:eastAsia="仿宋" w:cs="仿宋"/>
          <w:b/>
          <w:color w:val="auto"/>
          <w:sz w:val="32"/>
          <w:szCs w:val="32"/>
        </w:rPr>
      </w:pPr>
    </w:p>
    <w:p>
      <w:pPr>
        <w:widowControl/>
        <w:spacing w:line="480" w:lineRule="exact"/>
        <w:jc w:val="left"/>
        <w:textAlignment w:val="top"/>
        <w:rPr>
          <w:rFonts w:hint="eastAsia" w:ascii="仿宋" w:hAnsi="仿宋" w:eastAsia="仿宋" w:cs="仿宋"/>
          <w:b/>
          <w:color w:val="auto"/>
          <w:sz w:val="32"/>
          <w:szCs w:val="32"/>
        </w:rPr>
      </w:pPr>
    </w:p>
    <w:p>
      <w:pPr>
        <w:keepNext w:val="0"/>
        <w:keepLines w:val="0"/>
        <w:pageBreakBefore w:val="0"/>
        <w:widowControl/>
        <w:kinsoku/>
        <w:wordWrap/>
        <w:overflowPunct/>
        <w:topLinePunct w:val="0"/>
        <w:autoSpaceDE/>
        <w:autoSpaceDN/>
        <w:bidi w:val="0"/>
        <w:adjustRightInd/>
        <w:snapToGrid/>
        <w:spacing w:after="157" w:afterLines="50" w:line="480" w:lineRule="exact"/>
        <w:jc w:val="right"/>
        <w:textAlignment w:val="top"/>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岳环评 [2021]</w:t>
      </w:r>
      <w:r>
        <w:rPr>
          <w:rFonts w:hint="eastAsia" w:ascii="仿宋" w:hAnsi="仿宋" w:eastAsia="仿宋" w:cs="仿宋"/>
          <w:color w:val="auto"/>
          <w:kern w:val="0"/>
          <w:sz w:val="30"/>
          <w:szCs w:val="30"/>
          <w:lang w:val="en-US" w:eastAsia="zh-CN"/>
        </w:rPr>
        <w:t>68</w:t>
      </w:r>
      <w:r>
        <w:rPr>
          <w:rFonts w:hint="eastAsia" w:ascii="仿宋" w:hAnsi="仿宋" w:eastAsia="仿宋" w:cs="仿宋"/>
          <w:color w:val="auto"/>
          <w:kern w:val="0"/>
          <w:sz w:val="30"/>
          <w:szCs w:val="30"/>
        </w:rPr>
        <w:t>号</w:t>
      </w:r>
    </w:p>
    <w:p>
      <w:pPr>
        <w:keepNext w:val="0"/>
        <w:keepLines w:val="0"/>
        <w:pageBreakBefore w:val="0"/>
        <w:widowControl/>
        <w:kinsoku/>
        <w:wordWrap/>
        <w:overflowPunct/>
        <w:topLinePunct w:val="0"/>
        <w:autoSpaceDE/>
        <w:autoSpaceDN/>
        <w:bidi w:val="0"/>
        <w:adjustRightInd/>
        <w:snapToGrid/>
        <w:spacing w:after="157" w:afterLines="50" w:line="540" w:lineRule="exact"/>
        <w:jc w:val="center"/>
        <w:textAlignment w:val="top"/>
        <w:rPr>
          <w:rFonts w:hint="eastAsia" w:ascii="仿宋" w:hAnsi="仿宋" w:eastAsia="仿宋" w:cs="仿宋"/>
          <w:b/>
          <w:bCs/>
          <w:color w:val="auto"/>
          <w:kern w:val="0"/>
          <w:sz w:val="36"/>
          <w:szCs w:val="36"/>
        </w:rPr>
      </w:pPr>
      <w:bookmarkStart w:id="0" w:name="_GoBack"/>
      <w:r>
        <w:rPr>
          <w:rFonts w:hint="eastAsia" w:ascii="仿宋" w:hAnsi="仿宋" w:eastAsia="仿宋" w:cs="仿宋"/>
          <w:b/>
          <w:bCs/>
          <w:color w:val="auto"/>
          <w:kern w:val="0"/>
          <w:sz w:val="36"/>
          <w:szCs w:val="36"/>
        </w:rPr>
        <w:t>关于岳阳晶威新材料有限公司年产水墨及水性胶水、水性工业漆22000吨、水性固化剂3000吨、水性树脂10000吨、膜材30000吨建设项目环境影响报告书的批复</w:t>
      </w:r>
    </w:p>
    <w:bookmarkEnd w:id="0"/>
    <w:p>
      <w:pPr>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t>岳阳晶威新材料有限公司：</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你公司《关于岳阳晶威新材料有限公司年产水墨及水性胶水、水性工业漆22000吨、水性固化剂3000吨、水性树脂10000吨、膜材30000吨建设项目环境影响评价申请批复的请示》、岳阳市生态环境局岳阳县分局的预审意见及有关附件收悉。经研究，批复如下：</w:t>
      </w:r>
    </w:p>
    <w:p>
      <w:pPr>
        <w:spacing w:line="45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一、岳阳晶威新材料有限公司拟在湖南岳阳高新技术产业园区洪山洞片区实施年产水墨及水性胶水、水性工业漆22000吨、水性固化剂3000吨、水性树脂10000吨、膜材30000吨建设项目，项目占地面积为92131.67m</w:t>
      </w:r>
      <w:r>
        <w:rPr>
          <w:rFonts w:hint="eastAsia" w:ascii="仿宋" w:hAnsi="仿宋" w:eastAsia="仿宋" w:cs="仿宋"/>
          <w:color w:val="auto"/>
          <w:sz w:val="32"/>
          <w:szCs w:val="32"/>
          <w:vertAlign w:val="superscript"/>
        </w:rPr>
        <w:t>2</w:t>
      </w:r>
      <w:r>
        <w:rPr>
          <w:rFonts w:hint="eastAsia" w:ascii="仿宋" w:hAnsi="仿宋" w:eastAsia="仿宋" w:cs="仿宋"/>
          <w:color w:val="auto"/>
          <w:sz w:val="32"/>
          <w:szCs w:val="32"/>
        </w:rPr>
        <w:t>，总投资180000万元，其中环保投资1800万元。项目分两期建设，其中一期工程主要生产水性表印水墨、水性里印复合水墨水性胶水、水性工业漆、水性固化剂、水性丙烯酸树脂、水性聚氨酯树脂产品（其中水性固化剂、水性丙烯酸树脂、水性聚氨酯树脂产品自产自用，不得对外出售），二期工程生产膜材产品。项目以多元醇、异氰酸酯、多元胺等为主要原辅料经聚合、脱溶、调配、检验、过</w:t>
      </w:r>
      <w:r>
        <w:rPr>
          <w:rFonts w:hint="eastAsia" w:ascii="仿宋" w:hAnsi="仿宋" w:eastAsia="仿宋" w:cs="仿宋"/>
          <w:color w:val="auto"/>
          <w:spacing w:val="10"/>
          <w:sz w:val="32"/>
          <w:szCs w:val="32"/>
        </w:rPr>
        <w:t>滤、灌装等工序生产水性固化剂3000吨/年，以丙烯酸、丙烯</w:t>
      </w:r>
      <w:r>
        <w:rPr>
          <w:rFonts w:hint="eastAsia" w:ascii="仿宋" w:hAnsi="仿宋" w:eastAsia="仿宋" w:cs="仿宋"/>
          <w:color w:val="auto"/>
          <w:sz w:val="32"/>
          <w:szCs w:val="32"/>
        </w:rPr>
        <w:t>酸丁酯、甲基丙烯酸甲酯、丙烯酸羟丙酯、苯乙烯等为主要原辅料经聚合、检验、过滤、灌装等工序生产水性丙烯酸树脂4000吨/年，以乙二醇、丁二醇、己二酸、</w:t>
      </w:r>
      <w:r>
        <w:rPr>
          <w:rFonts w:hint="eastAsia" w:ascii="仿宋" w:hAnsi="仿宋" w:eastAsia="仿宋" w:cs="仿宋"/>
          <w:color w:val="auto"/>
          <w:spacing w:val="12"/>
          <w:sz w:val="32"/>
          <w:szCs w:val="32"/>
        </w:rPr>
        <w:t>多元醇、异氰酸酯等</w:t>
      </w:r>
      <w:r>
        <w:rPr>
          <w:rFonts w:hint="eastAsia" w:ascii="仿宋" w:hAnsi="仿宋" w:eastAsia="仿宋" w:cs="仿宋"/>
          <w:color w:val="auto"/>
          <w:sz w:val="32"/>
          <w:szCs w:val="32"/>
        </w:rPr>
        <w:t>为主要原辅料经聚合、中和、乳化、扩链、脱溶、过滤、灌装等工序得产品水性聚氨酯树脂6000吨/年，以水性树脂、水性固化剂、钛白粉、颜料等主要原辅料经搅拌、研磨、调配、过滤、检验、灌装等工序生产水墨及水性胶水、水性工业漆22000吨/年，以聚乙烯树脂、聚丙烯酸酯、聚氯乙烯树脂、聚酯树脂聚碳酸酯树脂、聚苯乙烯树脂等为主要原辅料经搅拌、挤出、轧坯、冷却、卷膜、检验、包装等工序生产膜材30000吨/年。根据湖南环美达环保科技有限公司编制的《岳阳晶威新材料有限公司年产水墨及水性胶水、水性工业漆22000吨、水性固化剂3000吨、水性树脂10000吨、膜材30000吨建设项目环境影响报告书（报批稿）》基本内容、结论、专家审查意见及岳阳市生态环境局岳阳县分局预审意见，从环境保护角度考虑，我局原则同意你公司环境影响报告书中所列建设内容的环境影响评价结论和环境保护对策措施。</w:t>
      </w:r>
    </w:p>
    <w:p>
      <w:pPr>
        <w:spacing w:line="45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二、认真落实专家及环境影响报告书中提出的各项污染防治措施，并应着重注意以下问题：</w:t>
      </w:r>
    </w:p>
    <w:p>
      <w:pPr>
        <w:spacing w:line="45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1、施工期污染防治。采取设置围挡、物料遮盖、定期洒水等措施控制扬尘；通过选用低噪声设备，控制施工时间等措施控制施工噪声影响；建筑垃圾运至指定场所处置；施工废水循环利用，不外排。</w:t>
      </w:r>
    </w:p>
    <w:p>
      <w:pPr>
        <w:spacing w:line="45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废水污染防治工作。严格按照“雨污分流、清污分流、污污分流”的原则规范建设厂区雨水及污水收集设施。在项目周边污水管网接通前，设备清洗水、地面清洗废水、实验室废水、纯水制备浓水、初期雨水收集处理后回用于生产，不外排；生活污水经处理后用于厂区以及周边绿化，不外排。在项目周边生活污水管网接通后，项目生活污水经处理满足《污水综合排放标准》（GB8978-1996）中三级标准要求以及新墙镇污水处理厂进水水质要求后，排入新墙镇污水处理厂进一步处理后达标排放。</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按照“源头控制、分区防治、污染监控、应急响应”相结合的原则落实报告书提出地下水污染防治措施，做好生产车间、储罐区、仓库等区域的防渗工作，强化管理，避免由于泄漏等造成污染物下渗污染地下水；根据《环境影响评价技术导则地下水环境》（HJ610-2016）要求，跟踪监测地下水质情况，确保地下水安全。</w:t>
      </w:r>
    </w:p>
    <w:p>
      <w:pPr>
        <w:spacing w:line="480" w:lineRule="exact"/>
        <w:ind w:firstLine="672" w:firstLineChars="210"/>
        <w:rPr>
          <w:rFonts w:hint="eastAsia" w:ascii="仿宋" w:hAnsi="仿宋" w:eastAsia="仿宋" w:cs="仿宋"/>
          <w:color w:val="auto"/>
          <w:sz w:val="32"/>
          <w:szCs w:val="32"/>
        </w:rPr>
      </w:pPr>
      <w:r>
        <w:rPr>
          <w:rFonts w:hint="eastAsia" w:ascii="仿宋" w:hAnsi="仿宋" w:eastAsia="仿宋" w:cs="仿宋"/>
          <w:color w:val="auto"/>
          <w:sz w:val="32"/>
          <w:szCs w:val="32"/>
        </w:rPr>
        <w:t>3、废气污染防治工作。采用密闭生产装置，加强日常监管，定期对机泵、阀门、法兰等进行维护和管理，最大限度减少废气无组织排放，厂界颗粒物、非甲烷总烃执行《大气污染物综合排放标准》（GB16297-1996）；苯乙烯、臭气浓度执行《恶臭污染物排放标准》（GB14554-93）限值要求，厂区内非甲烷总烃满足《挥发性有机物无组织排放控制标准》（GB37822-2019）表A.1厂区内无组织排放限值。项目水性水墨、水性胶水、水性工业漆生产线废气经收集处理，颗粒物、苯乙烯、非甲烷总烃满足《涂料、油墨及胶黏剂工业大气污染排放标准》（GB37824-2019）表1限值要求后，通过15m高1#排气筒</w:t>
      </w:r>
      <w:r>
        <w:rPr>
          <w:rFonts w:hint="eastAsia" w:ascii="仿宋" w:hAnsi="仿宋" w:eastAsia="仿宋" w:cs="仿宋"/>
          <w:bCs/>
          <w:color w:val="auto"/>
          <w:sz w:val="32"/>
          <w:szCs w:val="32"/>
          <w:lang w:val="zh-CN"/>
        </w:rPr>
        <w:t>达标</w:t>
      </w:r>
      <w:r>
        <w:rPr>
          <w:rFonts w:hint="eastAsia" w:ascii="仿宋" w:hAnsi="仿宋" w:eastAsia="仿宋" w:cs="仿宋"/>
          <w:color w:val="auto"/>
          <w:sz w:val="32"/>
          <w:szCs w:val="32"/>
        </w:rPr>
        <w:t>排放；水性固化剂、水性丙烯酸树脂、水性聚氨酯树脂生产线废气经收集处理，苯乙烯、非甲烷总烃满足《合成树脂工业污染物排放标准》（GB31572-2015）表4限值要求后，通过15m高2#排气筒</w:t>
      </w:r>
      <w:r>
        <w:rPr>
          <w:rFonts w:hint="eastAsia" w:ascii="仿宋" w:hAnsi="仿宋" w:eastAsia="仿宋" w:cs="仿宋"/>
          <w:bCs/>
          <w:color w:val="auto"/>
          <w:sz w:val="32"/>
          <w:szCs w:val="32"/>
          <w:lang w:val="zh-CN"/>
        </w:rPr>
        <w:t>达标</w:t>
      </w:r>
      <w:r>
        <w:rPr>
          <w:rFonts w:hint="eastAsia" w:ascii="仿宋" w:hAnsi="仿宋" w:eastAsia="仿宋" w:cs="仿宋"/>
          <w:color w:val="auto"/>
          <w:sz w:val="32"/>
          <w:szCs w:val="32"/>
        </w:rPr>
        <w:t>排放；膜材产品生产线废气经收集处理，颗粒物满足《合成树脂工业污染物排放标准》（GB31572-2015）表5限值要求，苯乙烯、非甲烷总烃满足表4限值要求后，通过15m高3#和4#排气筒排放。储罐区、危废仓库废气经收集处理，非甲烷总烃满足《涂料、油墨及胶黏剂工业大气污染排放标准》（GB37824-2019）表1限值要求后，分别通过15m高5#和6#排气筒</w:t>
      </w:r>
      <w:r>
        <w:rPr>
          <w:rFonts w:hint="eastAsia" w:ascii="仿宋" w:hAnsi="仿宋" w:eastAsia="仿宋" w:cs="仿宋"/>
          <w:bCs/>
          <w:color w:val="auto"/>
          <w:sz w:val="32"/>
          <w:szCs w:val="32"/>
          <w:lang w:val="zh-CN"/>
        </w:rPr>
        <w:t>达标</w:t>
      </w:r>
      <w:r>
        <w:rPr>
          <w:rFonts w:hint="eastAsia" w:ascii="仿宋" w:hAnsi="仿宋" w:eastAsia="仿宋" w:cs="仿宋"/>
          <w:color w:val="auto"/>
          <w:sz w:val="32"/>
          <w:szCs w:val="32"/>
        </w:rPr>
        <w:t>排放。</w:t>
      </w:r>
    </w:p>
    <w:p>
      <w:pPr>
        <w:spacing w:line="500" w:lineRule="exact"/>
        <w:ind w:firstLine="672" w:firstLineChars="210"/>
        <w:rPr>
          <w:rFonts w:hint="eastAsia" w:ascii="仿宋" w:hAnsi="仿宋" w:eastAsia="仿宋" w:cs="仿宋"/>
          <w:color w:val="auto"/>
          <w:sz w:val="32"/>
          <w:szCs w:val="32"/>
        </w:rPr>
      </w:pPr>
      <w:r>
        <w:rPr>
          <w:rFonts w:hint="eastAsia" w:ascii="仿宋" w:hAnsi="仿宋" w:eastAsia="仿宋" w:cs="仿宋"/>
          <w:color w:val="auto"/>
          <w:sz w:val="32"/>
          <w:szCs w:val="32"/>
        </w:rPr>
        <w:t>4、噪声污染防治工作。采用低噪声设备，对产生噪声的设备和工序进行合理布局，对主要的声源设备泵、各类机组等采取隔声、减震等措施，确保厂界噪声达到《工业企业厂界环境噪声排放标准》(GB12348-2008)中的3类标准要求。</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固体废物防治工作。按“无害化、减量化、资源化”原则，做好固体废物的分类收集和综合利用，并建立固体废物产生、储存、处置管理台账；严格按《危险废物贮存污染控制标准（GB18597-2001）》及2013年修改单相关要求建设管理危险废物暂存间，项目工艺滤渣、生产工艺废液、废有机溶剂、废过滤网、废活性炭、废UV灯管、废矿物油、废包装桶/袋等危险固废委托具有相应危险废物许可证的单位处置；一般固废布袋除尘器截留的粉尘回用于生产，废旧设备、废反渗透滤膜按《一般工业固体废物贮存和填埋污染控制标准》（GB18599-2020）要求贮存、妥善处置；生活垃圾由环卫部门定期清运。</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6、加强营运期风险防范。严格落实报告书提出的各项环境风险防范措施，按照《突发环境事件应急管理办法》修订完善突发环境事件应急预案，储备风险救助物资并组织演练，杜绝环境风险事故发生。</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7、加强环境管理，建立健全污染防治设施运行管理台帐，设专门的环保机构及环保人员，确保各项污染防治设施的正常运行，各类污染物稳定达标排放。</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8、企业的总量控制指标为：VOCs≤9.7t/a。</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三、你公司应收到本批复后15个工作日内，将批复及批准的环评报告文件送岳阳市生态环境局岳阳县分局、湖南环美达环保科技有限公司。</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四、请岳阳市生态环境局岳阳县分局负责项目建设和运营期的日常环境监管。</w:t>
      </w:r>
    </w:p>
    <w:p>
      <w:pPr>
        <w:spacing w:line="480" w:lineRule="exact"/>
        <w:rPr>
          <w:rFonts w:hint="eastAsia" w:ascii="仿宋" w:hAnsi="仿宋" w:eastAsia="仿宋" w:cs="仿宋"/>
          <w:color w:val="auto"/>
          <w:sz w:val="32"/>
          <w:szCs w:val="32"/>
        </w:rPr>
      </w:pPr>
    </w:p>
    <w:p>
      <w:pPr>
        <w:spacing w:line="48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岳阳市生态环境局</w:t>
      </w:r>
    </w:p>
    <w:p>
      <w:pPr>
        <w:spacing w:line="48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2021年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p>
    <w:sectPr>
      <w:footerReference r:id="rId3" w:type="default"/>
      <w:pgSz w:w="11906" w:h="16838"/>
      <w:pgMar w:top="1440" w:right="1576"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80"/>
    <w:rsid w:val="0008135B"/>
    <w:rsid w:val="00087CAC"/>
    <w:rsid w:val="000C3284"/>
    <w:rsid w:val="000F7FEE"/>
    <w:rsid w:val="001376CB"/>
    <w:rsid w:val="00210645"/>
    <w:rsid w:val="002915B5"/>
    <w:rsid w:val="00392816"/>
    <w:rsid w:val="00422863"/>
    <w:rsid w:val="00424F4A"/>
    <w:rsid w:val="00444175"/>
    <w:rsid w:val="00466394"/>
    <w:rsid w:val="004A6F37"/>
    <w:rsid w:val="004D0533"/>
    <w:rsid w:val="0059216D"/>
    <w:rsid w:val="006033CD"/>
    <w:rsid w:val="0066721E"/>
    <w:rsid w:val="006D6BA7"/>
    <w:rsid w:val="0077106C"/>
    <w:rsid w:val="00786DB8"/>
    <w:rsid w:val="007C20BA"/>
    <w:rsid w:val="00833978"/>
    <w:rsid w:val="00846100"/>
    <w:rsid w:val="008B6A94"/>
    <w:rsid w:val="008C4CAB"/>
    <w:rsid w:val="008D2ED1"/>
    <w:rsid w:val="0090041C"/>
    <w:rsid w:val="009B165D"/>
    <w:rsid w:val="009E60EE"/>
    <w:rsid w:val="009F64F4"/>
    <w:rsid w:val="00AD389E"/>
    <w:rsid w:val="00AD70FE"/>
    <w:rsid w:val="00B22302"/>
    <w:rsid w:val="00B95B92"/>
    <w:rsid w:val="00BB1E57"/>
    <w:rsid w:val="00BF6377"/>
    <w:rsid w:val="00BF70D1"/>
    <w:rsid w:val="00C44980"/>
    <w:rsid w:val="00CA2031"/>
    <w:rsid w:val="00CD01B5"/>
    <w:rsid w:val="00D43A39"/>
    <w:rsid w:val="00DD452D"/>
    <w:rsid w:val="00E26E4E"/>
    <w:rsid w:val="00E4123B"/>
    <w:rsid w:val="00E44EC9"/>
    <w:rsid w:val="00E8194E"/>
    <w:rsid w:val="00EF0AD7"/>
    <w:rsid w:val="08692EF5"/>
    <w:rsid w:val="40150C59"/>
    <w:rsid w:val="48BC3BA1"/>
    <w:rsid w:val="5D946D80"/>
    <w:rsid w:val="798F774B"/>
    <w:rsid w:val="7C94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8"/>
    <w:basedOn w:val="1"/>
    <w:next w:val="1"/>
    <w:link w:val="16"/>
    <w:unhideWhenUsed/>
    <w:qFormat/>
    <w:uiPriority w:val="9"/>
    <w:pPr>
      <w:keepNext/>
      <w:keepLines/>
      <w:spacing w:before="240" w:after="64" w:line="320" w:lineRule="auto"/>
      <w:outlineLvl w:val="7"/>
    </w:pPr>
    <w:rPr>
      <w:rFonts w:ascii="Cambria" w:hAnsi="Cambria" w:eastAsia="宋体" w:cs="Times New Roman"/>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semiHidden/>
    <w:unhideWhenUsed/>
    <w:uiPriority w:val="99"/>
    <w:pPr>
      <w:jc w:val="left"/>
    </w:pPr>
  </w:style>
  <w:style w:type="paragraph" w:styleId="4">
    <w:name w:val="Balloon Text"/>
    <w:basedOn w:val="1"/>
    <w:link w:val="12"/>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uiPriority w:val="99"/>
    <w:rPr>
      <w:sz w:val="18"/>
      <w:szCs w:val="18"/>
    </w:rPr>
  </w:style>
  <w:style w:type="character" w:customStyle="1" w:styleId="14">
    <w:name w:val="批注文字 Char"/>
    <w:basedOn w:val="9"/>
    <w:link w:val="3"/>
    <w:semiHidden/>
    <w:qFormat/>
    <w:uiPriority w:val="99"/>
  </w:style>
  <w:style w:type="character" w:customStyle="1" w:styleId="15">
    <w:name w:val="批注主题 Char"/>
    <w:basedOn w:val="14"/>
    <w:link w:val="7"/>
    <w:semiHidden/>
    <w:uiPriority w:val="99"/>
    <w:rPr>
      <w:b/>
      <w:bCs/>
    </w:rPr>
  </w:style>
  <w:style w:type="character" w:customStyle="1" w:styleId="16">
    <w:name w:val="标题 8 Char"/>
    <w:basedOn w:val="9"/>
    <w:link w:val="2"/>
    <w:uiPriority w:val="9"/>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424</Words>
  <Characters>2417</Characters>
  <Lines>20</Lines>
  <Paragraphs>5</Paragraphs>
  <TotalTime>4</TotalTime>
  <ScaleCrop>false</ScaleCrop>
  <LinksUpToDate>false</LinksUpToDate>
  <CharactersWithSpaces>2836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2021-06-24T06:08:00Z</dcterms:created>
  <dc:creator>Administrator</dc:creator>
  <cp:lastModifiedBy>LENOVO</cp:lastModifiedBy>
  <dcterms:modified xsi:type="dcterms:W3CDTF">2021-12-30T08:59:13Z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725B425F6D1C4E9CBF638D75BD2D4AEC</vt:lpwstr>
  </property>
</Properties>
</file>