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岳阳市殡葬执法支队</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403003</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202</w:t>
      </w:r>
      <w:r>
        <w:rPr>
          <w:rFonts w:hint="eastAsia" w:eastAsia="仿宋_GB2312"/>
          <w:sz w:val="32"/>
          <w:lang w:val="en-US" w:eastAsia="zh-CN"/>
        </w:rPr>
        <w:t>2</w:t>
      </w:r>
      <w:r>
        <w:rPr>
          <w:rFonts w:hint="eastAsia" w:eastAsia="仿宋_GB2312"/>
          <w:sz w:val="32"/>
        </w:rPr>
        <w:t>年</w:t>
      </w:r>
      <w:r>
        <w:rPr>
          <w:rFonts w:eastAsia="仿宋_GB2312"/>
          <w:sz w:val="32"/>
        </w:rPr>
        <w:t xml:space="preserve"> 6 </w:t>
      </w:r>
      <w:r>
        <w:rPr>
          <w:rFonts w:hint="eastAsia" w:eastAsia="仿宋_GB2312"/>
          <w:sz w:val="32"/>
        </w:rPr>
        <w:t>月</w:t>
      </w:r>
      <w:r>
        <w:rPr>
          <w:rFonts w:eastAsia="仿宋_GB2312"/>
          <w:sz w:val="32"/>
        </w:rPr>
        <w:t xml:space="preserve"> </w:t>
      </w:r>
      <w:r>
        <w:rPr>
          <w:rFonts w:hint="eastAsia" w:eastAsia="仿宋_GB2312"/>
          <w:sz w:val="32"/>
          <w:lang w:val="en-US" w:eastAsia="zh-CN"/>
        </w:rPr>
        <w:t>10</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593"/>
        <w:gridCol w:w="1869"/>
        <w:gridCol w:w="51"/>
        <w:gridCol w:w="196"/>
        <w:gridCol w:w="259"/>
        <w:gridCol w:w="1080"/>
        <w:gridCol w:w="404"/>
        <w:gridCol w:w="278"/>
        <w:gridCol w:w="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彭必芸</w:t>
            </w:r>
          </w:p>
        </w:tc>
        <w:tc>
          <w:tcPr>
            <w:tcW w:w="186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93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13467306962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24</w:t>
            </w:r>
          </w:p>
        </w:tc>
        <w:tc>
          <w:tcPr>
            <w:tcW w:w="186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931"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宣传贯彻殡葬改革法规、政策；制定全市殡葬执法的规章、规定和规程等政策性工作，积极推进殡葬改革；负责惠民殡葬和生态殡葬政策的监督、落实；殡葬执法检、督查、培训、考核；丧葬用品市场督查和协调执法。其他市本级殡葬服务工作、龙头山公墓维护管理工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3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：中心城区执法巡查全覆盖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：对全市经营性公墓执法检查全覆盖</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惠民殡葬、</w:t>
            </w:r>
            <w:r>
              <w:rPr>
                <w:rFonts w:hint="eastAsia" w:ascii="仿宋_GB2312" w:hAnsi="仿宋_GB2312" w:eastAsia="仿宋_GB2312" w:cs="仿宋_GB2312"/>
                <w:color w:val="000000"/>
                <w:sz w:val="24"/>
              </w:rPr>
              <w:t>生态安葬</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文明祭扫</w:t>
            </w:r>
            <w:r>
              <w:rPr>
                <w:rFonts w:hint="eastAsia" w:ascii="仿宋_GB2312" w:hAnsi="仿宋_GB2312" w:eastAsia="仿宋_GB2312" w:cs="仿宋_GB2312"/>
                <w:color w:val="000000"/>
                <w:sz w:val="24"/>
                <w:lang w:val="en-US" w:eastAsia="zh-CN"/>
              </w:rPr>
              <w:t>政策推行、督查、落实</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：牵头处理殡葬</w:t>
            </w:r>
            <w:r>
              <w:rPr>
                <w:rFonts w:hint="eastAsia" w:ascii="仿宋_GB2312" w:hAnsi="仿宋_GB2312" w:eastAsia="仿宋_GB2312" w:cs="仿宋_GB2312"/>
                <w:color w:val="000000"/>
                <w:sz w:val="24"/>
                <w:lang w:val="en-US" w:eastAsia="zh-CN"/>
              </w:rPr>
              <w:t>服务</w:t>
            </w:r>
            <w:r>
              <w:rPr>
                <w:rFonts w:hint="eastAsia" w:ascii="仿宋_GB2312" w:hAnsi="仿宋_GB2312" w:eastAsia="仿宋_GB2312" w:cs="仿宋_GB2312"/>
                <w:color w:val="000000"/>
                <w:sz w:val="24"/>
              </w:rPr>
              <w:t>单位违规</w:t>
            </w:r>
            <w:r>
              <w:rPr>
                <w:rFonts w:hint="eastAsia" w:ascii="仿宋_GB2312" w:hAnsi="仿宋_GB2312" w:eastAsia="仿宋_GB2312" w:cs="仿宋_GB2312"/>
                <w:color w:val="000000"/>
                <w:sz w:val="24"/>
                <w:lang w:val="en-US" w:eastAsia="zh-CN"/>
              </w:rPr>
              <w:t>建设、</w:t>
            </w:r>
            <w:r>
              <w:rPr>
                <w:rFonts w:hint="eastAsia" w:ascii="仿宋_GB2312" w:hAnsi="仿宋_GB2312" w:eastAsia="仿宋_GB2312" w:cs="仿宋_GB2312"/>
                <w:color w:val="000000"/>
                <w:sz w:val="24"/>
              </w:rPr>
              <w:t>经营</w:t>
            </w:r>
            <w:r>
              <w:rPr>
                <w:rFonts w:hint="eastAsia" w:ascii="仿宋_GB2312" w:hAnsi="仿宋_GB2312" w:eastAsia="仿宋_GB2312" w:cs="仿宋_GB2312"/>
                <w:color w:val="000000"/>
                <w:sz w:val="24"/>
                <w:lang w:val="en-US" w:eastAsia="zh-CN"/>
              </w:rPr>
              <w:t>等行为</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：督查、指导全市殡葬执法工作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查处重大违法殡葬案件</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：开展殡葬执法培训</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5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单位总体运行情况良好</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殡葬执法工作有序推进，实现了本市地域</w:t>
            </w:r>
            <w:r>
              <w:rPr>
                <w:rFonts w:hint="eastAsia" w:ascii="仿宋_GB2312" w:hAnsi="仿宋_GB2312" w:eastAsia="仿宋_GB2312" w:cs="仿宋_GB2312"/>
                <w:color w:val="000000"/>
                <w:sz w:val="24"/>
                <w:lang w:val="en-US" w:eastAsia="zh-CN"/>
              </w:rPr>
              <w:t>深度推进</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殡葬改革宣传更务实，推广了宣传进社区、进单位、进田间地头，老百姓知法、守法、用法的更多</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生态殡葬已走进全省先进行列</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惠民殡葬、生态殡葬政策督促落实效果好</w:t>
            </w:r>
          </w:p>
          <w:p>
            <w:pPr>
              <w:pStyle w:val="10"/>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殡葬联合执法力度加大，</w:t>
            </w:r>
            <w:r>
              <w:rPr>
                <w:rFonts w:hint="eastAsia" w:ascii="仿宋_GB2312" w:hAnsi="仿宋_GB2312" w:eastAsia="仿宋_GB2312" w:cs="仿宋_GB2312"/>
                <w:color w:val="000000"/>
                <w:sz w:val="24"/>
              </w:rPr>
              <w:t>丧事简办、文明治丧逐步推广，</w:t>
            </w:r>
            <w:r>
              <w:rPr>
                <w:rFonts w:hint="eastAsia" w:ascii="仿宋_GB2312" w:hAnsi="仿宋_GB2312" w:eastAsia="仿宋_GB2312" w:cs="仿宋_GB2312"/>
                <w:color w:val="000000"/>
                <w:sz w:val="24"/>
                <w:lang w:val="en-US" w:eastAsia="zh-CN"/>
              </w:rPr>
              <w:t>老百姓丧葬负担逐步减轻，</w:t>
            </w:r>
            <w:r>
              <w:rPr>
                <w:rFonts w:hint="eastAsia" w:ascii="仿宋_GB2312" w:hAnsi="仿宋_GB2312" w:eastAsia="仿宋_GB2312" w:cs="仿宋_GB2312"/>
                <w:color w:val="000000"/>
                <w:sz w:val="24"/>
              </w:rPr>
              <w:t>得到了中央省市三级肯定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9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53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34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、岳阳市殡葬执法支队</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460.56</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10.98</w:t>
            </w:r>
          </w:p>
        </w:tc>
        <w:tc>
          <w:tcPr>
            <w:tcW w:w="865"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448.12</w:t>
            </w:r>
          </w:p>
        </w:tc>
        <w:tc>
          <w:tcPr>
            <w:tcW w:w="192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53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5"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6"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3"/>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82" w:type="dxa"/>
            <w:gridSpan w:val="2"/>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63"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37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82" w:type="dxa"/>
            <w:gridSpan w:val="2"/>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63"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、岳阳市殡葬执法支队</w:t>
            </w:r>
          </w:p>
        </w:tc>
        <w:tc>
          <w:tcPr>
            <w:tcW w:w="1080" w:type="dxa"/>
            <w:tcBorders>
              <w:right w:val="single" w:color="auto" w:sz="4" w:space="0"/>
            </w:tcBorders>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460.56</w:t>
            </w:r>
          </w:p>
        </w:tc>
        <w:tc>
          <w:tcPr>
            <w:tcW w:w="1355" w:type="dxa"/>
            <w:gridSpan w:val="2"/>
            <w:tcBorders>
              <w:left w:val="single" w:color="auto" w:sz="4" w:space="0"/>
            </w:tcBorders>
            <w:vAlign w:val="center"/>
          </w:tcPr>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344.95</w:t>
            </w:r>
          </w:p>
        </w:tc>
        <w:tc>
          <w:tcPr>
            <w:tcW w:w="865" w:type="dxa"/>
            <w:gridSpan w:val="2"/>
            <w:vAlign w:val="center"/>
          </w:tcPr>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295.88</w:t>
            </w:r>
          </w:p>
        </w:tc>
        <w:tc>
          <w:tcPr>
            <w:tcW w:w="2375" w:type="dxa"/>
            <w:gridSpan w:val="4"/>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49.07</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115.61</w:t>
            </w:r>
          </w:p>
        </w:tc>
        <w:tc>
          <w:tcPr>
            <w:tcW w:w="682"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663" w:type="dxa"/>
            <w:tcBorders>
              <w:lef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86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37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、岳阳市殡葬执法支队</w:t>
            </w:r>
          </w:p>
        </w:tc>
        <w:tc>
          <w:tcPr>
            <w:tcW w:w="1080" w:type="dxa"/>
            <w:tcBorders>
              <w:right w:val="single" w:color="auto" w:sz="4" w:space="0"/>
            </w:tcBorders>
            <w:vAlign w:val="center"/>
          </w:tcPr>
          <w:p>
            <w:pPr>
              <w:autoSpaceDN w:val="0"/>
              <w:spacing w:line="320" w:lineRule="exac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4.05</w:t>
            </w:r>
          </w:p>
        </w:tc>
        <w:tc>
          <w:tcPr>
            <w:tcW w:w="1355" w:type="dxa"/>
            <w:gridSpan w:val="2"/>
            <w:tcBorders>
              <w:left w:val="single" w:color="auto" w:sz="4" w:space="0"/>
            </w:tcBorders>
            <w:vAlign w:val="center"/>
          </w:tcPr>
          <w:p>
            <w:pPr>
              <w:autoSpaceDN w:val="0"/>
              <w:spacing w:line="320" w:lineRule="exact"/>
              <w:jc w:val="both"/>
              <w:textAlignment w:val="center"/>
              <w:rPr>
                <w:rFonts w:ascii="仿宋_GB2312" w:hAnsi="仿宋_GB2312" w:eastAsia="仿宋_GB2312" w:cs="仿宋_GB2312"/>
                <w:color w:val="000000"/>
                <w:sz w:val="24"/>
              </w:rPr>
            </w:pPr>
          </w:p>
        </w:tc>
        <w:tc>
          <w:tcPr>
            <w:tcW w:w="865" w:type="dxa"/>
            <w:gridSpan w:val="2"/>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4.05</w:t>
            </w:r>
          </w:p>
        </w:tc>
        <w:tc>
          <w:tcPr>
            <w:tcW w:w="2375" w:type="dxa"/>
            <w:gridSpan w:val="4"/>
            <w:vAlign w:val="center"/>
          </w:tcPr>
          <w:p>
            <w:pPr>
              <w:autoSpaceDN w:val="0"/>
              <w:spacing w:line="320" w:lineRule="exact"/>
              <w:textAlignment w:val="center"/>
              <w:rPr>
                <w:rFonts w:ascii="仿宋_GB2312" w:hAnsi="仿宋_GB2312" w:eastAsia="仿宋_GB2312" w:cs="仿宋_GB2312"/>
                <w:color w:val="000000"/>
                <w:sz w:val="24"/>
              </w:rPr>
            </w:pPr>
          </w:p>
        </w:tc>
        <w:tc>
          <w:tcPr>
            <w:tcW w:w="242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9"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9"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859"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、岳阳市殡葬执法支队</w:t>
            </w:r>
          </w:p>
        </w:tc>
        <w:tc>
          <w:tcPr>
            <w:tcW w:w="1080" w:type="dxa"/>
            <w:tcBorders>
              <w:right w:val="single" w:color="auto" w:sz="4" w:space="0"/>
            </w:tcBorders>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1148.51</w:t>
            </w:r>
          </w:p>
        </w:tc>
        <w:tc>
          <w:tcPr>
            <w:tcW w:w="2220" w:type="dxa"/>
            <w:gridSpan w:val="4"/>
            <w:tcBorders>
              <w:left w:val="single" w:color="auto" w:sz="4" w:space="0"/>
            </w:tcBorders>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1148.51</w:t>
            </w:r>
          </w:p>
        </w:tc>
        <w:tc>
          <w:tcPr>
            <w:tcW w:w="38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5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0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559"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：中心城区执法巡查全覆盖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：对全市经营性公墓执法检查全覆盖</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惠民殡葬、</w:t>
            </w:r>
            <w:r>
              <w:rPr>
                <w:rFonts w:hint="eastAsia" w:ascii="仿宋_GB2312" w:hAnsi="仿宋_GB2312" w:eastAsia="仿宋_GB2312" w:cs="仿宋_GB2312"/>
                <w:color w:val="000000"/>
                <w:sz w:val="24"/>
              </w:rPr>
              <w:t>生态安葬</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文明祭扫</w:t>
            </w:r>
            <w:r>
              <w:rPr>
                <w:rFonts w:hint="eastAsia" w:ascii="仿宋_GB2312" w:hAnsi="仿宋_GB2312" w:eastAsia="仿宋_GB2312" w:cs="仿宋_GB2312"/>
                <w:color w:val="000000"/>
                <w:sz w:val="24"/>
                <w:lang w:val="en-US" w:eastAsia="zh-CN"/>
              </w:rPr>
              <w:t>政策推行、督查、落实</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：牵头处理殡葬</w:t>
            </w:r>
            <w:r>
              <w:rPr>
                <w:rFonts w:hint="eastAsia" w:ascii="仿宋_GB2312" w:hAnsi="仿宋_GB2312" w:eastAsia="仿宋_GB2312" w:cs="仿宋_GB2312"/>
                <w:color w:val="000000"/>
                <w:sz w:val="24"/>
                <w:lang w:val="en-US" w:eastAsia="zh-CN"/>
              </w:rPr>
              <w:t>服务</w:t>
            </w:r>
            <w:r>
              <w:rPr>
                <w:rFonts w:hint="eastAsia" w:ascii="仿宋_GB2312" w:hAnsi="仿宋_GB2312" w:eastAsia="仿宋_GB2312" w:cs="仿宋_GB2312"/>
                <w:color w:val="000000"/>
                <w:sz w:val="24"/>
              </w:rPr>
              <w:t>单位违规</w:t>
            </w:r>
            <w:r>
              <w:rPr>
                <w:rFonts w:hint="eastAsia" w:ascii="仿宋_GB2312" w:hAnsi="仿宋_GB2312" w:eastAsia="仿宋_GB2312" w:cs="仿宋_GB2312"/>
                <w:color w:val="000000"/>
                <w:sz w:val="24"/>
                <w:lang w:val="en-US" w:eastAsia="zh-CN"/>
              </w:rPr>
              <w:t>建设、</w:t>
            </w:r>
            <w:r>
              <w:rPr>
                <w:rFonts w:hint="eastAsia" w:ascii="仿宋_GB2312" w:hAnsi="仿宋_GB2312" w:eastAsia="仿宋_GB2312" w:cs="仿宋_GB2312"/>
                <w:color w:val="000000"/>
                <w:sz w:val="24"/>
              </w:rPr>
              <w:t>经营</w:t>
            </w:r>
            <w:r>
              <w:rPr>
                <w:rFonts w:hint="eastAsia" w:ascii="仿宋_GB2312" w:hAnsi="仿宋_GB2312" w:eastAsia="仿宋_GB2312" w:cs="仿宋_GB2312"/>
                <w:color w:val="000000"/>
                <w:sz w:val="24"/>
                <w:lang w:val="en-US" w:eastAsia="zh-CN"/>
              </w:rPr>
              <w:t>等行为</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：督查、指导全市殡葬执法工作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查处重大违法殡葬案件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：开展殡葬执法培训</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考核</w:t>
            </w:r>
          </w:p>
        </w:tc>
        <w:tc>
          <w:tcPr>
            <w:tcW w:w="4800" w:type="dxa"/>
            <w:gridSpan w:val="8"/>
            <w:vAlign w:val="center"/>
          </w:tcPr>
          <w:p>
            <w:pPr>
              <w:pStyle w:val="10"/>
              <w:numPr>
                <w:ilvl w:val="0"/>
                <w:numId w:val="2"/>
              </w:numPr>
              <w:autoSpaceDN w:val="0"/>
              <w:spacing w:line="320" w:lineRule="exact"/>
              <w:ind w:firstLine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中心城区执法巡查已成常态化工作，接警处置率达</w:t>
            </w:r>
            <w:r>
              <w:rPr>
                <w:rFonts w:ascii="仿宋_GB2312" w:hAnsi="仿宋_GB2312" w:eastAsia="仿宋_GB2312" w:cs="仿宋_GB2312"/>
                <w:color w:val="000000"/>
                <w:sz w:val="24"/>
              </w:rPr>
              <w:t>100%</w:t>
            </w:r>
            <w:r>
              <w:rPr>
                <w:rFonts w:hint="eastAsia" w:ascii="仿宋_GB2312" w:hAnsi="仿宋_GB2312" w:eastAsia="仿宋_GB2312" w:cs="仿宋_GB2312"/>
                <w:color w:val="000000"/>
                <w:sz w:val="24"/>
              </w:rPr>
              <w:t>。全年累计巡查</w:t>
            </w:r>
            <w:r>
              <w:rPr>
                <w:rFonts w:hint="eastAsia" w:ascii="仿宋_GB2312" w:hAnsi="仿宋_GB2312" w:eastAsia="仿宋_GB2312" w:cs="仿宋_GB2312"/>
                <w:color w:val="000000"/>
                <w:sz w:val="24"/>
                <w:lang w:val="en-US" w:eastAsia="zh-CN"/>
              </w:rPr>
              <w:t>2195人</w:t>
            </w:r>
            <w:r>
              <w:rPr>
                <w:rFonts w:hint="eastAsia" w:ascii="仿宋_GB2312" w:hAnsi="仿宋_GB2312" w:eastAsia="仿宋_GB2312" w:cs="仿宋_GB2312"/>
                <w:color w:val="000000"/>
                <w:sz w:val="24"/>
              </w:rPr>
              <w:t>次，拆除违规搭棚治丧</w:t>
            </w:r>
            <w:r>
              <w:rPr>
                <w:rFonts w:hint="eastAsia" w:ascii="仿宋_GB2312" w:hAnsi="仿宋_GB2312" w:eastAsia="仿宋_GB2312" w:cs="仿宋_GB2312"/>
                <w:color w:val="000000"/>
                <w:sz w:val="24"/>
                <w:lang w:val="en-US" w:eastAsia="zh-CN"/>
              </w:rPr>
              <w:t xml:space="preserve">3 </w:t>
            </w:r>
            <w:r>
              <w:rPr>
                <w:rFonts w:hint="eastAsia" w:ascii="仿宋_GB2312" w:hAnsi="仿宋_GB2312" w:eastAsia="仿宋_GB2312" w:cs="仿宋_GB2312"/>
                <w:color w:val="000000"/>
                <w:sz w:val="24"/>
              </w:rPr>
              <w:t>起，劝导、制止丧事扰民行为</w:t>
            </w:r>
            <w:r>
              <w:rPr>
                <w:rFonts w:hint="eastAsia" w:ascii="仿宋_GB2312" w:hAnsi="仿宋_GB2312" w:eastAsia="仿宋_GB2312" w:cs="仿宋_GB2312"/>
                <w:color w:val="000000"/>
                <w:sz w:val="24"/>
                <w:lang w:val="en-US" w:eastAsia="zh-CN"/>
              </w:rPr>
              <w:t>131</w:t>
            </w:r>
            <w:r>
              <w:rPr>
                <w:rFonts w:hint="eastAsia" w:ascii="仿宋_GB2312" w:hAnsi="仿宋_GB2312" w:eastAsia="仿宋_GB2312" w:cs="仿宋_GB2312"/>
                <w:color w:val="000000"/>
                <w:sz w:val="24"/>
              </w:rPr>
              <w:t>起</w:t>
            </w:r>
            <w:r>
              <w:rPr>
                <w:rFonts w:ascii="仿宋_GB2312" w:hAnsi="仿宋_GB2312" w:eastAsia="仿宋_GB2312" w:cs="仿宋_GB2312"/>
                <w:color w:val="000000"/>
                <w:sz w:val="24"/>
              </w:rPr>
              <w:t xml:space="preserve"> </w:t>
            </w:r>
          </w:p>
          <w:p>
            <w:pPr>
              <w:autoSpaceDN w:val="0"/>
              <w:spacing w:line="320" w:lineRule="exact"/>
              <w:ind w:firstLine="120" w:firstLineChars="50"/>
              <w:textAlignment w:val="center"/>
              <w:rPr>
                <w:rFonts w:hint="default"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对全市经营性公墓每年进行一次执法检查，对违规超标公墓责令整改</w:t>
            </w:r>
            <w:r>
              <w:rPr>
                <w:rFonts w:hint="eastAsia" w:ascii="仿宋_GB2312" w:hAnsi="仿宋_GB2312" w:eastAsia="仿宋_GB2312" w:cs="仿宋_GB2312"/>
                <w:color w:val="000000"/>
                <w:sz w:val="24"/>
                <w:lang w:val="en-US" w:eastAsia="zh-CN"/>
              </w:rPr>
              <w:t>并依法处理</w:t>
            </w:r>
          </w:p>
          <w:p>
            <w:pPr>
              <w:autoSpaceDN w:val="0"/>
              <w:spacing w:line="320" w:lineRule="exact"/>
              <w:ind w:firstLine="120" w:firstLineChars="50"/>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惠民殡葬、</w:t>
            </w:r>
            <w:r>
              <w:rPr>
                <w:rFonts w:hint="eastAsia" w:ascii="仿宋_GB2312" w:hAnsi="仿宋_GB2312" w:eastAsia="仿宋_GB2312" w:cs="仿宋_GB2312"/>
                <w:color w:val="000000"/>
                <w:sz w:val="24"/>
              </w:rPr>
              <w:t>生态安葬，文明祭扫</w:t>
            </w:r>
            <w:r>
              <w:rPr>
                <w:rFonts w:hint="eastAsia" w:ascii="仿宋_GB2312" w:hAnsi="仿宋_GB2312" w:eastAsia="仿宋_GB2312" w:cs="仿宋_GB2312"/>
                <w:color w:val="000000"/>
                <w:sz w:val="24"/>
                <w:lang w:val="en-US" w:eastAsia="zh-CN"/>
              </w:rPr>
              <w:t>等执法性督查</w:t>
            </w:r>
            <w:r>
              <w:rPr>
                <w:rFonts w:hint="eastAsia" w:ascii="仿宋_GB2312" w:hAnsi="仿宋_GB2312" w:eastAsia="仿宋_GB2312" w:cs="仿宋_GB2312"/>
                <w:color w:val="000000"/>
                <w:sz w:val="24"/>
              </w:rPr>
              <w:t>进一步</w:t>
            </w:r>
            <w:r>
              <w:rPr>
                <w:rFonts w:hint="eastAsia" w:ascii="仿宋_GB2312" w:hAnsi="仿宋_GB2312" w:eastAsia="仿宋_GB2312" w:cs="仿宋_GB2312"/>
                <w:color w:val="000000"/>
                <w:sz w:val="24"/>
                <w:lang w:val="en-US" w:eastAsia="zh-CN"/>
              </w:rPr>
              <w:t>落实</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文明治丧人数</w:t>
            </w:r>
            <w:r>
              <w:rPr>
                <w:rFonts w:hint="eastAsia" w:ascii="仿宋_GB2312" w:hAnsi="仿宋_GB2312" w:eastAsia="仿宋_GB2312" w:cs="仿宋_GB2312"/>
                <w:color w:val="000000"/>
                <w:sz w:val="24"/>
                <w:lang w:val="en-US" w:eastAsia="zh-CN"/>
              </w:rPr>
              <w:t>101</w:t>
            </w:r>
            <w:r>
              <w:rPr>
                <w:rFonts w:hint="eastAsia" w:ascii="仿宋_GB2312" w:hAnsi="仿宋_GB2312" w:eastAsia="仿宋_GB2312" w:cs="仿宋_GB2312"/>
                <w:color w:val="000000"/>
                <w:sz w:val="24"/>
              </w:rPr>
              <w:t>人，奖励</w:t>
            </w:r>
            <w:r>
              <w:rPr>
                <w:rFonts w:hint="eastAsia" w:ascii="仿宋_GB2312" w:hAnsi="仿宋_GB2312" w:eastAsia="仿宋_GB2312" w:cs="仿宋_GB2312"/>
                <w:color w:val="000000"/>
                <w:sz w:val="24"/>
                <w:lang w:val="en-US" w:eastAsia="zh-CN"/>
              </w:rPr>
              <w:t>30.5</w:t>
            </w:r>
            <w:r>
              <w:rPr>
                <w:rFonts w:hint="eastAsia" w:ascii="仿宋_GB2312" w:hAnsi="仿宋_GB2312" w:eastAsia="仿宋_GB2312" w:cs="仿宋_GB2312"/>
                <w:color w:val="000000"/>
                <w:sz w:val="24"/>
              </w:rPr>
              <w:t>万元；集中治丧人数</w:t>
            </w:r>
            <w:r>
              <w:rPr>
                <w:rFonts w:hint="eastAsia" w:ascii="仿宋_GB2312" w:hAnsi="仿宋_GB2312" w:eastAsia="仿宋_GB2312" w:cs="仿宋_GB2312"/>
                <w:color w:val="000000"/>
                <w:sz w:val="24"/>
                <w:lang w:val="en-US" w:eastAsia="zh-CN"/>
              </w:rPr>
              <w:t>135</w:t>
            </w:r>
            <w:r>
              <w:rPr>
                <w:rFonts w:hint="eastAsia" w:ascii="仿宋_GB2312" w:hAnsi="仿宋_GB2312" w:eastAsia="仿宋_GB2312" w:cs="仿宋_GB2312"/>
                <w:color w:val="000000"/>
                <w:sz w:val="24"/>
              </w:rPr>
              <w:t>人，奖励</w:t>
            </w:r>
            <w:r>
              <w:rPr>
                <w:rFonts w:hint="eastAsia" w:ascii="仿宋_GB2312" w:hAnsi="仿宋_GB2312" w:eastAsia="仿宋_GB2312" w:cs="仿宋_GB2312"/>
                <w:color w:val="000000"/>
                <w:sz w:val="24"/>
                <w:lang w:val="en-US" w:eastAsia="zh-CN"/>
              </w:rPr>
              <w:t>40.5</w:t>
            </w:r>
            <w:r>
              <w:rPr>
                <w:rFonts w:hint="eastAsia" w:ascii="仿宋_GB2312" w:hAnsi="仿宋_GB2312" w:eastAsia="仿宋_GB2312" w:cs="仿宋_GB2312"/>
                <w:color w:val="000000"/>
                <w:sz w:val="24"/>
              </w:rPr>
              <w:t>万元。</w:t>
            </w:r>
            <w:r>
              <w:rPr>
                <w:rFonts w:ascii="仿宋_GB2312" w:hAnsi="仿宋_GB2312" w:eastAsia="仿宋_GB2312" w:cs="仿宋_GB2312"/>
                <w:color w:val="000000"/>
                <w:sz w:val="24"/>
              </w:rPr>
              <w:t xml:space="preserve"> </w:t>
            </w:r>
          </w:p>
          <w:p>
            <w:pPr>
              <w:autoSpaceDN w:val="0"/>
              <w:spacing w:line="320" w:lineRule="exact"/>
              <w:ind w:firstLine="120" w:firstLineChars="50"/>
              <w:textAlignment w:val="center"/>
              <w:rPr>
                <w:rFonts w:hint="default"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对殡葬</w:t>
            </w:r>
            <w:r>
              <w:rPr>
                <w:rFonts w:hint="eastAsia" w:ascii="仿宋_GB2312" w:hAnsi="仿宋_GB2312" w:eastAsia="仿宋_GB2312" w:cs="仿宋_GB2312"/>
                <w:color w:val="000000"/>
                <w:sz w:val="24"/>
                <w:lang w:val="en-US" w:eastAsia="zh-CN"/>
              </w:rPr>
              <w:t>服务</w:t>
            </w:r>
            <w:r>
              <w:rPr>
                <w:rFonts w:hint="eastAsia" w:ascii="仿宋_GB2312" w:hAnsi="仿宋_GB2312" w:eastAsia="仿宋_GB2312" w:cs="仿宋_GB2312"/>
                <w:color w:val="000000"/>
                <w:sz w:val="24"/>
              </w:rPr>
              <w:t>单位违规</w:t>
            </w:r>
            <w:r>
              <w:rPr>
                <w:rFonts w:hint="eastAsia" w:ascii="仿宋_GB2312" w:hAnsi="仿宋_GB2312" w:eastAsia="仿宋_GB2312" w:cs="仿宋_GB2312"/>
                <w:color w:val="000000"/>
                <w:sz w:val="24"/>
                <w:lang w:val="en-US" w:eastAsia="zh-CN"/>
              </w:rPr>
              <w:t>建设、</w:t>
            </w:r>
            <w:r>
              <w:rPr>
                <w:rFonts w:hint="eastAsia" w:ascii="仿宋_GB2312" w:hAnsi="仿宋_GB2312" w:eastAsia="仿宋_GB2312" w:cs="仿宋_GB2312"/>
                <w:color w:val="000000"/>
                <w:sz w:val="24"/>
              </w:rPr>
              <w:t>经营行为进行处理</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执法效果好，群众反映佳</w:t>
            </w:r>
          </w:p>
          <w:p>
            <w:pPr>
              <w:autoSpaceDN w:val="0"/>
              <w:spacing w:line="320" w:lineRule="exact"/>
              <w:ind w:firstLine="120" w:firstLineChars="50"/>
              <w:textAlignment w:val="center"/>
              <w:rPr>
                <w:rFonts w:hint="default"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对</w:t>
            </w:r>
            <w:r>
              <w:rPr>
                <w:rFonts w:hint="eastAsia" w:ascii="仿宋_GB2312" w:hAnsi="仿宋_GB2312" w:eastAsia="仿宋_GB2312" w:cs="仿宋_GB2312"/>
                <w:color w:val="000000"/>
                <w:sz w:val="24"/>
                <w:lang w:val="en-US" w:eastAsia="zh-CN"/>
              </w:rPr>
              <w:t>全市</w:t>
            </w:r>
            <w:r>
              <w:rPr>
                <w:rFonts w:hint="eastAsia" w:ascii="仿宋_GB2312" w:hAnsi="仿宋_GB2312" w:eastAsia="仿宋_GB2312" w:cs="仿宋_GB2312"/>
                <w:color w:val="000000"/>
                <w:sz w:val="24"/>
              </w:rPr>
              <w:t>殡葬执法工作进行督查，指导</w:t>
            </w:r>
            <w:r>
              <w:rPr>
                <w:rFonts w:hint="eastAsia" w:ascii="仿宋_GB2312" w:hAnsi="仿宋_GB2312" w:eastAsia="仿宋_GB2312" w:cs="仿宋_GB2312"/>
                <w:color w:val="000000"/>
                <w:sz w:val="24"/>
                <w:lang w:val="en-US" w:eastAsia="zh-CN"/>
              </w:rPr>
              <w:t>查处重大违法殡葬案件</w:t>
            </w:r>
          </w:p>
          <w:p>
            <w:pPr>
              <w:autoSpaceDN w:val="0"/>
              <w:spacing w:line="320" w:lineRule="exact"/>
              <w:ind w:firstLine="120" w:firstLineChars="50"/>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开展殡葬执法</w:t>
            </w:r>
            <w:r>
              <w:rPr>
                <w:rFonts w:hint="eastAsia" w:ascii="仿宋_GB2312" w:hAnsi="仿宋_GB2312" w:eastAsia="仿宋_GB2312" w:cs="仿宋_GB2312"/>
                <w:color w:val="000000"/>
                <w:sz w:val="24"/>
                <w:lang w:val="en-US" w:eastAsia="zh-CN"/>
              </w:rPr>
              <w:t>和落实惠民</w:t>
            </w:r>
            <w:r>
              <w:rPr>
                <w:rFonts w:hint="eastAsia" w:ascii="仿宋_GB2312" w:hAnsi="仿宋_GB2312" w:eastAsia="仿宋_GB2312" w:cs="仿宋_GB2312"/>
                <w:color w:val="000000"/>
                <w:sz w:val="24"/>
              </w:rPr>
              <w:t>殡葬培训各一次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5" w:hRule="atLeast"/>
          <w:jc w:val="center"/>
        </w:trPr>
        <w:tc>
          <w:tcPr>
            <w:tcW w:w="1700" w:type="dxa"/>
            <w:gridSpan w:val="3"/>
            <w:vMerge w:val="restart"/>
            <w:vAlign w:val="center"/>
          </w:tcPr>
          <w:p>
            <w:pPr>
              <w:spacing w:line="320" w:lineRule="exact"/>
              <w:rPr>
                <w:rFonts w:ascii="仿宋_GB2312" w:hAnsi="仿宋_GB2312" w:eastAsia="仿宋_GB2312" w:cs="仿宋_GB2312"/>
                <w:sz w:val="24"/>
              </w:rPr>
            </w:pPr>
          </w:p>
        </w:tc>
        <w:tc>
          <w:tcPr>
            <w:tcW w:w="129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：殡葬改革宣传工作务实，老百姓接受先进殡葬理念程度进一步增强</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遵守殡葬法规，接受先进殡葬方式的群体正在扩大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0"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：殡葬执法环境进一步优化</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违规殡葬行为逐步减少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35"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积极引导生态安葬，生态安葬率逐步提高</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积极落实中心城区惠民殡葬政策，按照规定和要求审核、发放惠民政策资金</w:t>
            </w:r>
          </w:p>
        </w:tc>
        <w:tc>
          <w:tcPr>
            <w:tcW w:w="2684"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乱埋乱葬行为减少，</w:t>
            </w:r>
            <w:r>
              <w:rPr>
                <w:rFonts w:hint="eastAsia" w:ascii="仿宋_GB2312" w:hAnsi="仿宋_GB2312" w:eastAsia="仿宋_GB2312" w:cs="仿宋_GB2312"/>
                <w:color w:val="000000"/>
                <w:sz w:val="24"/>
              </w:rPr>
              <w:t>实行生态安葬人数不断增多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殡葬服务设施、生态设施实现全覆盖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执法监督到位，</w:t>
            </w:r>
            <w:r>
              <w:rPr>
                <w:rFonts w:hint="eastAsia" w:ascii="仿宋_GB2312" w:hAnsi="仿宋_GB2312" w:eastAsia="仿宋_GB2312" w:cs="仿宋_GB2312"/>
                <w:color w:val="000000"/>
                <w:sz w:val="24"/>
              </w:rPr>
              <w:t>惠民奖补资金发放规范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5"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：开展殡葬改革宣传一次</w:t>
            </w:r>
          </w:p>
        </w:tc>
        <w:tc>
          <w:tcPr>
            <w:tcW w:w="2684"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进社区，进单位效果明显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0"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：开展</w:t>
            </w:r>
            <w:r>
              <w:rPr>
                <w:rFonts w:hint="eastAsia" w:ascii="仿宋_GB2312" w:hAnsi="仿宋_GB2312" w:eastAsia="仿宋_GB2312" w:cs="仿宋_GB2312"/>
                <w:color w:val="000000"/>
                <w:sz w:val="24"/>
                <w:lang w:eastAsia="zh-CN"/>
              </w:rPr>
              <w:t>不定期</w:t>
            </w:r>
            <w:r>
              <w:rPr>
                <w:rFonts w:hint="eastAsia" w:ascii="仿宋_GB2312" w:hAnsi="仿宋_GB2312" w:eastAsia="仿宋_GB2312" w:cs="仿宋_GB2312"/>
                <w:color w:val="000000"/>
                <w:sz w:val="24"/>
              </w:rPr>
              <w:t>生态安葬殡葬服务</w:t>
            </w:r>
          </w:p>
        </w:tc>
        <w:tc>
          <w:tcPr>
            <w:tcW w:w="2684"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影响深远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0"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主动开展殡葬执法巡查、督查</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2195人</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次，违规殡葬举报处置率达到</w:t>
            </w:r>
            <w:r>
              <w:rPr>
                <w:rFonts w:ascii="仿宋_GB2312" w:hAnsi="仿宋_GB2312" w:eastAsia="仿宋_GB2312" w:cs="仿宋_GB2312"/>
                <w:color w:val="000000"/>
                <w:sz w:val="24"/>
              </w:rPr>
              <w:t>100%</w:t>
            </w:r>
          </w:p>
        </w:tc>
        <w:tc>
          <w:tcPr>
            <w:tcW w:w="2684"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执法工作按要求全面完成年度目标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5"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：即时受理违规殡葬行为举报、办理惠民殡葬政策奖补资金发放手续</w:t>
            </w:r>
          </w:p>
        </w:tc>
        <w:tc>
          <w:tcPr>
            <w:tcW w:w="2684" w:type="dxa"/>
            <w:gridSpan w:val="5"/>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实行了</w:t>
            </w:r>
            <w:r>
              <w:rPr>
                <w:rFonts w:ascii="仿宋_GB2312" w:hAnsi="仿宋_GB2312" w:eastAsia="仿宋_GB2312" w:cs="仿宋_GB2312"/>
                <w:color w:val="000000"/>
                <w:sz w:val="24"/>
              </w:rPr>
              <w:t>24</w:t>
            </w:r>
            <w:r>
              <w:rPr>
                <w:rFonts w:hint="eastAsia" w:ascii="仿宋_GB2312" w:hAnsi="仿宋_GB2312" w:eastAsia="仿宋_GB2312" w:cs="仿宋_GB2312"/>
                <w:color w:val="000000"/>
                <w:sz w:val="24"/>
              </w:rPr>
              <w:t>小时值班制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及时办理手续，老百姓满意度提高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20"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：一小时内到达中心城区违规殡葬现场进行处置，没有因处置不及时而出现投诉情况</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全面完成，无投诉举报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0"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按照法定时间规定完成其他县市区违规殡葬行为处置程序</w:t>
            </w:r>
          </w:p>
        </w:tc>
        <w:tc>
          <w:tcPr>
            <w:tcW w:w="2684"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已完成，群众满意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0"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：殡葬改革宣传</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万元</w:t>
            </w:r>
          </w:p>
        </w:tc>
        <w:tc>
          <w:tcPr>
            <w:tcW w:w="2684"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5"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：殡葬执法巡查、督查</w:t>
            </w:r>
            <w:r>
              <w:rPr>
                <w:rFonts w:ascii="仿宋_GB2312" w:hAnsi="仿宋_GB2312" w:eastAsia="仿宋_GB2312" w:cs="仿宋_GB2312"/>
                <w:color w:val="000000"/>
                <w:sz w:val="24"/>
              </w:rPr>
              <w:t>20</w:t>
            </w:r>
            <w:r>
              <w:rPr>
                <w:rFonts w:hint="eastAsia" w:ascii="仿宋_GB2312" w:hAnsi="仿宋_GB2312" w:eastAsia="仿宋_GB2312" w:cs="仿宋_GB2312"/>
                <w:color w:val="000000"/>
                <w:sz w:val="24"/>
              </w:rPr>
              <w:t>万元</w:t>
            </w:r>
          </w:p>
        </w:tc>
        <w:tc>
          <w:tcPr>
            <w:tcW w:w="2684"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已完成，受到群众好评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9"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其他服务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万元</w:t>
            </w:r>
          </w:p>
        </w:tc>
        <w:tc>
          <w:tcPr>
            <w:tcW w:w="2684"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已完成，群众满意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35"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：社会各阶层了解殡葬法规、殡葬政策的人逐步增多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：殡葬服务规范程度进一步提高</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老百姓对殡葬执法、殡葬服务的满意度不断提高</w:t>
            </w:r>
          </w:p>
        </w:tc>
        <w:tc>
          <w:tcPr>
            <w:tcW w:w="2684"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已完成，越来越多的人理解、支持殡葬工作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老百姓对殡葬服务质量投诉率低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45"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40"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：殡葬服务单位生态安葬持续开展，生态环境进一步改善</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：采纳文明祭扫、生态祭扫方式的比例逐年增加，公墓（含农村公益性公墓）内祭扫环境进一步优化</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殡葬活动扰民情况得到有效制止</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积极引导公墓（含农村公益性公墓）实行生态安葬，可持续利用土地</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生态设施建设实现了在殡葬服务单位全覆盖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文明祭扫率逐年提高</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殡葬活动扰民情况逐步减少，移风易俗正在成为风尚</w:t>
            </w:r>
          </w:p>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传统型公墓正逐步向生态安葬转型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35"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：老百姓对殡葬执法满意度达到</w:t>
            </w:r>
            <w:r>
              <w:rPr>
                <w:rFonts w:ascii="仿宋_GB2312" w:hAnsi="仿宋_GB2312" w:eastAsia="仿宋_GB2312" w:cs="仿宋_GB2312"/>
                <w:color w:val="000000"/>
                <w:sz w:val="24"/>
              </w:rPr>
              <w:t>90%</w:t>
            </w:r>
            <w:r>
              <w:rPr>
                <w:rFonts w:hint="eastAsia" w:ascii="仿宋_GB2312" w:hAnsi="仿宋_GB2312" w:eastAsia="仿宋_GB2312" w:cs="仿宋_GB2312"/>
                <w:color w:val="000000"/>
                <w:sz w:val="24"/>
              </w:rPr>
              <w:t>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：殡葬改革宣传工作务实有效</w:t>
            </w:r>
          </w:p>
          <w:p>
            <w:pPr>
              <w:pStyle w:val="10"/>
              <w:numPr>
                <w:ilvl w:val="0"/>
                <w:numId w:val="2"/>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殡葬服务满意度达到</w:t>
            </w:r>
            <w:r>
              <w:rPr>
                <w:rFonts w:ascii="仿宋_GB2312" w:hAnsi="仿宋_GB2312" w:eastAsia="仿宋_GB2312" w:cs="仿宋_GB2312"/>
                <w:color w:val="000000"/>
                <w:sz w:val="24"/>
              </w:rPr>
              <w:t>90%</w:t>
            </w:r>
            <w:r>
              <w:rPr>
                <w:rFonts w:hint="eastAsia" w:ascii="仿宋_GB2312" w:hAnsi="仿宋_GB2312" w:eastAsia="仿宋_GB2312" w:cs="仿宋_GB2312"/>
                <w:color w:val="000000"/>
                <w:sz w:val="24"/>
              </w:rPr>
              <w:t>以上</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86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293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陈自卫</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支队长、书记</w:t>
            </w:r>
          </w:p>
        </w:tc>
        <w:tc>
          <w:tcPr>
            <w:tcW w:w="186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市殡葬执法支队</w:t>
            </w:r>
          </w:p>
        </w:tc>
        <w:tc>
          <w:tcPr>
            <w:tcW w:w="293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佘玉虎</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副支队长</w:t>
            </w:r>
          </w:p>
        </w:tc>
        <w:tc>
          <w:tcPr>
            <w:tcW w:w="1869" w:type="dxa"/>
          </w:tcPr>
          <w:p>
            <w:r>
              <w:rPr>
                <w:rFonts w:hint="eastAsia" w:ascii="仿宋_GB2312" w:hAnsi="仿宋_GB2312" w:eastAsia="仿宋_GB2312" w:cs="仿宋_GB2312"/>
                <w:color w:val="000000"/>
                <w:sz w:val="24"/>
              </w:rPr>
              <w:t>市殡葬执法支队</w:t>
            </w:r>
          </w:p>
        </w:tc>
        <w:tc>
          <w:tcPr>
            <w:tcW w:w="293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彭必芸</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869" w:type="dxa"/>
          </w:tcPr>
          <w:p>
            <w:r>
              <w:rPr>
                <w:rFonts w:hint="eastAsia" w:ascii="仿宋_GB2312" w:hAnsi="仿宋_GB2312" w:eastAsia="仿宋_GB2312" w:cs="仿宋_GB2312"/>
                <w:color w:val="000000"/>
                <w:sz w:val="24"/>
              </w:rPr>
              <w:t>市殡葬执法支队</w:t>
            </w:r>
          </w:p>
        </w:tc>
        <w:tc>
          <w:tcPr>
            <w:tcW w:w="293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6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3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19"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8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彭必芸</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13467306962</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本单位是民政局二级机构，财政全额拨款参公事业单位。人员编制</w:t>
            </w:r>
            <w:r>
              <w:rPr>
                <w:rFonts w:ascii="仿宋_GB2312" w:hAnsi="仿宋_GB2312" w:eastAsia="仿宋_GB2312" w:cs="仿宋_GB2312"/>
                <w:bCs/>
                <w:sz w:val="28"/>
                <w:szCs w:val="28"/>
              </w:rPr>
              <w:t>24</w:t>
            </w:r>
            <w:r>
              <w:rPr>
                <w:rFonts w:hint="eastAsia" w:ascii="仿宋_GB2312" w:hAnsi="仿宋_GB2312" w:eastAsia="仿宋_GB2312" w:cs="仿宋_GB2312"/>
                <w:bCs/>
                <w:sz w:val="28"/>
                <w:szCs w:val="28"/>
              </w:rPr>
              <w:t>人，实有人数</w:t>
            </w:r>
            <w:r>
              <w:rPr>
                <w:rFonts w:hint="eastAsia" w:ascii="仿宋_GB2312" w:hAnsi="仿宋_GB2312" w:eastAsia="仿宋_GB2312" w:cs="仿宋_GB2312"/>
                <w:bCs/>
                <w:sz w:val="28"/>
                <w:szCs w:val="28"/>
                <w:lang w:val="en-US" w:eastAsia="zh-CN"/>
              </w:rPr>
              <w:t>18</w:t>
            </w:r>
            <w:r>
              <w:rPr>
                <w:rFonts w:hint="eastAsia" w:ascii="仿宋_GB2312" w:hAnsi="仿宋_GB2312" w:eastAsia="仿宋_GB2312" w:cs="仿宋_GB2312"/>
                <w:bCs/>
                <w:sz w:val="28"/>
                <w:szCs w:val="28"/>
              </w:rPr>
              <w:t>人</w:t>
            </w:r>
            <w:r>
              <w:rPr>
                <w:rFonts w:ascii="仿宋_GB2312" w:hAnsi="仿宋_GB2312" w:eastAsia="仿宋_GB2312" w:cs="仿宋_GB2312"/>
                <w:bCs/>
                <w:sz w:val="28"/>
                <w:szCs w:val="28"/>
              </w:rPr>
              <w:t>.</w:t>
            </w:r>
          </w:p>
          <w:p>
            <w:pPr>
              <w:numPr>
                <w:ilvl w:val="0"/>
                <w:numId w:val="3"/>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机构职能：</w:t>
            </w:r>
            <w:r>
              <w:rPr>
                <w:rFonts w:hint="eastAsia" w:ascii="仿宋_GB2312" w:hAnsi="仿宋_GB2312" w:eastAsia="仿宋_GB2312" w:cs="仿宋_GB2312"/>
                <w:bCs/>
                <w:sz w:val="28"/>
                <w:szCs w:val="28"/>
                <w:lang w:val="en-US" w:eastAsia="zh-CN"/>
              </w:rPr>
              <w:t>宣传贯彻殡葬改革法规、政策；制定全市殡葬执法的规章、规定和规程等政策性工作，积极推进殡葬改革；负责惠民殡葬和生态殡葬政策的监督、落实；殡葬执法检、督查、培训、考核；丧葬用品市场督查和协调执法。其他市本级殡葬服务工作、龙头山公墓维护管理工作等。</w:t>
            </w:r>
          </w:p>
          <w:p>
            <w:pPr>
              <w:numPr>
                <w:ilvl w:val="0"/>
                <w:numId w:val="0"/>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整体支出为</w:t>
            </w:r>
            <w:r>
              <w:rPr>
                <w:rFonts w:hint="eastAsia" w:ascii="仿宋_GB2312" w:hAnsi="仿宋_GB2312" w:eastAsia="仿宋_GB2312" w:cs="仿宋_GB2312"/>
                <w:bCs/>
                <w:sz w:val="28"/>
                <w:szCs w:val="28"/>
                <w:lang w:val="en-US" w:eastAsia="zh-CN"/>
              </w:rPr>
              <w:t>460.56</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bCs/>
                <w:sz w:val="28"/>
                <w:szCs w:val="28"/>
                <w:lang w:val="en-US" w:eastAsia="zh-CN"/>
              </w:rPr>
              <w:t>344.95</w:t>
            </w:r>
            <w:r>
              <w:rPr>
                <w:rFonts w:hint="eastAsia" w:ascii="仿宋_GB2312" w:hAnsi="仿宋_GB2312" w:eastAsia="仿宋_GB2312" w:cs="仿宋_GB2312"/>
                <w:bCs/>
                <w:sz w:val="28"/>
                <w:szCs w:val="28"/>
              </w:rPr>
              <w:t>万元，项目支出</w:t>
            </w:r>
            <w:r>
              <w:rPr>
                <w:rFonts w:hint="eastAsia" w:ascii="仿宋_GB2312" w:hAnsi="仿宋_GB2312" w:eastAsia="仿宋_GB2312" w:cs="仿宋_GB2312"/>
                <w:bCs/>
                <w:sz w:val="28"/>
                <w:szCs w:val="28"/>
                <w:lang w:val="en-US" w:eastAsia="zh-CN"/>
              </w:rPr>
              <w:t>115.61</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涉及困难群众</w:t>
            </w:r>
            <w:r>
              <w:rPr>
                <w:rFonts w:hint="eastAsia" w:ascii="仿宋_GB2312" w:hAnsi="仿宋_GB2312" w:eastAsia="仿宋_GB2312" w:cs="仿宋_GB2312"/>
                <w:bCs/>
                <w:sz w:val="28"/>
                <w:szCs w:val="28"/>
                <w:lang w:eastAsia="zh-CN"/>
              </w:rPr>
              <w:t>惠民</w:t>
            </w:r>
            <w:r>
              <w:rPr>
                <w:rFonts w:hint="eastAsia" w:ascii="仿宋_GB2312" w:hAnsi="仿宋_GB2312" w:eastAsia="仿宋_GB2312" w:cs="仿宋_GB2312"/>
                <w:bCs/>
                <w:sz w:val="28"/>
                <w:szCs w:val="28"/>
              </w:rPr>
              <w:t>殡葬</w:t>
            </w:r>
            <w:r>
              <w:rPr>
                <w:rFonts w:hint="eastAsia" w:ascii="仿宋_GB2312" w:hAnsi="仿宋_GB2312" w:eastAsia="仿宋_GB2312" w:cs="仿宋_GB2312"/>
                <w:bCs/>
                <w:sz w:val="28"/>
                <w:szCs w:val="28"/>
                <w:lang w:eastAsia="zh-CN"/>
              </w:rPr>
              <w:t>奖补专项支出</w:t>
            </w:r>
            <w:r>
              <w:rPr>
                <w:rFonts w:hint="eastAsia" w:ascii="仿宋_GB2312" w:hAnsi="仿宋_GB2312" w:eastAsia="仿宋_GB2312" w:cs="仿宋_GB2312"/>
                <w:bCs/>
                <w:sz w:val="28"/>
                <w:szCs w:val="28"/>
                <w:lang w:val="en-US" w:eastAsia="zh-CN"/>
              </w:rPr>
              <w:t>71万元，殡葬执法专项支出36万元</w:t>
            </w:r>
            <w:r>
              <w:rPr>
                <w:rFonts w:hint="eastAsia" w:ascii="仿宋_GB2312" w:hAnsi="仿宋_GB2312" w:eastAsia="仿宋_GB2312" w:cs="仿宋_GB2312"/>
                <w:bCs/>
                <w:sz w:val="28"/>
                <w:szCs w:val="28"/>
              </w:rPr>
              <w:t>等支出。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年整体支出总额为</w:t>
            </w:r>
            <w:r>
              <w:rPr>
                <w:rFonts w:hint="eastAsia" w:ascii="仿宋_GB2312" w:hAnsi="仿宋_GB2312" w:eastAsia="仿宋_GB2312" w:cs="仿宋_GB2312"/>
                <w:bCs/>
                <w:sz w:val="28"/>
                <w:szCs w:val="28"/>
                <w:lang w:val="en-US" w:eastAsia="zh-CN"/>
              </w:rPr>
              <w:t>460.56</w:t>
            </w:r>
            <w:r>
              <w:rPr>
                <w:rFonts w:hint="eastAsia" w:ascii="仿宋_GB2312" w:hAnsi="仿宋_GB2312" w:eastAsia="仿宋_GB2312" w:cs="仿宋_GB2312"/>
                <w:bCs/>
                <w:sz w:val="28"/>
                <w:szCs w:val="28"/>
              </w:rPr>
              <w:t>万元，基本支出为</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lang w:val="en-US" w:eastAsia="zh-CN"/>
              </w:rPr>
              <w:t>44.95</w:t>
            </w:r>
            <w:r>
              <w:rPr>
                <w:rFonts w:hint="eastAsia" w:ascii="仿宋_GB2312" w:hAnsi="仿宋_GB2312" w:eastAsia="仿宋_GB2312" w:cs="仿宋_GB2312"/>
                <w:bCs/>
                <w:sz w:val="28"/>
                <w:szCs w:val="28"/>
              </w:rPr>
              <w:t>万元，占本年支出的</w:t>
            </w:r>
            <w:r>
              <w:rPr>
                <w:rFonts w:hint="eastAsia" w:ascii="仿宋_GB2312" w:hAnsi="仿宋_GB2312" w:eastAsia="仿宋_GB2312" w:cs="仿宋_GB2312"/>
                <w:bCs/>
                <w:sz w:val="28"/>
                <w:szCs w:val="28"/>
                <w:lang w:val="en-US" w:eastAsia="zh-CN"/>
              </w:rPr>
              <w:t>74.90</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；主要用于：工资福利支出</w:t>
            </w:r>
            <w:r>
              <w:rPr>
                <w:rFonts w:hint="eastAsia" w:ascii="仿宋_GB2312" w:hAnsi="仿宋_GB2312" w:eastAsia="仿宋_GB2312" w:cs="仿宋_GB2312"/>
                <w:bCs/>
                <w:sz w:val="28"/>
                <w:szCs w:val="28"/>
                <w:lang w:val="en-US" w:eastAsia="zh-CN"/>
              </w:rPr>
              <w:t>218.63</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47.47</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；商品服务支出为</w:t>
            </w:r>
            <w:r>
              <w:rPr>
                <w:rFonts w:hint="eastAsia" w:ascii="仿宋_GB2312" w:hAnsi="仿宋_GB2312" w:eastAsia="仿宋_GB2312" w:cs="仿宋_GB2312"/>
                <w:bCs/>
                <w:sz w:val="28"/>
                <w:szCs w:val="28"/>
                <w:lang w:val="en-US" w:eastAsia="zh-CN"/>
              </w:rPr>
              <w:t>78.88</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17.13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；对个人和家庭的补助支出为</w:t>
            </w:r>
            <w:r>
              <w:rPr>
                <w:rFonts w:hint="eastAsia" w:ascii="仿宋_GB2312" w:hAnsi="仿宋_GB2312" w:eastAsia="仿宋_GB2312" w:cs="仿宋_GB2312"/>
                <w:bCs/>
                <w:sz w:val="28"/>
                <w:szCs w:val="28"/>
                <w:lang w:val="en-US" w:eastAsia="zh-CN"/>
              </w:rPr>
              <w:t>155.86</w:t>
            </w:r>
            <w:r>
              <w:rPr>
                <w:rFonts w:hint="eastAsia" w:ascii="仿宋_GB2312" w:hAnsi="仿宋_GB2312" w:eastAsia="仿宋_GB2312" w:cs="仿宋_GB2312"/>
                <w:bCs/>
                <w:sz w:val="28"/>
                <w:szCs w:val="28"/>
              </w:rPr>
              <w:t>万元，占本年支出的</w:t>
            </w:r>
            <w:r>
              <w:rPr>
                <w:rFonts w:hint="eastAsia" w:ascii="仿宋_GB2312" w:hAnsi="仿宋_GB2312" w:eastAsia="仿宋_GB2312" w:cs="仿宋_GB2312"/>
                <w:bCs/>
                <w:sz w:val="28"/>
                <w:szCs w:val="28"/>
                <w:lang w:val="en-US" w:eastAsia="zh-CN"/>
              </w:rPr>
              <w:t>33.84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。资本性支出</w:t>
            </w:r>
            <w:r>
              <w:rPr>
                <w:rFonts w:hint="eastAsia" w:ascii="仿宋_GB2312" w:hAnsi="仿宋_GB2312" w:eastAsia="仿宋_GB2312" w:cs="仿宋_GB2312"/>
                <w:bCs/>
                <w:sz w:val="28"/>
                <w:szCs w:val="28"/>
                <w:lang w:val="en-US" w:eastAsia="zh-CN"/>
              </w:rPr>
              <w:t>7.19万元，占本年支出1.56%。</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（二）项目支出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惠民殡葬奖补资金共计</w:t>
            </w:r>
            <w:r>
              <w:rPr>
                <w:rFonts w:hint="eastAsia" w:ascii="仿宋_GB2312" w:hAnsi="仿宋_GB2312" w:eastAsia="仿宋_GB2312" w:cs="仿宋_GB2312"/>
                <w:bCs/>
                <w:sz w:val="28"/>
                <w:szCs w:val="28"/>
                <w:lang w:val="en-US" w:eastAsia="zh-CN"/>
              </w:rPr>
              <w:t>71</w:t>
            </w:r>
            <w:r>
              <w:rPr>
                <w:rFonts w:hint="eastAsia" w:ascii="仿宋_GB2312" w:hAnsi="仿宋_GB2312" w:eastAsia="仿宋_GB2312" w:cs="仿宋_GB2312"/>
                <w:bCs/>
                <w:sz w:val="28"/>
                <w:szCs w:val="28"/>
              </w:rPr>
              <w:t>万元，其中用于集中治丧奖</w:t>
            </w:r>
            <w:r>
              <w:rPr>
                <w:rFonts w:hint="eastAsia" w:ascii="仿宋_GB2312" w:hAnsi="仿宋_GB2312" w:eastAsia="仿宋_GB2312" w:cs="仿宋_GB2312"/>
                <w:bCs/>
                <w:sz w:val="28"/>
                <w:szCs w:val="28"/>
                <w:lang w:eastAsia="zh-CN"/>
              </w:rPr>
              <w:t>补</w:t>
            </w:r>
            <w:r>
              <w:rPr>
                <w:rFonts w:hint="eastAsia" w:ascii="仿宋_GB2312" w:hAnsi="仿宋_GB2312" w:eastAsia="仿宋_GB2312" w:cs="仿宋_GB2312"/>
                <w:bCs/>
                <w:sz w:val="28"/>
                <w:szCs w:val="28"/>
                <w:lang w:val="en-US" w:eastAsia="zh-CN"/>
              </w:rPr>
              <w:t>135</w:t>
            </w:r>
            <w:r>
              <w:rPr>
                <w:rFonts w:hint="eastAsia" w:ascii="仿宋_GB2312" w:hAnsi="仿宋_GB2312" w:eastAsia="仿宋_GB2312" w:cs="仿宋_GB2312"/>
                <w:bCs/>
                <w:sz w:val="28"/>
                <w:szCs w:val="28"/>
              </w:rPr>
              <w:t>人，奖补资金</w:t>
            </w:r>
            <w:r>
              <w:rPr>
                <w:rFonts w:hint="eastAsia" w:ascii="仿宋_GB2312" w:hAnsi="仿宋_GB2312" w:eastAsia="仿宋_GB2312" w:cs="仿宋_GB2312"/>
                <w:bCs/>
                <w:sz w:val="28"/>
                <w:szCs w:val="28"/>
                <w:lang w:val="en-US" w:eastAsia="zh-CN"/>
              </w:rPr>
              <w:t>40.5</w:t>
            </w:r>
            <w:r>
              <w:rPr>
                <w:rFonts w:hint="eastAsia" w:ascii="仿宋_GB2312" w:hAnsi="仿宋_GB2312" w:eastAsia="仿宋_GB2312" w:cs="仿宋_GB2312"/>
                <w:bCs/>
                <w:sz w:val="28"/>
                <w:szCs w:val="28"/>
              </w:rPr>
              <w:t>万元；文明治丧奖补</w:t>
            </w:r>
            <w:r>
              <w:rPr>
                <w:rFonts w:hint="eastAsia" w:ascii="仿宋_GB2312" w:hAnsi="仿宋_GB2312" w:eastAsia="仿宋_GB2312" w:cs="仿宋_GB2312"/>
                <w:bCs/>
                <w:sz w:val="28"/>
                <w:szCs w:val="28"/>
                <w:lang w:val="en-US" w:eastAsia="zh-CN"/>
              </w:rPr>
              <w:t>101</w:t>
            </w:r>
            <w:r>
              <w:rPr>
                <w:rFonts w:hint="eastAsia" w:ascii="仿宋_GB2312" w:hAnsi="仿宋_GB2312" w:eastAsia="仿宋_GB2312" w:cs="仿宋_GB2312"/>
                <w:bCs/>
                <w:sz w:val="28"/>
                <w:szCs w:val="28"/>
              </w:rPr>
              <w:t>人，奖补资金</w:t>
            </w:r>
            <w:r>
              <w:rPr>
                <w:rFonts w:hint="eastAsia" w:ascii="仿宋_GB2312" w:hAnsi="仿宋_GB2312" w:eastAsia="仿宋_GB2312" w:cs="仿宋_GB2312"/>
                <w:bCs/>
                <w:sz w:val="28"/>
                <w:szCs w:val="28"/>
                <w:lang w:val="en-US" w:eastAsia="zh-CN"/>
              </w:rPr>
              <w:t>30.5</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三</w:t>
            </w:r>
            <w:r>
              <w:rPr>
                <w:rFonts w:hint="eastAsia" w:ascii="仿宋_GB2312" w:hAnsi="仿宋_GB2312" w:eastAsia="仿宋_GB2312" w:cs="仿宋_GB2312"/>
                <w:bCs/>
                <w:sz w:val="28"/>
                <w:szCs w:val="28"/>
              </w:rPr>
              <w:t>）专项支出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专项资金安排落实到位，</w:t>
            </w:r>
            <w:r>
              <w:rPr>
                <w:rFonts w:hint="eastAsia" w:ascii="仿宋_GB2312" w:hAnsi="仿宋_GB2312" w:eastAsia="仿宋_GB2312" w:cs="仿宋_GB2312"/>
                <w:bCs/>
                <w:sz w:val="28"/>
                <w:szCs w:val="28"/>
                <w:lang w:eastAsia="zh-CN"/>
              </w:rPr>
              <w:t>其中：殡葬执法专项经费</w:t>
            </w:r>
            <w:r>
              <w:rPr>
                <w:rFonts w:ascii="仿宋_GB2312" w:hAnsi="仿宋_GB2312" w:eastAsia="仿宋_GB2312" w:cs="仿宋_GB2312"/>
                <w:bCs/>
                <w:sz w:val="28"/>
                <w:szCs w:val="28"/>
              </w:rPr>
              <w:t>36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主要用于殡葬执法、巡查，殡葬改革宣传</w:t>
            </w:r>
            <w:r>
              <w:rPr>
                <w:rFonts w:hint="eastAsia" w:ascii="仿宋_GB2312" w:hAnsi="仿宋_GB2312" w:eastAsia="仿宋_GB2312" w:cs="仿宋_GB2312"/>
                <w:bCs/>
                <w:sz w:val="28"/>
                <w:szCs w:val="28"/>
                <w:lang w:eastAsia="zh-CN"/>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无</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专项管理情况分析</w:t>
            </w:r>
          </w:p>
          <w:p>
            <w:pPr>
              <w:numPr>
                <w:ilvl w:val="0"/>
                <w:numId w:val="0"/>
              </w:numPr>
              <w:spacing w:line="560" w:lineRule="exact"/>
              <w:ind w:left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无</w:t>
            </w:r>
          </w:p>
          <w:p>
            <w:pPr>
              <w:pStyle w:val="10"/>
              <w:numPr>
                <w:ilvl w:val="0"/>
                <w:numId w:val="4"/>
              </w:numPr>
              <w:spacing w:line="560" w:lineRule="exact"/>
              <w:ind w:firstLineChars="0"/>
              <w:rPr>
                <w:rFonts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中心城区执法巡查已成常态化工作，接警处置率达</w:t>
            </w:r>
            <w:r>
              <w:rPr>
                <w:rFonts w:ascii="仿宋_GB2312" w:hAnsi="仿宋_GB2312" w:eastAsia="仿宋_GB2312" w:cs="仿宋_GB2312"/>
                <w:bCs/>
                <w:sz w:val="28"/>
                <w:szCs w:val="28"/>
              </w:rPr>
              <w:t>100%</w:t>
            </w:r>
            <w:r>
              <w:rPr>
                <w:rFonts w:hint="eastAsia" w:ascii="仿宋_GB2312" w:hAnsi="仿宋_GB2312" w:eastAsia="仿宋_GB2312" w:cs="仿宋_GB2312"/>
                <w:bCs/>
                <w:sz w:val="28"/>
                <w:szCs w:val="28"/>
              </w:rPr>
              <w:t>。全年累计巡查</w:t>
            </w:r>
            <w:r>
              <w:rPr>
                <w:rFonts w:hint="eastAsia" w:ascii="仿宋_GB2312" w:hAnsi="仿宋_GB2312" w:eastAsia="仿宋_GB2312" w:cs="仿宋_GB2312"/>
                <w:bCs/>
                <w:sz w:val="28"/>
                <w:szCs w:val="28"/>
                <w:lang w:val="en-US" w:eastAsia="zh-CN"/>
              </w:rPr>
              <w:t>2195人</w:t>
            </w:r>
            <w:r>
              <w:rPr>
                <w:rFonts w:hint="eastAsia" w:ascii="仿宋_GB2312" w:hAnsi="仿宋_GB2312" w:eastAsia="仿宋_GB2312" w:cs="仿宋_GB2312"/>
                <w:bCs/>
                <w:sz w:val="28"/>
                <w:szCs w:val="28"/>
              </w:rPr>
              <w:t>次，查处违规搭棚治丧行为</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起</w:t>
            </w:r>
            <w:r>
              <w:rPr>
                <w:rFonts w:hint="eastAsia" w:ascii="仿宋_GB2312" w:hAnsi="仿宋_GB2312" w:eastAsia="仿宋_GB2312" w:cs="仿宋_GB2312"/>
                <w:bCs/>
                <w:sz w:val="28"/>
                <w:szCs w:val="28"/>
                <w:lang w:eastAsia="zh-CN"/>
              </w:rPr>
              <w:t>，劝导、制止丧事扰民行为</w:t>
            </w:r>
            <w:r>
              <w:rPr>
                <w:rFonts w:hint="eastAsia" w:ascii="仿宋_GB2312" w:hAnsi="仿宋_GB2312" w:eastAsia="仿宋_GB2312" w:cs="仿宋_GB2312"/>
                <w:bCs/>
                <w:sz w:val="28"/>
                <w:szCs w:val="28"/>
                <w:lang w:val="en-US" w:eastAsia="zh-CN"/>
              </w:rPr>
              <w:t>131起。</w:t>
            </w:r>
          </w:p>
          <w:p>
            <w:pPr>
              <w:spacing w:line="560" w:lineRule="exact"/>
              <w:ind w:firstLine="560" w:firstLineChars="200"/>
              <w:rPr>
                <w:rFonts w:hint="eastAsia" w:ascii="仿宋_GB2312" w:hAnsi="仿宋_GB2312" w:eastAsia="仿宋_GB2312" w:cs="仿宋_GB2312"/>
                <w:bCs/>
                <w:sz w:val="28"/>
                <w:szCs w:val="28"/>
                <w:lang w:eastAsia="zh-CN"/>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对全市经营性公墓每年进行一次执法检查，对违规超标公墓责令整改</w:t>
            </w:r>
            <w:r>
              <w:rPr>
                <w:rFonts w:hint="eastAsia" w:ascii="仿宋_GB2312" w:hAnsi="仿宋_GB2312" w:eastAsia="仿宋_GB2312" w:cs="仿宋_GB2312"/>
                <w:bCs/>
                <w:sz w:val="28"/>
                <w:szCs w:val="28"/>
                <w:lang w:eastAsia="zh-CN"/>
              </w:rPr>
              <w:t>并依法处理</w:t>
            </w:r>
          </w:p>
          <w:p>
            <w:pPr>
              <w:spacing w:line="560" w:lineRule="exact"/>
              <w:ind w:firstLine="560" w:firstLineChars="200"/>
              <w:rPr>
                <w:rFonts w:hint="eastAsia" w:ascii="仿宋_GB2312" w:hAnsi="仿宋_GB2312" w:eastAsia="仿宋_GB2312" w:cs="仿宋_GB2312"/>
                <w:bCs/>
                <w:sz w:val="28"/>
                <w:szCs w:val="28"/>
                <w:lang w:eastAsia="zh-CN"/>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殡葬执法专项经费</w:t>
            </w:r>
            <w:r>
              <w:rPr>
                <w:rFonts w:ascii="仿宋_GB2312" w:hAnsi="仿宋_GB2312" w:eastAsia="仿宋_GB2312" w:cs="仿宋_GB2312"/>
                <w:bCs/>
                <w:sz w:val="28"/>
                <w:szCs w:val="28"/>
              </w:rPr>
              <w:t>36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主要用于殡葬执法、巡查，殡葬改革宣传</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lang w:eastAsia="zh-CN"/>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对殡葬</w:t>
            </w:r>
            <w:r>
              <w:rPr>
                <w:rFonts w:hint="eastAsia" w:ascii="仿宋_GB2312" w:hAnsi="仿宋_GB2312" w:eastAsia="仿宋_GB2312" w:cs="仿宋_GB2312"/>
                <w:bCs/>
                <w:sz w:val="28"/>
                <w:szCs w:val="28"/>
                <w:lang w:eastAsia="zh-CN"/>
              </w:rPr>
              <w:t>服务</w:t>
            </w:r>
            <w:r>
              <w:rPr>
                <w:rFonts w:hint="eastAsia" w:ascii="仿宋_GB2312" w:hAnsi="仿宋_GB2312" w:eastAsia="仿宋_GB2312" w:cs="仿宋_GB2312"/>
                <w:bCs/>
                <w:sz w:val="28"/>
                <w:szCs w:val="28"/>
              </w:rPr>
              <w:t>单位违规</w:t>
            </w:r>
            <w:r>
              <w:rPr>
                <w:rFonts w:hint="eastAsia" w:ascii="仿宋_GB2312" w:hAnsi="仿宋_GB2312" w:eastAsia="仿宋_GB2312" w:cs="仿宋_GB2312"/>
                <w:bCs/>
                <w:sz w:val="28"/>
                <w:szCs w:val="28"/>
                <w:lang w:eastAsia="zh-CN"/>
              </w:rPr>
              <w:t>建设、</w:t>
            </w:r>
            <w:r>
              <w:rPr>
                <w:rFonts w:hint="eastAsia" w:ascii="仿宋_GB2312" w:hAnsi="仿宋_GB2312" w:eastAsia="仿宋_GB2312" w:cs="仿宋_GB2312"/>
                <w:bCs/>
                <w:sz w:val="28"/>
                <w:szCs w:val="28"/>
              </w:rPr>
              <w:t>经营行为进行处理</w:t>
            </w:r>
            <w:r>
              <w:rPr>
                <w:rFonts w:hint="eastAsia" w:ascii="仿宋_GB2312" w:hAnsi="仿宋_GB2312" w:eastAsia="仿宋_GB2312" w:cs="仿宋_GB2312"/>
                <w:bCs/>
                <w:sz w:val="28"/>
                <w:szCs w:val="28"/>
                <w:lang w:eastAsia="zh-CN"/>
              </w:rPr>
              <w:t>，执法效果好，群众反映佳</w:t>
            </w:r>
          </w:p>
          <w:p>
            <w:pPr>
              <w:spacing w:line="560" w:lineRule="exact"/>
              <w:ind w:firstLine="560" w:firstLineChars="200"/>
              <w:rPr>
                <w:rFonts w:hint="eastAsia" w:ascii="仿宋_GB2312" w:hAnsi="仿宋_GB2312" w:eastAsia="仿宋_GB2312" w:cs="仿宋_GB2312"/>
                <w:bCs/>
                <w:sz w:val="28"/>
                <w:szCs w:val="28"/>
                <w:lang w:eastAsia="zh-CN"/>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对</w:t>
            </w:r>
            <w:r>
              <w:rPr>
                <w:rFonts w:hint="eastAsia" w:ascii="仿宋_GB2312" w:hAnsi="仿宋_GB2312" w:eastAsia="仿宋_GB2312" w:cs="仿宋_GB2312"/>
                <w:bCs/>
                <w:sz w:val="28"/>
                <w:szCs w:val="28"/>
                <w:lang w:eastAsia="zh-CN"/>
              </w:rPr>
              <w:t>全市</w:t>
            </w:r>
            <w:r>
              <w:rPr>
                <w:rFonts w:hint="eastAsia" w:ascii="仿宋_GB2312" w:hAnsi="仿宋_GB2312" w:eastAsia="仿宋_GB2312" w:cs="仿宋_GB2312"/>
                <w:bCs/>
                <w:sz w:val="28"/>
                <w:szCs w:val="28"/>
              </w:rPr>
              <w:t>殡葬执法工作进行督查，指导</w:t>
            </w:r>
            <w:r>
              <w:rPr>
                <w:rFonts w:hint="eastAsia" w:ascii="仿宋_GB2312" w:hAnsi="仿宋_GB2312" w:eastAsia="仿宋_GB2312" w:cs="仿宋_GB2312"/>
                <w:bCs/>
                <w:sz w:val="28"/>
                <w:szCs w:val="28"/>
                <w:lang w:eastAsia="zh-CN"/>
              </w:rPr>
              <w:t>查处重大违法殡葬案件</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开展殡葬执法</w:t>
            </w:r>
            <w:r>
              <w:rPr>
                <w:rFonts w:hint="eastAsia" w:ascii="仿宋_GB2312" w:hAnsi="仿宋_GB2312" w:eastAsia="仿宋_GB2312" w:cs="仿宋_GB2312"/>
                <w:bCs/>
                <w:sz w:val="28"/>
                <w:szCs w:val="28"/>
                <w:lang w:eastAsia="zh-CN"/>
              </w:rPr>
              <w:t>和落实惠民殡葬</w:t>
            </w:r>
            <w:r>
              <w:rPr>
                <w:rFonts w:hint="eastAsia" w:ascii="仿宋_GB2312" w:hAnsi="仿宋_GB2312" w:eastAsia="仿宋_GB2312" w:cs="仿宋_GB2312"/>
                <w:bCs/>
                <w:sz w:val="28"/>
                <w:szCs w:val="28"/>
              </w:rPr>
              <w:t>培训各一次</w:t>
            </w:r>
          </w:p>
          <w:p>
            <w:pPr>
              <w:pStyle w:val="10"/>
              <w:numPr>
                <w:ilvl w:val="0"/>
                <w:numId w:val="4"/>
              </w:numPr>
              <w:spacing w:line="560" w:lineRule="exact"/>
              <w:ind w:firstLineChars="0"/>
              <w:rPr>
                <w:rFonts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因部门整体支出的预算资金安排和使用上仍有不可预见性，还要加强预算管理。随着移风易俗、生态安葬理念的深入人心，专项资金迫切需要加大投入。</w:t>
            </w:r>
          </w:p>
          <w:p>
            <w:pPr>
              <w:pStyle w:val="10"/>
              <w:numPr>
                <w:ilvl w:val="0"/>
                <w:numId w:val="4"/>
              </w:numPr>
              <w:spacing w:line="560" w:lineRule="exact"/>
              <w:ind w:firstLineChars="0"/>
              <w:rPr>
                <w:rFonts w:ascii="黑体" w:hAnsi="黑体" w:eastAsia="黑体" w:cs="黑体"/>
                <w:bCs/>
                <w:sz w:val="28"/>
                <w:szCs w:val="28"/>
              </w:rPr>
            </w:pPr>
            <w:r>
              <w:rPr>
                <w:rFonts w:hint="eastAsia" w:ascii="黑体" w:hAnsi="黑体" w:eastAsia="黑体" w:cs="黑体"/>
                <w:bCs/>
                <w:sz w:val="28"/>
                <w:szCs w:val="28"/>
              </w:rPr>
              <w:t>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加强各部门协作、社会参与机制，建立监督机制，加大奖惩力度，加强财务队伍建设和业务指导，培养项目和部门的绩效管理队伍，建立绩效评价的长效机制。</w:t>
            </w:r>
          </w:p>
          <w:p>
            <w:pPr>
              <w:rPr>
                <w:rFonts w:eastAsia="楷体_GB2312"/>
                <w:bCs/>
                <w:sz w:val="28"/>
                <w:szCs w:val="28"/>
              </w:rPr>
            </w:pPr>
          </w:p>
        </w:tc>
      </w:tr>
    </w:tbl>
    <w:p>
      <w:pPr>
        <w:spacing w:beforeLines="100" w:afterLines="100"/>
        <w:rPr>
          <w:rFonts w:ascii="方正小标宋简体" w:eastAsia="方正小标宋简体"/>
          <w:sz w:val="38"/>
          <w:szCs w:val="38"/>
        </w:rPr>
      </w:pPr>
      <w:r>
        <w:rPr>
          <w:rFonts w:ascii="方正小标宋简体" w:eastAsia="方正小标宋简体"/>
          <w:sz w:val="38"/>
          <w:szCs w:val="38"/>
        </w:rPr>
        <w:br w:type="page"/>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年末追加资金</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bookmarkEnd w:id="0"/>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根据当年年末综合绩效考评情况评分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bookmarkStart w:id="1" w:name="_GoBack" w:colFirst="5" w:colLast="5"/>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整体满意度</w:t>
            </w:r>
            <w:r>
              <w:rPr>
                <w:rFonts w:ascii="仿宋_GB2312" w:hAnsi="宋体" w:eastAsia="仿宋_GB2312" w:cs="宋体"/>
                <w:kern w:val="0"/>
                <w:sz w:val="18"/>
                <w:szCs w:val="18"/>
              </w:rPr>
              <w:t>90%</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line="348" w:lineRule="auto"/>
        <w:rPr>
          <w:rFonts w:eastAsia="楷体_GB2312"/>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01F507-A063-435F-BAE5-212AAD9A05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84E4441-9447-45FF-B220-81F8F15FBD7A}"/>
  </w:font>
  <w:font w:name="方正小标宋简体">
    <w:panose1 w:val="02000000000000000000"/>
    <w:charset w:val="86"/>
    <w:family w:val="auto"/>
    <w:pitch w:val="default"/>
    <w:sig w:usb0="00000001" w:usb1="08000000" w:usb2="00000000" w:usb3="00000000" w:csb0="00040000" w:csb1="00000000"/>
    <w:embedRegular r:id="rId3" w:fontKey="{27B95C51-E72B-4E93-9AE0-4EDDE1FED7FC}"/>
  </w:font>
  <w:font w:name="仿宋_GB2312">
    <w:altName w:val="仿宋"/>
    <w:panose1 w:val="02010609030101010101"/>
    <w:charset w:val="86"/>
    <w:family w:val="modern"/>
    <w:pitch w:val="default"/>
    <w:sig w:usb0="00000000" w:usb1="00000000" w:usb2="00000000" w:usb3="00000000" w:csb0="00040000" w:csb1="00000000"/>
    <w:embedRegular r:id="rId4" w:fontKey="{E3740775-45CC-4ECF-AD6C-5FCC029A8E9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embedRegular r:id="rId5" w:fontKey="{234AF013-F114-481B-96D0-7E84E854905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sz w:val="24"/>
        <w:szCs w:val="24"/>
      </w:rPr>
      <w:t xml:space="preserve">— </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7</w:t>
    </w:r>
    <w:r>
      <w:rPr>
        <w:rStyle w:val="6"/>
        <w:sz w:val="24"/>
        <w:szCs w:val="24"/>
      </w:rPr>
      <w:fldChar w:fldCharType="end"/>
    </w:r>
    <w:r>
      <w:rPr>
        <w:rStyle w:val="6"/>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E1F5D"/>
    <w:multiLevelType w:val="singleLevel"/>
    <w:tmpl w:val="103E1F5D"/>
    <w:lvl w:ilvl="0" w:tentative="0">
      <w:start w:val="2"/>
      <w:numFmt w:val="chineseCounting"/>
      <w:suff w:val="nothing"/>
      <w:lvlText w:val="（%1）"/>
      <w:lvlJc w:val="left"/>
      <w:rPr>
        <w:rFonts w:hint="eastAsia"/>
      </w:rPr>
    </w:lvl>
  </w:abstractNum>
  <w:abstractNum w:abstractNumId="1">
    <w:nsid w:val="3A0B7E9C"/>
    <w:multiLevelType w:val="multilevel"/>
    <w:tmpl w:val="3A0B7E9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E076219"/>
    <w:multiLevelType w:val="multilevel"/>
    <w:tmpl w:val="6E076219"/>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9F4620D"/>
    <w:multiLevelType w:val="multilevel"/>
    <w:tmpl w:val="79F4620D"/>
    <w:lvl w:ilvl="0" w:tentative="0">
      <w:start w:val="4"/>
      <w:numFmt w:val="japaneseCounting"/>
      <w:lvlText w:val="%1、"/>
      <w:lvlJc w:val="left"/>
      <w:pPr>
        <w:ind w:left="1280" w:hanging="72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lhMWFhZjM0NDAwMDBmNzBiNGJjOWViMjUyZDk1NTMifQ=="/>
  </w:docVars>
  <w:rsids>
    <w:rsidRoot w:val="0058637C"/>
    <w:rsid w:val="0003388B"/>
    <w:rsid w:val="000772DC"/>
    <w:rsid w:val="000E360A"/>
    <w:rsid w:val="00177871"/>
    <w:rsid w:val="00181DC4"/>
    <w:rsid w:val="00182621"/>
    <w:rsid w:val="001A6239"/>
    <w:rsid w:val="001E1E5C"/>
    <w:rsid w:val="00202C34"/>
    <w:rsid w:val="00203CF5"/>
    <w:rsid w:val="00225295"/>
    <w:rsid w:val="00226280"/>
    <w:rsid w:val="00275459"/>
    <w:rsid w:val="002C1E76"/>
    <w:rsid w:val="002E780A"/>
    <w:rsid w:val="00352B8A"/>
    <w:rsid w:val="004733B7"/>
    <w:rsid w:val="004747B1"/>
    <w:rsid w:val="00493398"/>
    <w:rsid w:val="004D000B"/>
    <w:rsid w:val="004E0F64"/>
    <w:rsid w:val="00523C90"/>
    <w:rsid w:val="0058637C"/>
    <w:rsid w:val="005B2DC2"/>
    <w:rsid w:val="005D7E3C"/>
    <w:rsid w:val="005F1D6B"/>
    <w:rsid w:val="0062088B"/>
    <w:rsid w:val="00620F86"/>
    <w:rsid w:val="006427F8"/>
    <w:rsid w:val="006A60D1"/>
    <w:rsid w:val="006C5E5F"/>
    <w:rsid w:val="006E7BB8"/>
    <w:rsid w:val="00710363"/>
    <w:rsid w:val="007F59EF"/>
    <w:rsid w:val="00804250"/>
    <w:rsid w:val="00872D88"/>
    <w:rsid w:val="00882250"/>
    <w:rsid w:val="008B5E42"/>
    <w:rsid w:val="008D5EC4"/>
    <w:rsid w:val="00932471"/>
    <w:rsid w:val="00965CEE"/>
    <w:rsid w:val="00977956"/>
    <w:rsid w:val="009B4945"/>
    <w:rsid w:val="00A15F73"/>
    <w:rsid w:val="00A50673"/>
    <w:rsid w:val="00A644B8"/>
    <w:rsid w:val="00A93924"/>
    <w:rsid w:val="00B02D1C"/>
    <w:rsid w:val="00B610B7"/>
    <w:rsid w:val="00B838B3"/>
    <w:rsid w:val="00BE2C67"/>
    <w:rsid w:val="00C2650E"/>
    <w:rsid w:val="00C57F2A"/>
    <w:rsid w:val="00CC7C13"/>
    <w:rsid w:val="00CD6BFD"/>
    <w:rsid w:val="00D0018A"/>
    <w:rsid w:val="00E30188"/>
    <w:rsid w:val="00E92095"/>
    <w:rsid w:val="00EA4365"/>
    <w:rsid w:val="00F82AE5"/>
    <w:rsid w:val="00F963E2"/>
    <w:rsid w:val="02E5026B"/>
    <w:rsid w:val="048F2777"/>
    <w:rsid w:val="0663376D"/>
    <w:rsid w:val="0B65039D"/>
    <w:rsid w:val="114973B8"/>
    <w:rsid w:val="13DC4C19"/>
    <w:rsid w:val="2D977C22"/>
    <w:rsid w:val="2E637926"/>
    <w:rsid w:val="369164EF"/>
    <w:rsid w:val="3806030A"/>
    <w:rsid w:val="3F8914FA"/>
    <w:rsid w:val="3FDC72C9"/>
    <w:rsid w:val="45E21971"/>
    <w:rsid w:val="4A7A43E8"/>
    <w:rsid w:val="51FF0241"/>
    <w:rsid w:val="533F6F8A"/>
    <w:rsid w:val="59D655A7"/>
    <w:rsid w:val="5DC2714D"/>
    <w:rsid w:val="68AA2070"/>
    <w:rsid w:val="76883101"/>
    <w:rsid w:val="780043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kern w:val="0"/>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oter Char"/>
    <w:basedOn w:val="5"/>
    <w:link w:val="2"/>
    <w:semiHidden/>
    <w:qFormat/>
    <w:locked/>
    <w:uiPriority w:val="99"/>
    <w:rPr>
      <w:rFonts w:ascii="Times New Roman" w:hAnsi="Times New Roman" w:eastAsia="宋体" w:cs="Times New Roman"/>
      <w:sz w:val="18"/>
      <w:szCs w:val="18"/>
    </w:rPr>
  </w:style>
  <w:style w:type="character" w:customStyle="1" w:styleId="8">
    <w:name w:val="Header Char"/>
    <w:basedOn w:val="5"/>
    <w:link w:val="3"/>
    <w:semiHidden/>
    <w:qFormat/>
    <w:locked/>
    <w:uiPriority w:val="99"/>
    <w:rPr>
      <w:rFonts w:ascii="Times New Roman" w:hAnsi="Times New Roman" w:eastAsia="宋体" w:cs="Times New Roman"/>
      <w:sz w:val="18"/>
      <w:szCs w:val="18"/>
    </w:rPr>
  </w:style>
  <w:style w:type="character" w:customStyle="1" w:styleId="9">
    <w:name w:val="页脚 Char"/>
    <w:qFormat/>
    <w:uiPriority w:val="99"/>
    <w:rPr>
      <w:rFonts w:ascii="Times New Roman" w:hAnsi="Times New Roman" w:eastAsia="宋体"/>
      <w:sz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4864</Words>
  <Characters>5233</Characters>
  <Lines>0</Lines>
  <Paragraphs>0</Paragraphs>
  <TotalTime>1</TotalTime>
  <ScaleCrop>false</ScaleCrop>
  <LinksUpToDate>false</LinksUpToDate>
  <CharactersWithSpaces>5781</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2019-07-08T02:24:00Z</dcterms:created>
  <dc:creator>lenovo</dc:creator>
  <cp:lastModifiedBy>Administrator</cp:lastModifiedBy>
  <cp:lastPrinted>2019-07-10T00:47:00Z</cp:lastPrinted>
  <dcterms:modified xsi:type="dcterms:W3CDTF">2022-07-29T06:46:15Z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F9E567C200F24B09B63E484FBAE35D28</vt:lpwstr>
  </property>
</Properties>
</file>