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jc w:val="center"/>
        <w:rPr>
          <w:rFonts w:hint="eastAsia"/>
          <w:sz w:val="84"/>
          <w:szCs w:val="84"/>
        </w:rPr>
      </w:pPr>
    </w:p>
    <w:p>
      <w:pPr>
        <w:pStyle w:val="11"/>
        <w:jc w:val="center"/>
        <w:rPr>
          <w:rFonts w:hint="eastAsia"/>
          <w:sz w:val="84"/>
          <w:szCs w:val="84"/>
        </w:rPr>
      </w:pPr>
      <w:r>
        <w:rPr>
          <w:rFonts w:hint="eastAsia"/>
          <w:sz w:val="84"/>
          <w:szCs w:val="84"/>
        </w:rPr>
        <w:t>2021年度</w:t>
      </w:r>
    </w:p>
    <w:p>
      <w:pPr>
        <w:pStyle w:val="11"/>
        <w:jc w:val="center"/>
        <w:rPr>
          <w:rFonts w:hint="eastAsia"/>
          <w:sz w:val="84"/>
          <w:szCs w:val="84"/>
        </w:rPr>
      </w:pPr>
    </w:p>
    <w:p>
      <w:pPr>
        <w:pStyle w:val="11"/>
        <w:jc w:val="center"/>
        <w:rPr>
          <w:sz w:val="84"/>
          <w:szCs w:val="84"/>
        </w:rPr>
      </w:pPr>
      <w:r>
        <w:rPr>
          <w:rFonts w:hint="eastAsia"/>
          <w:w w:val="95"/>
          <w:sz w:val="84"/>
          <w:szCs w:val="84"/>
          <w:lang w:val="en-US" w:eastAsia="zh-CN"/>
        </w:rPr>
        <w:t>岳阳市康复医院</w:t>
      </w:r>
      <w:r>
        <w:rPr>
          <w:rFonts w:hint="eastAsia"/>
          <w:w w:val="95"/>
          <w:sz w:val="84"/>
          <w:szCs w:val="84"/>
        </w:rPr>
        <w:t>部门决算</w:t>
      </w:r>
    </w:p>
    <w:p>
      <w:pPr>
        <w:rPr>
          <w:b/>
          <w:sz w:val="28"/>
          <w:szCs w:val="28"/>
        </w:rPr>
      </w:pPr>
      <w:r>
        <w:rPr>
          <w:b/>
          <w:sz w:val="28"/>
          <w:szCs w:val="28"/>
        </w:rPr>
        <w:br w:type="page"/>
      </w:r>
    </w:p>
    <w:p>
      <w:pPr>
        <w:pStyle w:val="11"/>
        <w:spacing w:line="500" w:lineRule="exact"/>
        <w:jc w:val="center"/>
        <w:rPr>
          <w:b/>
          <w:sz w:val="28"/>
          <w:szCs w:val="28"/>
        </w:rPr>
      </w:pPr>
    </w:p>
    <w:p>
      <w:pPr>
        <w:pStyle w:val="11"/>
        <w:keepNext w:val="0"/>
        <w:keepLines w:val="0"/>
        <w:pageBreakBefore w:val="0"/>
        <w:widowControl w:val="0"/>
        <w:kinsoku/>
        <w:wordWrap/>
        <w:overflowPunct/>
        <w:topLinePunct w:val="0"/>
        <w:bidi w:val="0"/>
        <w:snapToGrid/>
        <w:spacing w:line="480" w:lineRule="exact"/>
        <w:jc w:val="center"/>
        <w:textAlignment w:val="auto"/>
        <w:rPr>
          <w:rFonts w:hint="eastAsia"/>
          <w:b/>
          <w:sz w:val="28"/>
          <w:szCs w:val="28"/>
        </w:rPr>
      </w:pPr>
      <w:r>
        <w:rPr>
          <w:rFonts w:hint="eastAsia"/>
          <w:b/>
          <w:sz w:val="28"/>
          <w:szCs w:val="28"/>
        </w:rPr>
        <w:t>目录</w:t>
      </w:r>
    </w:p>
    <w:p>
      <w:pPr>
        <w:pStyle w:val="11"/>
        <w:keepNext w:val="0"/>
        <w:keepLines w:val="0"/>
        <w:pageBreakBefore w:val="0"/>
        <w:widowControl w:val="0"/>
        <w:kinsoku/>
        <w:wordWrap/>
        <w:overflowPunct/>
        <w:topLinePunct w:val="0"/>
        <w:bidi w:val="0"/>
        <w:snapToGrid/>
        <w:spacing w:line="480" w:lineRule="exact"/>
        <w:jc w:val="center"/>
        <w:textAlignment w:val="auto"/>
        <w:rPr>
          <w:rFonts w:hint="eastAsia"/>
          <w:b/>
          <w:sz w:val="28"/>
          <w:szCs w:val="28"/>
        </w:rPr>
      </w:pPr>
    </w:p>
    <w:p>
      <w:pPr>
        <w:pStyle w:val="11"/>
        <w:keepNext w:val="0"/>
        <w:keepLines w:val="0"/>
        <w:pageBreakBefore w:val="0"/>
        <w:widowControl w:val="0"/>
        <w:kinsoku/>
        <w:wordWrap/>
        <w:overflowPunct/>
        <w:topLinePunct w:val="0"/>
        <w:bidi w:val="0"/>
        <w:snapToGrid/>
        <w:spacing w:line="480" w:lineRule="exact"/>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第一部分</w:t>
      </w:r>
      <w:r>
        <w:rPr>
          <w:rFonts w:hint="eastAsia" w:ascii="仿宋_GB2312" w:hAnsi="仿宋_GB2312" w:eastAsia="仿宋_GB2312" w:cs="仿宋_GB2312"/>
          <w:b/>
          <w:sz w:val="28"/>
          <w:szCs w:val="28"/>
          <w:lang w:val="en-US" w:eastAsia="zh-CN"/>
        </w:rPr>
        <w:t xml:space="preserve">  </w:t>
      </w:r>
      <w:r>
        <w:rPr>
          <w:rFonts w:hint="eastAsia" w:ascii="仿宋_GB2312" w:hAnsi="仿宋_GB2312" w:eastAsia="仿宋_GB2312" w:cs="仿宋_GB2312"/>
          <w:b/>
          <w:sz w:val="28"/>
          <w:szCs w:val="28"/>
        </w:rPr>
        <w:t>单位概况</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1"/>
        <w:keepNext w:val="0"/>
        <w:keepLines w:val="0"/>
        <w:pageBreakBefore w:val="0"/>
        <w:widowControl w:val="0"/>
        <w:kinsoku/>
        <w:wordWrap/>
        <w:overflowPunct/>
        <w:topLinePunct w:val="0"/>
        <w:bidi w:val="0"/>
        <w:snapToGrid/>
        <w:spacing w:line="480" w:lineRule="exact"/>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第二部分</w:t>
      </w:r>
      <w:r>
        <w:rPr>
          <w:rFonts w:hint="eastAsia" w:ascii="仿宋_GB2312" w:hAnsi="仿宋_GB2312" w:eastAsia="仿宋_GB2312" w:cs="仿宋_GB2312"/>
          <w:b/>
          <w:sz w:val="28"/>
          <w:szCs w:val="28"/>
          <w:lang w:val="en-US" w:eastAsia="zh-CN"/>
        </w:rPr>
        <w:t xml:space="preserve">  </w:t>
      </w:r>
      <w:r>
        <w:rPr>
          <w:rFonts w:hint="eastAsia" w:ascii="仿宋_GB2312" w:hAnsi="仿宋_GB2312" w:eastAsia="仿宋_GB2312" w:cs="仿宋_GB2312"/>
          <w:b/>
          <w:sz w:val="28"/>
          <w:szCs w:val="28"/>
        </w:rPr>
        <w:t>2021年度部门决算表</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七、一般公共预算财政拨款“三公”经费支出决算表</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八、政府性基金预算财政拨款收入支出决算表</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九、国有资本经营预算财政拨款支出决算表</w:t>
      </w:r>
    </w:p>
    <w:p>
      <w:pPr>
        <w:pStyle w:val="11"/>
        <w:keepNext w:val="0"/>
        <w:keepLines w:val="0"/>
        <w:pageBreakBefore w:val="0"/>
        <w:widowControl w:val="0"/>
        <w:kinsoku/>
        <w:wordWrap/>
        <w:overflowPunct/>
        <w:topLinePunct w:val="0"/>
        <w:bidi w:val="0"/>
        <w:snapToGrid/>
        <w:spacing w:line="480" w:lineRule="exact"/>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第三部分</w:t>
      </w:r>
      <w:r>
        <w:rPr>
          <w:rFonts w:hint="eastAsia" w:ascii="仿宋_GB2312" w:hAnsi="仿宋_GB2312" w:eastAsia="仿宋_GB2312" w:cs="仿宋_GB2312"/>
          <w:b/>
          <w:sz w:val="28"/>
          <w:szCs w:val="28"/>
          <w:lang w:val="en-US" w:eastAsia="zh-CN"/>
        </w:rPr>
        <w:t xml:space="preserve">  </w:t>
      </w:r>
      <w:r>
        <w:rPr>
          <w:rFonts w:hint="eastAsia" w:ascii="仿宋_GB2312" w:hAnsi="仿宋_GB2312" w:eastAsia="仿宋_GB2312" w:cs="仿宋_GB2312"/>
          <w:b/>
          <w:sz w:val="28"/>
          <w:szCs w:val="28"/>
        </w:rPr>
        <w:t>2021年度部门决算情况说明</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keepNext w:val="0"/>
        <w:keepLines w:val="0"/>
        <w:pageBreakBefore w:val="0"/>
        <w:widowControl w:val="0"/>
        <w:kinsoku/>
        <w:wordWrap/>
        <w:overflowPunct/>
        <w:topLinePunct w:val="0"/>
        <w:bidi w:val="0"/>
        <w:snapToGrid/>
        <w:spacing w:line="480" w:lineRule="exact"/>
        <w:ind w:firstLine="700" w:firstLineChars="25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七、一般公共预算财政拨款“三公”经费支出决算情况说明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十、机关运行经费支出说明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政府采购支出说明</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十三、国有资产占用情况说明</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十四、</w:t>
      </w:r>
      <w:r>
        <w:rPr>
          <w:rFonts w:hint="eastAsia" w:ascii="仿宋_GB2312" w:hAnsi="仿宋_GB2312" w:eastAsia="仿宋_GB2312" w:cs="仿宋_GB2312"/>
          <w:sz w:val="28"/>
          <w:szCs w:val="28"/>
        </w:rPr>
        <w:t>2021年度预算绩效情况说明</w:t>
      </w:r>
    </w:p>
    <w:p>
      <w:pPr>
        <w:keepNext w:val="0"/>
        <w:keepLines w:val="0"/>
        <w:pageBreakBefore w:val="0"/>
        <w:widowControl w:val="0"/>
        <w:kinsoku/>
        <w:wordWrap/>
        <w:overflowPunct/>
        <w:topLinePunct w:val="0"/>
        <w:autoSpaceDE w:val="0"/>
        <w:autoSpaceDN w:val="0"/>
        <w:bidi w:val="0"/>
        <w:adjustRightInd w:val="0"/>
        <w:snapToGrid/>
        <w:spacing w:line="480" w:lineRule="exact"/>
        <w:jc w:val="left"/>
        <w:textAlignment w:val="auto"/>
        <w:rPr>
          <w:rFonts w:hint="eastAsia" w:ascii="仿宋_GB2312" w:hAnsi="仿宋_GB2312" w:eastAsia="仿宋_GB2312" w:cs="仿宋_GB2312"/>
          <w:b/>
          <w:color w:val="000000"/>
          <w:kern w:val="0"/>
          <w:sz w:val="28"/>
          <w:szCs w:val="28"/>
        </w:rPr>
      </w:pPr>
      <w:r>
        <w:rPr>
          <w:rFonts w:hint="eastAsia" w:ascii="仿宋_GB2312" w:hAnsi="仿宋_GB2312" w:eastAsia="仿宋_GB2312" w:cs="仿宋_GB2312"/>
          <w:b/>
          <w:color w:val="000000"/>
          <w:kern w:val="0"/>
          <w:sz w:val="28"/>
          <w:szCs w:val="28"/>
        </w:rPr>
        <w:t>第四部分</w:t>
      </w:r>
      <w:r>
        <w:rPr>
          <w:rFonts w:hint="eastAsia" w:ascii="仿宋_GB2312" w:hAnsi="仿宋_GB2312" w:eastAsia="仿宋_GB2312" w:cs="仿宋_GB2312"/>
          <w:b/>
          <w:color w:val="000000"/>
          <w:kern w:val="0"/>
          <w:sz w:val="28"/>
          <w:szCs w:val="28"/>
          <w:lang w:val="en-US" w:eastAsia="zh-CN"/>
        </w:rPr>
        <w:t xml:space="preserve">  </w:t>
      </w:r>
      <w:r>
        <w:rPr>
          <w:rFonts w:hint="eastAsia" w:ascii="仿宋_GB2312" w:hAnsi="仿宋_GB2312" w:eastAsia="仿宋_GB2312" w:cs="仿宋_GB2312"/>
          <w:b/>
          <w:color w:val="000000"/>
          <w:kern w:val="0"/>
          <w:sz w:val="28"/>
          <w:szCs w:val="28"/>
        </w:rPr>
        <w:t>名词解释</w:t>
      </w:r>
    </w:p>
    <w:p>
      <w:pPr>
        <w:keepNext w:val="0"/>
        <w:keepLines w:val="0"/>
        <w:pageBreakBefore w:val="0"/>
        <w:widowControl w:val="0"/>
        <w:kinsoku/>
        <w:wordWrap/>
        <w:overflowPunct/>
        <w:topLinePunct w:val="0"/>
        <w:autoSpaceDE w:val="0"/>
        <w:autoSpaceDN w:val="0"/>
        <w:bidi w:val="0"/>
        <w:adjustRightInd w:val="0"/>
        <w:snapToGrid/>
        <w:spacing w:line="480" w:lineRule="exact"/>
        <w:jc w:val="left"/>
        <w:textAlignment w:val="auto"/>
        <w:rPr>
          <w:rFonts w:hint="eastAsia" w:ascii="仿宋_GB2312" w:hAnsi="仿宋_GB2312" w:eastAsia="仿宋_GB2312" w:cs="仿宋_GB2312"/>
          <w:b/>
          <w:color w:val="000000"/>
          <w:kern w:val="0"/>
          <w:sz w:val="28"/>
          <w:szCs w:val="28"/>
        </w:rPr>
      </w:pPr>
      <w:r>
        <w:rPr>
          <w:rFonts w:hint="eastAsia" w:ascii="仿宋_GB2312" w:hAnsi="仿宋_GB2312" w:eastAsia="仿宋_GB2312" w:cs="仿宋_GB2312"/>
          <w:b/>
          <w:color w:val="000000"/>
          <w:kern w:val="0"/>
          <w:sz w:val="28"/>
          <w:szCs w:val="28"/>
        </w:rPr>
        <w:t>第五部分</w:t>
      </w:r>
      <w:r>
        <w:rPr>
          <w:rFonts w:hint="eastAsia" w:ascii="仿宋_GB2312" w:hAnsi="仿宋_GB2312" w:eastAsia="仿宋_GB2312" w:cs="仿宋_GB2312"/>
          <w:b/>
          <w:color w:val="000000"/>
          <w:kern w:val="0"/>
          <w:sz w:val="28"/>
          <w:szCs w:val="28"/>
          <w:lang w:val="en-US" w:eastAsia="zh-CN"/>
        </w:rPr>
        <w:t xml:space="preserve">  </w:t>
      </w:r>
      <w:r>
        <w:rPr>
          <w:rFonts w:hint="eastAsia" w:ascii="仿宋_GB2312" w:hAnsi="仿宋_GB2312" w:eastAsia="仿宋_GB2312" w:cs="仿宋_GB2312"/>
          <w:b/>
          <w:color w:val="000000"/>
          <w:kern w:val="0"/>
          <w:sz w:val="28"/>
          <w:szCs w:val="28"/>
        </w:rPr>
        <w:t>附件</w:t>
      </w:r>
    </w:p>
    <w:p>
      <w:pPr>
        <w:rPr>
          <w:sz w:val="28"/>
          <w:szCs w:val="28"/>
        </w:rPr>
      </w:pPr>
      <w:r>
        <w:rPr>
          <w:sz w:val="28"/>
          <w:szCs w:val="28"/>
        </w:rPr>
        <w:br w:type="page"/>
      </w:r>
    </w:p>
    <w:p>
      <w:pPr>
        <w:pStyle w:val="11"/>
        <w:jc w:val="center"/>
        <w:rPr>
          <w:rFonts w:hint="eastAsia"/>
          <w:kern w:val="0"/>
          <w:sz w:val="72"/>
          <w:szCs w:val="72"/>
        </w:rPr>
      </w:pPr>
    </w:p>
    <w:p>
      <w:pPr>
        <w:pStyle w:val="11"/>
        <w:jc w:val="center"/>
        <w:rPr>
          <w:rFonts w:hint="eastAsia"/>
          <w:kern w:val="0"/>
          <w:sz w:val="72"/>
          <w:szCs w:val="72"/>
        </w:rPr>
      </w:pPr>
    </w:p>
    <w:p>
      <w:pPr>
        <w:pStyle w:val="11"/>
        <w:jc w:val="center"/>
        <w:rPr>
          <w:rFonts w:hint="eastAsia"/>
          <w:kern w:val="0"/>
          <w:sz w:val="72"/>
          <w:szCs w:val="72"/>
        </w:rPr>
      </w:pPr>
    </w:p>
    <w:p>
      <w:pPr>
        <w:pStyle w:val="11"/>
        <w:jc w:val="center"/>
        <w:rPr>
          <w:rFonts w:hint="eastAsia"/>
          <w:kern w:val="0"/>
          <w:sz w:val="72"/>
          <w:szCs w:val="72"/>
        </w:rPr>
      </w:pPr>
    </w:p>
    <w:p>
      <w:pPr>
        <w:pStyle w:val="11"/>
        <w:jc w:val="center"/>
        <w:rPr>
          <w:rFonts w:hint="eastAsia"/>
          <w:kern w:val="0"/>
          <w:sz w:val="72"/>
          <w:szCs w:val="72"/>
          <w:lang w:val="en-US" w:eastAsia="zh-CN"/>
        </w:rPr>
      </w:pPr>
      <w:r>
        <w:rPr>
          <w:rFonts w:hint="eastAsia"/>
          <w:kern w:val="0"/>
          <w:sz w:val="72"/>
          <w:szCs w:val="72"/>
          <w:lang w:val="en-US" w:eastAsia="zh-CN"/>
        </w:rPr>
        <w:t>第一部分</w:t>
      </w:r>
    </w:p>
    <w:p>
      <w:pPr>
        <w:pStyle w:val="11"/>
        <w:jc w:val="center"/>
        <w:rPr>
          <w:rFonts w:hint="eastAsia"/>
          <w:kern w:val="0"/>
          <w:sz w:val="72"/>
          <w:szCs w:val="72"/>
          <w:lang w:val="en-US" w:eastAsia="zh-CN"/>
        </w:rPr>
      </w:pPr>
    </w:p>
    <w:p>
      <w:pPr>
        <w:pStyle w:val="11"/>
        <w:jc w:val="center"/>
        <w:rPr>
          <w:rFonts w:hint="eastAsia"/>
          <w:kern w:val="0"/>
          <w:sz w:val="72"/>
          <w:szCs w:val="72"/>
          <w:lang w:val="en-US" w:eastAsia="zh-CN"/>
        </w:rPr>
      </w:pPr>
      <w:r>
        <w:rPr>
          <w:rFonts w:hint="eastAsia"/>
          <w:kern w:val="0"/>
          <w:sz w:val="72"/>
          <w:szCs w:val="72"/>
          <w:lang w:val="en-US" w:eastAsia="zh-CN"/>
        </w:rPr>
        <w:t>岳阳市康复医院单位概况</w:t>
      </w:r>
    </w:p>
    <w:p>
      <w:pPr>
        <w:rPr>
          <w:rFonts w:ascii="黑体" w:hAnsi="黑体" w:eastAsia="黑体"/>
          <w:sz w:val="28"/>
          <w:szCs w:val="28"/>
        </w:rPr>
      </w:pPr>
      <w:r>
        <w:rPr>
          <w:rFonts w:ascii="黑体" w:hAnsi="黑体" w:eastAsia="黑体"/>
          <w:sz w:val="28"/>
          <w:szCs w:val="28"/>
        </w:rPr>
        <w:br w:type="page"/>
      </w:r>
    </w:p>
    <w:p>
      <w:pPr>
        <w:pStyle w:val="12"/>
        <w:ind w:left="720" w:firstLine="0" w:firstLineChars="0"/>
        <w:jc w:val="left"/>
        <w:rPr>
          <w:rFonts w:ascii="黑体" w:hAnsi="黑体" w:eastAsia="黑体"/>
          <w:sz w:val="28"/>
          <w:szCs w:val="28"/>
        </w:rPr>
      </w:pP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lang w:eastAsia="zh-CN"/>
        </w:rPr>
        <w:t>一、</w:t>
      </w:r>
      <w:r>
        <w:rPr>
          <w:rFonts w:hint="eastAsia" w:ascii="黑体" w:hAnsi="黑体" w:eastAsia="黑体" w:cs="黑体"/>
          <w:color w:val="000000"/>
          <w:kern w:val="0"/>
          <w:sz w:val="32"/>
          <w:szCs w:val="32"/>
        </w:rPr>
        <w:t>部门职责</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zh-CN" w:eastAsia="zh-CN"/>
        </w:rPr>
        <w:t>1、为人民身体健康提供医疗康复服务。</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zh-CN" w:eastAsia="zh-CN"/>
        </w:rPr>
        <w:t>2、收治民政“三无”对象及复退军人慢性精神病患者。</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zh-CN" w:eastAsia="zh-CN"/>
        </w:rPr>
        <w:t>3、负责诊治由110、120及救助机构收送的社会流浪精神病人。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zh-CN" w:eastAsia="zh-CN"/>
        </w:rPr>
        <w:t>4、负责周边地区精神卫生防治、科研、教学、咨询及社区医疗工作。</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zh-CN" w:eastAsia="zh-CN"/>
        </w:rPr>
        <w:t>5、负责治疗患有严重慢性病的返乡复员军人、在乡革命残疾军人。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zh-CN" w:eastAsia="zh-CN"/>
        </w:rPr>
        <w:t>6、负责治疗在部队立有三等功以上病情特别严重的返乡退伍军人。</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二、机构设置及决算单位构成</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（一）内设机构设置。岳阳市康复医院内设机构包括：</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zh-CN" w:eastAsia="zh-CN"/>
        </w:rPr>
        <w:t>根据编委核定，我院内设科室14个：</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zh-CN" w:eastAsia="zh-CN"/>
        </w:rPr>
        <w:t>1、办公室</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zh-CN" w:eastAsia="zh-CN"/>
        </w:rPr>
        <w:t>2、人事科</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zh-CN" w:eastAsia="zh-CN"/>
        </w:rPr>
        <w:t>3、财务科</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zh-CN" w:eastAsia="zh-CN"/>
        </w:rPr>
        <w:t>4、医务科</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zh-CN" w:eastAsia="zh-CN"/>
        </w:rPr>
        <w:t>5、护理部</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zh-CN" w:eastAsia="zh-CN"/>
        </w:rPr>
        <w:t>6、后勤科</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zh-CN" w:eastAsia="zh-CN"/>
        </w:rPr>
        <w:t>7、医保科</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zh-CN" w:eastAsia="zh-CN"/>
        </w:rPr>
        <w:t>8、药剂科</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zh-CN" w:eastAsia="zh-CN"/>
        </w:rPr>
        <w:t>9、信息科</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zh-CN" w:eastAsia="zh-CN"/>
        </w:rPr>
        <w:t>10、院感科</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zh-CN" w:eastAsia="zh-CN"/>
        </w:rPr>
        <w:t>11、科教科</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zh-CN" w:eastAsia="zh-CN"/>
        </w:rPr>
        <w:t>12、质控科</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zh-CN" w:eastAsia="zh-CN"/>
        </w:rPr>
        <w:t>13、设备科</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zh-CN" w:eastAsia="zh-CN"/>
        </w:rPr>
        <w:t>14、安保科</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（二）决算单位构成。</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en-US" w:eastAsia="zh-CN"/>
        </w:rPr>
        <w:t>岳阳市康复医院</w:t>
      </w:r>
      <w:r>
        <w:rPr>
          <w:rFonts w:hint="eastAsia" w:ascii="仿宋_GB2312" w:hAnsi="仿宋_GB2312" w:eastAsia="仿宋_GB2312" w:cs="仿宋_GB2312"/>
          <w:b w:val="0"/>
          <w:bCs w:val="0"/>
          <w:color w:val="auto"/>
          <w:sz w:val="32"/>
          <w:szCs w:val="32"/>
          <w:lang w:val="zh-CN" w:eastAsia="zh-CN"/>
        </w:rPr>
        <w:t>2021年部门决算汇总公开单位构成：</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岳阳市康复医院隶属于岳阳市民政局二级机构，无下设机构。</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rPr>
      </w:pPr>
    </w:p>
    <w:p>
      <w:pPr>
        <w:rPr>
          <w:rFonts w:hint="eastAsia"/>
          <w:kern w:val="0"/>
          <w:sz w:val="72"/>
          <w:szCs w:val="72"/>
        </w:rPr>
      </w:pPr>
      <w:r>
        <w:rPr>
          <w:rFonts w:hint="eastAsia"/>
          <w:kern w:val="0"/>
          <w:sz w:val="72"/>
          <w:szCs w:val="72"/>
        </w:rPr>
        <w:br w:type="page"/>
      </w:r>
    </w:p>
    <w:p>
      <w:pPr>
        <w:pStyle w:val="11"/>
        <w:jc w:val="center"/>
        <w:rPr>
          <w:rFonts w:hint="eastAsia"/>
          <w:kern w:val="0"/>
          <w:sz w:val="72"/>
          <w:szCs w:val="72"/>
        </w:rPr>
      </w:pPr>
    </w:p>
    <w:p>
      <w:pPr>
        <w:pStyle w:val="11"/>
        <w:jc w:val="center"/>
        <w:rPr>
          <w:rFonts w:hint="eastAsia"/>
          <w:kern w:val="0"/>
          <w:sz w:val="72"/>
          <w:szCs w:val="72"/>
        </w:rPr>
      </w:pPr>
    </w:p>
    <w:p>
      <w:pPr>
        <w:pStyle w:val="11"/>
        <w:jc w:val="center"/>
        <w:rPr>
          <w:rFonts w:hint="eastAsia"/>
          <w:kern w:val="0"/>
          <w:sz w:val="72"/>
          <w:szCs w:val="72"/>
        </w:rPr>
      </w:pPr>
    </w:p>
    <w:p>
      <w:pPr>
        <w:pStyle w:val="11"/>
        <w:jc w:val="center"/>
        <w:rPr>
          <w:rFonts w:hint="eastAsia"/>
          <w:kern w:val="0"/>
          <w:sz w:val="72"/>
          <w:szCs w:val="72"/>
        </w:rPr>
      </w:pPr>
    </w:p>
    <w:p>
      <w:pPr>
        <w:pStyle w:val="11"/>
        <w:jc w:val="center"/>
        <w:rPr>
          <w:rFonts w:hint="eastAsia"/>
          <w:kern w:val="0"/>
          <w:sz w:val="72"/>
          <w:szCs w:val="72"/>
        </w:rPr>
      </w:pPr>
      <w:r>
        <w:rPr>
          <w:rFonts w:hint="eastAsia"/>
          <w:kern w:val="0"/>
          <w:sz w:val="72"/>
          <w:szCs w:val="72"/>
        </w:rPr>
        <w:t>第二部分</w:t>
      </w:r>
    </w:p>
    <w:p>
      <w:pPr>
        <w:pStyle w:val="11"/>
        <w:jc w:val="center"/>
        <w:rPr>
          <w:rFonts w:hint="eastAsia"/>
          <w:kern w:val="0"/>
          <w:sz w:val="72"/>
          <w:szCs w:val="72"/>
        </w:rPr>
      </w:pPr>
    </w:p>
    <w:p>
      <w:pPr>
        <w:pStyle w:val="11"/>
        <w:jc w:val="center"/>
        <w:rPr>
          <w:rFonts w:hint="eastAsia"/>
          <w:kern w:val="0"/>
          <w:sz w:val="72"/>
          <w:szCs w:val="72"/>
          <w:lang w:eastAsia="zh-CN"/>
        </w:rPr>
      </w:pPr>
      <w:r>
        <w:rPr>
          <w:rFonts w:hint="eastAsia"/>
          <w:kern w:val="0"/>
          <w:sz w:val="72"/>
          <w:szCs w:val="72"/>
        </w:rPr>
        <w:t>部门决算表</w:t>
      </w:r>
      <w:r>
        <w:rPr>
          <w:rFonts w:hint="eastAsia"/>
          <w:kern w:val="0"/>
          <w:sz w:val="72"/>
          <w:szCs w:val="72"/>
          <w:lang w:eastAsia="zh-CN"/>
        </w:rPr>
        <w:t>（见附件）</w:t>
      </w:r>
    </w:p>
    <w:p>
      <w:pPr>
        <w:pStyle w:val="11"/>
        <w:jc w:val="center"/>
        <w:rPr>
          <w:rFonts w:hint="eastAsia"/>
          <w:kern w:val="0"/>
          <w:sz w:val="72"/>
          <w:szCs w:val="72"/>
        </w:rPr>
      </w:pPr>
    </w:p>
    <w:p>
      <w:pPr>
        <w:jc w:val="center"/>
        <w:rPr>
          <w:sz w:val="28"/>
          <w:szCs w:val="28"/>
        </w:rPr>
      </w:pPr>
    </w:p>
    <w:p>
      <w:pPr>
        <w:jc w:val="left"/>
        <w:rPr>
          <w:rFonts w:asciiTheme="minorEastAsia" w:hAnsiTheme="minorEastAsia"/>
          <w:sz w:val="28"/>
          <w:szCs w:val="28"/>
        </w:rPr>
        <w:sectPr>
          <w:pgSz w:w="11906" w:h="16838"/>
          <w:pgMar w:top="2098" w:right="1531" w:bottom="1984" w:left="1531" w:header="851" w:footer="992" w:gutter="0"/>
          <w:cols w:space="0" w:num="1"/>
          <w:rtlGutter w:val="0"/>
          <w:docGrid w:type="lines" w:linePitch="312" w:charSpace="0"/>
        </w:sectPr>
      </w:pPr>
    </w:p>
    <w:p>
      <w:pPr>
        <w:pStyle w:val="11"/>
        <w:jc w:val="center"/>
        <w:rPr>
          <w:rFonts w:hint="eastAsia"/>
          <w:kern w:val="0"/>
          <w:sz w:val="72"/>
          <w:szCs w:val="72"/>
        </w:rPr>
      </w:pPr>
    </w:p>
    <w:p>
      <w:pPr>
        <w:pStyle w:val="11"/>
        <w:jc w:val="center"/>
        <w:rPr>
          <w:rFonts w:hint="eastAsia"/>
          <w:kern w:val="0"/>
          <w:sz w:val="72"/>
          <w:szCs w:val="72"/>
        </w:rPr>
      </w:pPr>
    </w:p>
    <w:p>
      <w:pPr>
        <w:pStyle w:val="11"/>
        <w:jc w:val="center"/>
        <w:rPr>
          <w:rFonts w:hint="eastAsia"/>
          <w:kern w:val="0"/>
          <w:sz w:val="72"/>
          <w:szCs w:val="72"/>
        </w:rPr>
      </w:pPr>
    </w:p>
    <w:p>
      <w:pPr>
        <w:pStyle w:val="11"/>
        <w:jc w:val="center"/>
        <w:rPr>
          <w:rFonts w:hint="eastAsia"/>
          <w:kern w:val="0"/>
          <w:sz w:val="72"/>
          <w:szCs w:val="72"/>
        </w:rPr>
      </w:pPr>
    </w:p>
    <w:p>
      <w:pPr>
        <w:pStyle w:val="11"/>
        <w:jc w:val="center"/>
        <w:rPr>
          <w:rFonts w:hint="eastAsia"/>
          <w:kern w:val="0"/>
          <w:sz w:val="72"/>
          <w:szCs w:val="72"/>
        </w:rPr>
      </w:pPr>
      <w:r>
        <w:rPr>
          <w:rFonts w:hint="eastAsia"/>
          <w:kern w:val="0"/>
          <w:sz w:val="72"/>
          <w:szCs w:val="72"/>
        </w:rPr>
        <w:t>第三部分</w:t>
      </w:r>
    </w:p>
    <w:p>
      <w:pPr>
        <w:pStyle w:val="11"/>
        <w:jc w:val="center"/>
        <w:rPr>
          <w:rFonts w:hint="eastAsia"/>
          <w:kern w:val="0"/>
          <w:sz w:val="72"/>
          <w:szCs w:val="72"/>
        </w:rPr>
      </w:pPr>
    </w:p>
    <w:p>
      <w:pPr>
        <w:pStyle w:val="11"/>
        <w:jc w:val="center"/>
        <w:rPr>
          <w:rFonts w:hint="eastAsia"/>
          <w:kern w:val="0"/>
          <w:sz w:val="72"/>
          <w:szCs w:val="72"/>
        </w:rPr>
      </w:pPr>
      <w:r>
        <w:rPr>
          <w:rFonts w:hint="eastAsia"/>
          <w:kern w:val="0"/>
          <w:sz w:val="72"/>
          <w:szCs w:val="72"/>
        </w:rPr>
        <w:t>2021年度部门决算情况说明</w:t>
      </w:r>
    </w:p>
    <w:p>
      <w:pPr>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br w:type="page"/>
      </w:r>
    </w:p>
    <w:p>
      <w:pPr>
        <w:widowControl/>
        <w:ind w:firstLine="640" w:firstLineChars="200"/>
        <w:jc w:val="left"/>
        <w:rPr>
          <w:rFonts w:hint="eastAsia" w:ascii="黑体" w:hAnsi="黑体" w:eastAsia="黑体" w:cs="黑体"/>
          <w:color w:val="000000"/>
          <w:kern w:val="0"/>
          <w:sz w:val="32"/>
          <w:szCs w:val="32"/>
        </w:rPr>
      </w:pPr>
    </w:p>
    <w:p>
      <w:pPr>
        <w:widowControl/>
        <w:ind w:firstLine="640" w:firstLineChars="200"/>
        <w:jc w:val="left"/>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一、收入支出决算总体情况说明</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zh-CN" w:eastAsia="zh-CN"/>
        </w:rPr>
        <w:t>202</w:t>
      </w: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lang w:val="zh-CN" w:eastAsia="zh-CN"/>
        </w:rPr>
        <w:t>年度收</w:t>
      </w:r>
      <w:r>
        <w:rPr>
          <w:rFonts w:hint="eastAsia" w:ascii="仿宋_GB2312" w:hAnsi="仿宋_GB2312" w:eastAsia="仿宋_GB2312" w:cs="仿宋_GB2312"/>
          <w:b w:val="0"/>
          <w:bCs w:val="0"/>
          <w:color w:val="auto"/>
          <w:sz w:val="32"/>
          <w:szCs w:val="32"/>
          <w:lang w:val="en-US" w:eastAsia="zh-CN"/>
        </w:rPr>
        <w:t>入7217.09</w:t>
      </w:r>
      <w:r>
        <w:rPr>
          <w:rFonts w:hint="eastAsia" w:ascii="仿宋_GB2312" w:hAnsi="仿宋_GB2312" w:eastAsia="仿宋_GB2312" w:cs="仿宋_GB2312"/>
          <w:b w:val="0"/>
          <w:bCs w:val="0"/>
          <w:color w:val="auto"/>
          <w:sz w:val="32"/>
          <w:szCs w:val="32"/>
          <w:lang w:val="zh-CN" w:eastAsia="zh-CN"/>
        </w:rPr>
        <w:t>万元，与20</w:t>
      </w:r>
      <w:r>
        <w:rPr>
          <w:rFonts w:hint="eastAsia" w:ascii="仿宋_GB2312" w:hAnsi="仿宋_GB2312" w:eastAsia="仿宋_GB2312" w:cs="仿宋_GB2312"/>
          <w:b w:val="0"/>
          <w:bCs w:val="0"/>
          <w:color w:val="auto"/>
          <w:sz w:val="32"/>
          <w:szCs w:val="32"/>
          <w:lang w:val="en-US" w:eastAsia="zh-CN"/>
        </w:rPr>
        <w:t>20</w:t>
      </w:r>
      <w:r>
        <w:rPr>
          <w:rFonts w:hint="eastAsia" w:ascii="仿宋_GB2312" w:hAnsi="仿宋_GB2312" w:eastAsia="仿宋_GB2312" w:cs="仿宋_GB2312"/>
          <w:b w:val="0"/>
          <w:bCs w:val="0"/>
          <w:color w:val="auto"/>
          <w:sz w:val="32"/>
          <w:szCs w:val="32"/>
          <w:lang w:val="zh-CN" w:eastAsia="zh-CN"/>
        </w:rPr>
        <w:t>年相比</w:t>
      </w:r>
      <w:r>
        <w:rPr>
          <w:rFonts w:hint="eastAsia" w:ascii="仿宋_GB2312" w:hAnsi="仿宋_GB2312" w:eastAsia="仿宋_GB2312" w:cs="仿宋_GB2312"/>
          <w:b w:val="0"/>
          <w:bCs w:val="0"/>
          <w:color w:val="auto"/>
          <w:sz w:val="32"/>
          <w:szCs w:val="32"/>
          <w:lang w:val="en-US" w:eastAsia="zh-CN"/>
        </w:rPr>
        <w:t>增加455.09万元，增加6.57%。因为2021年决算采用预算会计报表填报（收付实现制），2020年采用财务会计报表填报（权责发生制），数据取值有差入。2021年支出总计7217.09万元，与2020年相比减少334.91，下降4.4%，因2021年决算采用预算会计报表填报（收付实现制），2020年采用财务会计报表填报（权责发生制），数据取值有差入。</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二、收入决算情况说明</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zh-CN" w:eastAsia="zh-CN"/>
        </w:rPr>
        <w:t>本年收入合计</w:t>
      </w:r>
      <w:r>
        <w:rPr>
          <w:rFonts w:hint="eastAsia" w:ascii="仿宋_GB2312" w:hAnsi="仿宋_GB2312" w:eastAsia="仿宋_GB2312" w:cs="仿宋_GB2312"/>
          <w:b w:val="0"/>
          <w:bCs w:val="0"/>
          <w:color w:val="auto"/>
          <w:sz w:val="32"/>
          <w:szCs w:val="32"/>
          <w:lang w:val="en-US" w:eastAsia="zh-CN"/>
        </w:rPr>
        <w:t>7217.09</w:t>
      </w:r>
      <w:r>
        <w:rPr>
          <w:rFonts w:hint="eastAsia" w:ascii="仿宋_GB2312" w:hAnsi="仿宋_GB2312" w:eastAsia="仿宋_GB2312" w:cs="仿宋_GB2312"/>
          <w:b w:val="0"/>
          <w:bCs w:val="0"/>
          <w:color w:val="auto"/>
          <w:sz w:val="32"/>
          <w:szCs w:val="32"/>
          <w:lang w:val="zh-CN" w:eastAsia="zh-CN"/>
        </w:rPr>
        <w:t>万元，其中：</w:t>
      </w:r>
      <w:r>
        <w:rPr>
          <w:rFonts w:hint="eastAsia" w:ascii="仿宋_GB2312" w:hAnsi="仿宋_GB2312" w:eastAsia="仿宋_GB2312" w:cs="仿宋_GB2312"/>
          <w:b w:val="0"/>
          <w:bCs w:val="0"/>
          <w:color w:val="auto"/>
          <w:sz w:val="32"/>
          <w:szCs w:val="32"/>
          <w:lang w:val="en-US" w:eastAsia="zh-CN"/>
        </w:rPr>
        <w:t>财政拨款收入1200.39万元，相比2020年增加69.57万元，上升6.1%；事业收入6014.7万元，相比2020年上升477.62万元，上升8.62%；其他收入42.5万元，相比2020年下降62.43万元，下降59.5%。</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lang w:val="en-US" w:eastAsia="zh-CN"/>
        </w:rPr>
        <w:t>三、支出决算情况说明</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zh-CN" w:eastAsia="zh-CN"/>
        </w:rPr>
        <w:t>2021年度支出合计</w:t>
      </w:r>
      <w:r>
        <w:rPr>
          <w:rFonts w:hint="eastAsia" w:ascii="仿宋_GB2312" w:hAnsi="仿宋_GB2312" w:eastAsia="仿宋_GB2312" w:cs="仿宋_GB2312"/>
          <w:b w:val="0"/>
          <w:bCs w:val="0"/>
          <w:color w:val="auto"/>
          <w:sz w:val="32"/>
          <w:szCs w:val="32"/>
          <w:lang w:val="en-US" w:eastAsia="zh-CN"/>
        </w:rPr>
        <w:t>6969.14</w:t>
      </w:r>
      <w:r>
        <w:rPr>
          <w:rFonts w:hint="eastAsia" w:ascii="仿宋_GB2312" w:hAnsi="仿宋_GB2312" w:eastAsia="仿宋_GB2312" w:cs="仿宋_GB2312"/>
          <w:b w:val="0"/>
          <w:bCs w:val="0"/>
          <w:color w:val="auto"/>
          <w:sz w:val="32"/>
          <w:szCs w:val="32"/>
          <w:lang w:val="zh-CN" w:eastAsia="zh-CN"/>
        </w:rPr>
        <w:t>万元（</w:t>
      </w:r>
      <w:r>
        <w:rPr>
          <w:rFonts w:hint="eastAsia" w:ascii="仿宋_GB2312" w:hAnsi="仿宋_GB2312" w:eastAsia="仿宋_GB2312" w:cs="仿宋_GB2312"/>
          <w:b w:val="0"/>
          <w:bCs w:val="0"/>
          <w:color w:val="auto"/>
          <w:sz w:val="32"/>
          <w:szCs w:val="32"/>
          <w:lang w:val="en-US" w:eastAsia="zh-CN"/>
        </w:rPr>
        <w:t>财决03表</w:t>
      </w:r>
      <w:r>
        <w:rPr>
          <w:rFonts w:hint="eastAsia" w:ascii="仿宋_GB2312" w:hAnsi="仿宋_GB2312" w:eastAsia="仿宋_GB2312" w:cs="仿宋_GB2312"/>
          <w:b w:val="0"/>
          <w:bCs w:val="0"/>
          <w:color w:val="auto"/>
          <w:sz w:val="32"/>
          <w:szCs w:val="32"/>
          <w:lang w:val="zh-CN" w:eastAsia="zh-CN"/>
        </w:rPr>
        <w:t>），其中：基本支出</w:t>
      </w:r>
      <w:r>
        <w:rPr>
          <w:rFonts w:hint="eastAsia" w:ascii="仿宋_GB2312" w:hAnsi="仿宋_GB2312" w:eastAsia="仿宋_GB2312" w:cs="仿宋_GB2312"/>
          <w:b w:val="0"/>
          <w:bCs w:val="0"/>
          <w:color w:val="auto"/>
          <w:sz w:val="32"/>
          <w:szCs w:val="32"/>
          <w:lang w:val="en-US" w:eastAsia="zh-CN"/>
        </w:rPr>
        <w:t>6969.14</w:t>
      </w:r>
      <w:r>
        <w:rPr>
          <w:rFonts w:hint="eastAsia" w:ascii="仿宋_GB2312" w:hAnsi="仿宋_GB2312" w:eastAsia="仿宋_GB2312" w:cs="仿宋_GB2312"/>
          <w:b w:val="0"/>
          <w:bCs w:val="0"/>
          <w:color w:val="auto"/>
          <w:sz w:val="32"/>
          <w:szCs w:val="32"/>
          <w:lang w:val="zh-CN" w:eastAsia="zh-CN"/>
        </w:rPr>
        <w:t>万元，占</w:t>
      </w:r>
      <w:r>
        <w:rPr>
          <w:rFonts w:hint="eastAsia" w:ascii="仿宋_GB2312" w:hAnsi="仿宋_GB2312" w:eastAsia="仿宋_GB2312" w:cs="仿宋_GB2312"/>
          <w:b w:val="0"/>
          <w:bCs w:val="0"/>
          <w:color w:val="auto"/>
          <w:sz w:val="32"/>
          <w:szCs w:val="32"/>
          <w:lang w:val="en-US" w:eastAsia="zh-CN"/>
        </w:rPr>
        <w:t>100</w:t>
      </w:r>
      <w:r>
        <w:rPr>
          <w:rFonts w:hint="eastAsia" w:ascii="仿宋_GB2312" w:hAnsi="仿宋_GB2312" w:eastAsia="仿宋_GB2312" w:cs="仿宋_GB2312"/>
          <w:b w:val="0"/>
          <w:bCs w:val="0"/>
          <w:color w:val="auto"/>
          <w:sz w:val="32"/>
          <w:szCs w:val="32"/>
          <w:lang w:val="zh-CN" w:eastAsia="zh-CN"/>
        </w:rPr>
        <w:t>%；项目支出</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lang w:val="zh-CN" w:eastAsia="zh-CN"/>
        </w:rPr>
        <w:t>万元，占</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lang w:val="zh-CN" w:eastAsia="zh-CN"/>
        </w:rPr>
        <w:t>%；上缴上级支出</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lang w:val="zh-CN" w:eastAsia="zh-CN"/>
        </w:rPr>
        <w:t>万元，占</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lang w:val="zh-CN" w:eastAsia="zh-CN"/>
        </w:rPr>
        <w:t>%；经营支出</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lang w:val="zh-CN" w:eastAsia="zh-CN"/>
        </w:rPr>
        <w:t>万元，占</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lang w:val="zh-CN" w:eastAsia="zh-CN"/>
        </w:rPr>
        <w:t>%；对附属单位补助支出</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lang w:val="zh-CN" w:eastAsia="zh-CN"/>
        </w:rPr>
        <w:t>万元，占</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lang w:val="zh-CN" w:eastAsia="zh-CN"/>
        </w:rPr>
        <w:t>%。</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四、财政拨款收入支出决算总体情况说明</w:t>
      </w:r>
    </w:p>
    <w:p>
      <w:pPr>
        <w:pStyle w:val="11"/>
        <w:ind w:firstLine="640" w:firstLineChars="200"/>
        <w:rPr>
          <w:rFonts w:hint="default"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zh-CN" w:eastAsia="zh-CN" w:bidi="ar"/>
        </w:rPr>
        <w:t>2021年度财政拨款收、支总计</w:t>
      </w:r>
      <w:r>
        <w:rPr>
          <w:rFonts w:hint="eastAsia" w:ascii="仿宋_GB2312" w:hAnsi="仿宋_GB2312" w:eastAsia="仿宋_GB2312" w:cs="仿宋_GB2312"/>
          <w:b w:val="0"/>
          <w:bCs w:val="0"/>
          <w:color w:val="auto"/>
          <w:kern w:val="0"/>
          <w:sz w:val="32"/>
          <w:szCs w:val="32"/>
          <w:lang w:val="en-US" w:eastAsia="zh-CN" w:bidi="ar"/>
        </w:rPr>
        <w:t>1202.39</w:t>
      </w:r>
      <w:r>
        <w:rPr>
          <w:rFonts w:hint="eastAsia" w:ascii="仿宋_GB2312" w:hAnsi="仿宋_GB2312" w:eastAsia="仿宋_GB2312" w:cs="仿宋_GB2312"/>
          <w:b w:val="0"/>
          <w:bCs w:val="0"/>
          <w:color w:val="auto"/>
          <w:kern w:val="0"/>
          <w:sz w:val="32"/>
          <w:szCs w:val="32"/>
          <w:lang w:val="zh-CN" w:eastAsia="zh-CN" w:bidi="ar"/>
        </w:rPr>
        <w:t>万元，与上年相比，增加</w:t>
      </w:r>
      <w:r>
        <w:rPr>
          <w:rFonts w:hint="eastAsia" w:ascii="仿宋_GB2312" w:hAnsi="仿宋_GB2312" w:eastAsia="仿宋_GB2312" w:cs="仿宋_GB2312"/>
          <w:b w:val="0"/>
          <w:bCs w:val="0"/>
          <w:color w:val="auto"/>
          <w:kern w:val="0"/>
          <w:sz w:val="32"/>
          <w:szCs w:val="32"/>
          <w:lang w:val="en-US" w:eastAsia="zh-CN" w:bidi="ar"/>
        </w:rPr>
        <w:t>71.57</w:t>
      </w:r>
      <w:r>
        <w:rPr>
          <w:rFonts w:hint="eastAsia" w:ascii="仿宋_GB2312" w:hAnsi="仿宋_GB2312" w:eastAsia="仿宋_GB2312" w:cs="仿宋_GB2312"/>
          <w:b w:val="0"/>
          <w:bCs w:val="0"/>
          <w:color w:val="auto"/>
          <w:kern w:val="0"/>
          <w:sz w:val="32"/>
          <w:szCs w:val="32"/>
          <w:lang w:val="zh-CN" w:eastAsia="zh-CN" w:bidi="ar"/>
        </w:rPr>
        <w:t>万元,增长</w:t>
      </w:r>
      <w:r>
        <w:rPr>
          <w:rFonts w:hint="eastAsia" w:ascii="仿宋_GB2312" w:hAnsi="仿宋_GB2312" w:eastAsia="仿宋_GB2312" w:cs="仿宋_GB2312"/>
          <w:b w:val="0"/>
          <w:bCs w:val="0"/>
          <w:color w:val="auto"/>
          <w:kern w:val="0"/>
          <w:sz w:val="32"/>
          <w:szCs w:val="32"/>
          <w:lang w:val="en-US" w:eastAsia="zh-CN" w:bidi="ar"/>
        </w:rPr>
        <w:t>6.3</w:t>
      </w:r>
      <w:r>
        <w:rPr>
          <w:rFonts w:hint="eastAsia" w:ascii="仿宋_GB2312" w:hAnsi="仿宋_GB2312" w:eastAsia="仿宋_GB2312" w:cs="仿宋_GB2312"/>
          <w:b w:val="0"/>
          <w:bCs w:val="0"/>
          <w:color w:val="auto"/>
          <w:kern w:val="0"/>
          <w:sz w:val="32"/>
          <w:szCs w:val="32"/>
          <w:lang w:val="zh-CN" w:eastAsia="zh-CN" w:bidi="ar"/>
        </w:rPr>
        <w:t>%，主要是因为</w:t>
      </w:r>
      <w:r>
        <w:rPr>
          <w:rFonts w:hint="eastAsia" w:ascii="仿宋_GB2312" w:hAnsi="仿宋_GB2312" w:eastAsia="仿宋_GB2312" w:cs="仿宋_GB2312"/>
          <w:b w:val="0"/>
          <w:bCs w:val="0"/>
          <w:color w:val="auto"/>
          <w:kern w:val="0"/>
          <w:sz w:val="32"/>
          <w:szCs w:val="32"/>
          <w:lang w:val="en-US" w:eastAsia="zh-CN" w:bidi="ar"/>
        </w:rPr>
        <w:t>2021年增加了66万的无名氏流浪精神病人补助经费。</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五、一般公共预算财政拨款支出决算情况说明</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zh-CN" w:eastAsia="zh-CN"/>
        </w:rPr>
        <w:t>（一）财政拨款支出决算总体情况</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zh-CN" w:eastAsia="zh-CN"/>
        </w:rPr>
        <w:t>2021年度财政拨款支出</w:t>
      </w:r>
      <w:r>
        <w:rPr>
          <w:rFonts w:hint="eastAsia" w:ascii="仿宋_GB2312" w:hAnsi="仿宋_GB2312" w:eastAsia="仿宋_GB2312" w:cs="仿宋_GB2312"/>
          <w:b w:val="0"/>
          <w:bCs w:val="0"/>
          <w:color w:val="auto"/>
          <w:sz w:val="32"/>
          <w:szCs w:val="32"/>
          <w:lang w:val="en-US" w:eastAsia="zh-CN"/>
        </w:rPr>
        <w:t>1202.39</w:t>
      </w:r>
      <w:r>
        <w:rPr>
          <w:rFonts w:hint="eastAsia" w:ascii="仿宋_GB2312" w:hAnsi="仿宋_GB2312" w:eastAsia="仿宋_GB2312" w:cs="仿宋_GB2312"/>
          <w:b w:val="0"/>
          <w:bCs w:val="0"/>
          <w:color w:val="auto"/>
          <w:sz w:val="32"/>
          <w:szCs w:val="32"/>
          <w:lang w:val="zh-CN" w:eastAsia="zh-CN"/>
        </w:rPr>
        <w:t>万元，占本年支出合计的</w:t>
      </w:r>
      <w:r>
        <w:rPr>
          <w:rFonts w:hint="eastAsia" w:ascii="仿宋_GB2312" w:hAnsi="仿宋_GB2312" w:eastAsia="仿宋_GB2312" w:cs="仿宋_GB2312"/>
          <w:b w:val="0"/>
          <w:bCs w:val="0"/>
          <w:color w:val="auto"/>
          <w:sz w:val="32"/>
          <w:szCs w:val="32"/>
          <w:lang w:val="en-US" w:eastAsia="zh-CN"/>
        </w:rPr>
        <w:t>17.25</w:t>
      </w:r>
      <w:r>
        <w:rPr>
          <w:rFonts w:hint="eastAsia" w:ascii="仿宋_GB2312" w:hAnsi="仿宋_GB2312" w:eastAsia="仿宋_GB2312" w:cs="仿宋_GB2312"/>
          <w:b w:val="0"/>
          <w:bCs w:val="0"/>
          <w:color w:val="auto"/>
          <w:sz w:val="32"/>
          <w:szCs w:val="32"/>
          <w:lang w:val="zh-CN" w:eastAsia="zh-CN"/>
        </w:rPr>
        <w:t>%，与上年相比，财政拨款支出增加</w:t>
      </w:r>
      <w:r>
        <w:rPr>
          <w:rFonts w:hint="eastAsia" w:ascii="仿宋_GB2312" w:hAnsi="仿宋_GB2312" w:eastAsia="仿宋_GB2312" w:cs="仿宋_GB2312"/>
          <w:b w:val="0"/>
          <w:bCs w:val="0"/>
          <w:color w:val="auto"/>
          <w:sz w:val="32"/>
          <w:szCs w:val="32"/>
          <w:lang w:val="en-US" w:eastAsia="zh-CN"/>
        </w:rPr>
        <w:t>71.57</w:t>
      </w:r>
      <w:r>
        <w:rPr>
          <w:rFonts w:hint="eastAsia" w:ascii="仿宋_GB2312" w:hAnsi="仿宋_GB2312" w:eastAsia="仿宋_GB2312" w:cs="仿宋_GB2312"/>
          <w:b w:val="0"/>
          <w:bCs w:val="0"/>
          <w:color w:val="auto"/>
          <w:sz w:val="32"/>
          <w:szCs w:val="32"/>
          <w:lang w:val="zh-CN" w:eastAsia="zh-CN"/>
        </w:rPr>
        <w:t>万元，增长</w:t>
      </w:r>
      <w:r>
        <w:rPr>
          <w:rFonts w:hint="eastAsia" w:ascii="仿宋_GB2312" w:hAnsi="仿宋_GB2312" w:eastAsia="仿宋_GB2312" w:cs="仿宋_GB2312"/>
          <w:b w:val="0"/>
          <w:bCs w:val="0"/>
          <w:color w:val="auto"/>
          <w:sz w:val="32"/>
          <w:szCs w:val="32"/>
          <w:lang w:val="en-US" w:eastAsia="zh-CN"/>
        </w:rPr>
        <w:t>6.3</w:t>
      </w:r>
      <w:r>
        <w:rPr>
          <w:rFonts w:hint="eastAsia" w:ascii="仿宋_GB2312" w:hAnsi="仿宋_GB2312" w:eastAsia="仿宋_GB2312" w:cs="仿宋_GB2312"/>
          <w:b w:val="0"/>
          <w:bCs w:val="0"/>
          <w:color w:val="auto"/>
          <w:sz w:val="32"/>
          <w:szCs w:val="32"/>
          <w:lang w:val="zh-CN" w:eastAsia="zh-CN"/>
        </w:rPr>
        <w:t>%，主要是因为</w:t>
      </w:r>
      <w:r>
        <w:rPr>
          <w:rFonts w:hint="eastAsia" w:ascii="仿宋_GB2312" w:hAnsi="仿宋_GB2312" w:eastAsia="仿宋_GB2312" w:cs="仿宋_GB2312"/>
          <w:b w:val="0"/>
          <w:bCs w:val="0"/>
          <w:color w:val="auto"/>
          <w:sz w:val="32"/>
          <w:szCs w:val="32"/>
          <w:lang w:val="en-US" w:eastAsia="zh-CN"/>
        </w:rPr>
        <w:t>2021年增加了66万的无名氏流浪精神病人补助经费支出。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zh-CN" w:eastAsia="zh-CN"/>
        </w:rPr>
        <w:t>（二）财政拨款支出决算结构情况</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zh-CN" w:eastAsia="zh-CN"/>
        </w:rPr>
        <w:t>2021年度财政拨款支出</w:t>
      </w:r>
      <w:r>
        <w:rPr>
          <w:rFonts w:hint="eastAsia" w:ascii="仿宋_GB2312" w:hAnsi="仿宋_GB2312" w:eastAsia="仿宋_GB2312" w:cs="仿宋_GB2312"/>
          <w:b w:val="0"/>
          <w:bCs w:val="0"/>
          <w:color w:val="auto"/>
          <w:sz w:val="32"/>
          <w:szCs w:val="32"/>
          <w:lang w:val="en-US" w:eastAsia="zh-CN"/>
        </w:rPr>
        <w:t>1202.39</w:t>
      </w:r>
      <w:r>
        <w:rPr>
          <w:rFonts w:hint="eastAsia" w:ascii="仿宋_GB2312" w:hAnsi="仿宋_GB2312" w:eastAsia="仿宋_GB2312" w:cs="仿宋_GB2312"/>
          <w:b w:val="0"/>
          <w:bCs w:val="0"/>
          <w:color w:val="auto"/>
          <w:sz w:val="32"/>
          <w:szCs w:val="32"/>
          <w:lang w:val="zh-CN" w:eastAsia="zh-CN"/>
        </w:rPr>
        <w:t>万元，主要用于以下方面：</w:t>
      </w:r>
      <w:r>
        <w:rPr>
          <w:rFonts w:hint="eastAsia" w:ascii="仿宋_GB2312" w:hAnsi="仿宋_GB2312" w:eastAsia="仿宋_GB2312" w:cs="仿宋_GB2312"/>
          <w:b w:val="0"/>
          <w:bCs w:val="0"/>
          <w:color w:val="auto"/>
          <w:sz w:val="32"/>
          <w:szCs w:val="32"/>
          <w:lang w:val="en-US" w:eastAsia="zh-CN"/>
        </w:rPr>
        <w:t>工资福利支出929.7万，占比77.32%；商品服务支出152.74万元，占比12.7%；对个人和家庭补助119.95万元，占比9.98%。</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zh-CN" w:eastAsia="zh-CN"/>
        </w:rPr>
        <w:t>（三）财政拨款支出决算具体情况</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zh-CN" w:eastAsia="zh-CN"/>
        </w:rPr>
        <w:t>2021年度财政拨款支出年初预算数为</w:t>
      </w:r>
      <w:r>
        <w:rPr>
          <w:rFonts w:hint="eastAsia" w:ascii="仿宋_GB2312" w:hAnsi="仿宋_GB2312" w:eastAsia="仿宋_GB2312" w:cs="仿宋_GB2312"/>
          <w:b w:val="0"/>
          <w:bCs w:val="0"/>
          <w:color w:val="auto"/>
          <w:sz w:val="32"/>
          <w:szCs w:val="32"/>
          <w:lang w:val="en-US" w:eastAsia="zh-CN"/>
        </w:rPr>
        <w:t>1175.6</w:t>
      </w:r>
      <w:r>
        <w:rPr>
          <w:rFonts w:hint="eastAsia" w:ascii="仿宋_GB2312" w:hAnsi="仿宋_GB2312" w:eastAsia="仿宋_GB2312" w:cs="仿宋_GB2312"/>
          <w:b w:val="0"/>
          <w:bCs w:val="0"/>
          <w:color w:val="auto"/>
          <w:sz w:val="32"/>
          <w:szCs w:val="32"/>
          <w:lang w:val="zh-CN" w:eastAsia="zh-CN"/>
        </w:rPr>
        <w:t>万元，支出决算数为</w:t>
      </w:r>
      <w:r>
        <w:rPr>
          <w:rFonts w:hint="eastAsia" w:ascii="仿宋_GB2312" w:hAnsi="仿宋_GB2312" w:eastAsia="仿宋_GB2312" w:cs="仿宋_GB2312"/>
          <w:b w:val="0"/>
          <w:bCs w:val="0"/>
          <w:color w:val="auto"/>
          <w:sz w:val="32"/>
          <w:szCs w:val="32"/>
          <w:lang w:val="en-US" w:eastAsia="zh-CN"/>
        </w:rPr>
        <w:t>1202.39</w:t>
      </w:r>
      <w:r>
        <w:rPr>
          <w:rFonts w:hint="eastAsia" w:ascii="仿宋_GB2312" w:hAnsi="仿宋_GB2312" w:eastAsia="仿宋_GB2312" w:cs="仿宋_GB2312"/>
          <w:b w:val="0"/>
          <w:bCs w:val="0"/>
          <w:color w:val="auto"/>
          <w:sz w:val="32"/>
          <w:szCs w:val="32"/>
          <w:lang w:val="zh-CN" w:eastAsia="zh-CN"/>
        </w:rPr>
        <w:t>万元，完成年初预算的</w:t>
      </w:r>
      <w:r>
        <w:rPr>
          <w:rFonts w:hint="eastAsia" w:ascii="仿宋_GB2312" w:hAnsi="仿宋_GB2312" w:eastAsia="仿宋_GB2312" w:cs="仿宋_GB2312"/>
          <w:b w:val="0"/>
          <w:bCs w:val="0"/>
          <w:color w:val="auto"/>
          <w:sz w:val="32"/>
          <w:szCs w:val="32"/>
          <w:lang w:val="en-US" w:eastAsia="zh-CN"/>
        </w:rPr>
        <w:t>102.2</w:t>
      </w:r>
      <w:r>
        <w:rPr>
          <w:rFonts w:hint="eastAsia" w:ascii="仿宋_GB2312" w:hAnsi="仿宋_GB2312" w:eastAsia="仿宋_GB2312" w:cs="仿宋_GB2312"/>
          <w:b w:val="0"/>
          <w:bCs w:val="0"/>
          <w:color w:val="auto"/>
          <w:sz w:val="32"/>
          <w:szCs w:val="32"/>
          <w:lang w:val="zh-CN" w:eastAsia="zh-CN"/>
        </w:rPr>
        <w:t>%，其中：</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社会保障和就业支出（类）民政管理事务（款）其他民政管理事务支出（项）。年初预算为670.58万元，支出决算为794.12万元，完成年初预算的118.42%。决算数大于预算数的主要原因是本年增加了该项目资金的财政收入。</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en-US" w:eastAsia="zh-CN"/>
        </w:rPr>
        <w:t>社会保障和就业支出（类）行政事业单位养老支出（款）机关事业单位基本养老保险缴费支出（项）。年初预算为165.66万元，支出决算为165.66万元，完成年初预算的100%。决算数与预算数一致，我单位严格按预算执行决算。</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en-US" w:eastAsia="zh-CN"/>
        </w:rPr>
        <w:t>社会保障和就业支出（类）财政对其他社会保险基金的补助（款）财政对工伤保险基金的补助（项）。年初预算为8.3万元，支出决算为8.3万元，完成年初预算的100%。决算数与预算数一致，我单位严格按预算执行决算。</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en-US" w:eastAsia="zh-CN"/>
        </w:rPr>
        <w:t>卫生健康支出（类）公立医院（款）康复医院（项）。年初预算为0万元，支出决算为27.7万元，决算数大于预算数的主要原因是调整了年初预算</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en-US" w:eastAsia="zh-CN"/>
        </w:rPr>
        <w:t>卫生健康支出（类）公共卫生（款）重大公共卫生服务（项）。年初预算为0万元，支出决算为17.2万元，决算数大于预算数的主要原因是调整了年初预算</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en-US" w:eastAsia="zh-CN"/>
        </w:rPr>
        <w:t>社会福利（类）康复用具（款）康复用具（项）。年初预算为0万元，支出决算为33.95万元，决算数大于预算数的主要原因是调整了年初预算</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en-US" w:eastAsia="zh-CN"/>
        </w:rPr>
        <w:t>卫生健康支出（类）行政事业单位医疗（款）事业单位医疗（项）。年初预算为76.63万元，支出决算为76.63万元，完成年初预算的100%。决算数与预算数一致，我单位严格按预算执行决算。</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卫生健康支出（类）优抚对象医疗（款）优抚对象医疗补助（项）。年初预算为0万元，支出决算为10万元，决算数大于预算数的主要原因是调整了年初预算</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最低生活保障（类）城市最低生活保障金支出（款）城市最低生活保障金支出（项）年初预算为0元，支出决算为66万，决算数大于预算数的主要原因是调整了年初预算</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六、一般公共预算财政拨款基本支出决算情况说明</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zh-CN" w:eastAsia="zh-CN"/>
        </w:rPr>
        <w:t>2021年度财政拨款基本支出</w:t>
      </w:r>
      <w:r>
        <w:rPr>
          <w:rFonts w:hint="eastAsia" w:ascii="仿宋_GB2312" w:hAnsi="仿宋_GB2312" w:eastAsia="仿宋_GB2312" w:cs="仿宋_GB2312"/>
          <w:b w:val="0"/>
          <w:bCs w:val="0"/>
          <w:color w:val="auto"/>
          <w:sz w:val="32"/>
          <w:szCs w:val="32"/>
          <w:lang w:val="en-US" w:eastAsia="zh-CN"/>
        </w:rPr>
        <w:t>1202.39</w:t>
      </w:r>
      <w:r>
        <w:rPr>
          <w:rFonts w:hint="eastAsia" w:ascii="仿宋_GB2312" w:hAnsi="仿宋_GB2312" w:eastAsia="仿宋_GB2312" w:cs="仿宋_GB2312"/>
          <w:b w:val="0"/>
          <w:bCs w:val="0"/>
          <w:color w:val="auto"/>
          <w:sz w:val="32"/>
          <w:szCs w:val="32"/>
          <w:lang w:val="zh-CN" w:eastAsia="zh-CN"/>
        </w:rPr>
        <w:t>万元，其中：人员经费</w:t>
      </w:r>
      <w:r>
        <w:rPr>
          <w:rFonts w:hint="eastAsia" w:ascii="仿宋_GB2312" w:hAnsi="仿宋_GB2312" w:eastAsia="仿宋_GB2312" w:cs="仿宋_GB2312"/>
          <w:b w:val="0"/>
          <w:bCs w:val="0"/>
          <w:color w:val="auto"/>
          <w:sz w:val="32"/>
          <w:szCs w:val="32"/>
          <w:lang w:val="en-US" w:eastAsia="zh-CN"/>
        </w:rPr>
        <w:t>1049.65</w:t>
      </w:r>
      <w:r>
        <w:rPr>
          <w:rFonts w:hint="eastAsia" w:ascii="仿宋_GB2312" w:hAnsi="仿宋_GB2312" w:eastAsia="仿宋_GB2312" w:cs="仿宋_GB2312"/>
          <w:b w:val="0"/>
          <w:bCs w:val="0"/>
          <w:color w:val="auto"/>
          <w:sz w:val="32"/>
          <w:szCs w:val="32"/>
          <w:lang w:val="zh-CN" w:eastAsia="zh-CN"/>
        </w:rPr>
        <w:t>万元，占基本支出的</w:t>
      </w:r>
      <w:r>
        <w:rPr>
          <w:rFonts w:hint="eastAsia" w:ascii="仿宋_GB2312" w:hAnsi="仿宋_GB2312" w:eastAsia="仿宋_GB2312" w:cs="仿宋_GB2312"/>
          <w:b w:val="0"/>
          <w:bCs w:val="0"/>
          <w:color w:val="auto"/>
          <w:sz w:val="32"/>
          <w:szCs w:val="32"/>
          <w:lang w:val="en-US" w:eastAsia="zh-CN"/>
        </w:rPr>
        <w:t>87.29</w:t>
      </w:r>
      <w:r>
        <w:rPr>
          <w:rFonts w:hint="eastAsia" w:ascii="仿宋_GB2312" w:hAnsi="仿宋_GB2312" w:eastAsia="仿宋_GB2312" w:cs="仿宋_GB2312"/>
          <w:b w:val="0"/>
          <w:bCs w:val="0"/>
          <w:color w:val="auto"/>
          <w:sz w:val="32"/>
          <w:szCs w:val="32"/>
          <w:lang w:val="zh-CN" w:eastAsia="zh-CN"/>
        </w:rPr>
        <w:t>%,主要包括主要包括基本工资、津贴补贴、奖金、伙食补助费、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r>
        <w:rPr>
          <w:rFonts w:hint="eastAsia" w:ascii="仿宋_GB2312" w:hAnsi="仿宋_GB2312" w:eastAsia="仿宋_GB2312" w:cs="仿宋_GB2312"/>
          <w:b w:val="0"/>
          <w:bCs w:val="0"/>
          <w:color w:val="auto"/>
          <w:sz w:val="32"/>
          <w:szCs w:val="32"/>
          <w:lang w:val="en-US" w:eastAsia="zh-CN"/>
        </w:rPr>
        <w:t>；公用经费152.74万元，占基本支出的12.7%，主要包括办公费、印刷费、咨询费、手续费、水费、电费、邮电费、取暖费、物业管理费、差旅费、因公出国（境）费用、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七、一般公共预算财政拨款“三公”经费支出决算情况说明</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zh-CN" w:eastAsia="zh-CN"/>
        </w:rPr>
        <w:t>（一）“三公”经费财政拨款支出决算总体情况说明</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2021年度“三公”经费财政拨款支出预算为20.83万元，支出决算为0万元，完成预算的0%，其中：</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因公出国（境）费支出预算为0万元，支出决算为0万元，完成预算的0%，我单位无因公出国（境）费支出预算，决算数据。</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公务接待费支出预算为12.33万元，支出决算为0万元，完成预算的0%，决算数（小于）预算数的主要原因是因预算公用经费的不足，我单位此项经费全部用于专用材料费支付药品采购费。</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公务用车购置费支出预算为0万元，支出决算为0万元，完成预算的0%，我单位2021年无公车购置预算决算数。</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公务用车运行维护费支出预算为8.5万元，支出决算为0万元，完成预算的0%，决算数（小于）预算数的主要原因是因预算公用经费的不足，我单位此项经费全部用于专用材料费支付药品采购费。</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zh-CN" w:eastAsia="zh-CN"/>
        </w:rPr>
        <w:t>（二）“三公”经费财政拨款支出决算具体情况说明</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2021年度“三公”经费财政拨款支出决算中，公务接待费支出决算0万元，占0%,因公出国（境）费支出决算0万元，占0%,公务用车购置费及运行维护费支出决算0万元，占0%。其中：</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1、因公出国（境）费支出决算为0万元。</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2、公务接待费支出决算为0万元。</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3、公务用车购置费及运行维护费支出决算为0万元。截止2021年12月31日，我单位开支财政拨款的公务用车保有量为3辆。全部为特种专业用车，用于我单位巡诊等医疗业务的开展。</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八、政府性基金预算收入支出决算情况</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2021年度政府性基金预算财政拨款收入0万元；年初结转和结余0万元；支出0万元，其中基本支出0万元，项目支出0万元；年末结转和结余0万元。</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2021年度我单位无政府性基金预算收入支出。</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lang w:eastAsia="zh-CN"/>
        </w:rPr>
      </w:pPr>
      <w:r>
        <w:rPr>
          <w:rFonts w:hint="eastAsia" w:ascii="黑体" w:hAnsi="黑体" w:eastAsia="黑体" w:cs="黑体"/>
          <w:color w:val="000000"/>
          <w:kern w:val="0"/>
          <w:sz w:val="32"/>
          <w:szCs w:val="32"/>
          <w:lang w:eastAsia="zh-CN"/>
        </w:rPr>
        <w:t>九、</w:t>
      </w:r>
      <w:r>
        <w:rPr>
          <w:rFonts w:hint="eastAsia" w:ascii="黑体" w:hAnsi="黑体" w:eastAsia="黑体" w:cs="黑体"/>
          <w:color w:val="000000"/>
          <w:kern w:val="0"/>
          <w:sz w:val="32"/>
          <w:szCs w:val="32"/>
        </w:rPr>
        <w:t>国有资本经营预算财政拨款支出决算</w:t>
      </w:r>
      <w:r>
        <w:rPr>
          <w:rFonts w:hint="eastAsia" w:ascii="黑体" w:hAnsi="黑体" w:eastAsia="黑体" w:cs="黑体"/>
          <w:color w:val="000000"/>
          <w:kern w:val="0"/>
          <w:sz w:val="32"/>
          <w:szCs w:val="32"/>
          <w:lang w:eastAsia="zh-CN"/>
        </w:rPr>
        <w:t>情况</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en-US" w:eastAsia="zh-CN"/>
        </w:rPr>
        <w:t>2021年度国有资本经营预算财政拨款支出0万元；基本支出0万元，项目支出0万元。</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十、机关运行经费支出说明</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en-US" w:eastAsia="zh-CN"/>
        </w:rPr>
        <w:t>岳阳市康复医院单位性质为财政补助事业单位，部门决算报表没有机关运行经费统计数据。</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十一、一般性支出情况说明</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2021年本部门开支会议费0万元；开支培训费0万元。</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十二、政府采购支出说明</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本部门2021年度政府采购支出总额685.38万元，其中：政府采购货物支出415.38万元、政府采购工程支出90万元、政府采购服务支出180万元。授予中小企业合同金额685.38万元，占政府采购支出总额的100%，其中：授予小微企业合同金额685.38万元，占授予中小企业合同金额的100%；货物采购授予中小企业合同金额占货物支出金额的60.61%，工程采购授予中小企业合同金额占工程支出金额的13.13%，服务采购授予中小企业合同金额占服务支出金额的26.26%。</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十三、国有资产占用情况说明</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截至2021年12月31日，部门（单位）共有车辆3辆，其中，特种专业技术用车3辆；单位价值50万元以上通用设备0台（套）；单位价值100万元以上专用设备1台为我院CT机。</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lang w:eastAsia="zh-CN"/>
        </w:rPr>
        <w:t>十四、</w:t>
      </w:r>
      <w:r>
        <w:rPr>
          <w:rFonts w:hint="eastAsia" w:ascii="黑体" w:hAnsi="黑体" w:eastAsia="黑体" w:cs="黑体"/>
          <w:color w:val="000000"/>
          <w:kern w:val="0"/>
          <w:sz w:val="32"/>
          <w:szCs w:val="32"/>
        </w:rPr>
        <w:t>2021年度预算绩效情况说明</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zh-CN" w:eastAsia="zh-CN"/>
        </w:rPr>
        <w:t>（1）绩效管理评价工作开展情况。</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zh-CN" w:eastAsia="zh-CN"/>
        </w:rPr>
        <w:t>根据预算绩效管理要求，我</w:t>
      </w:r>
      <w:r>
        <w:rPr>
          <w:rFonts w:hint="eastAsia" w:ascii="仿宋_GB2312" w:hAnsi="仿宋_GB2312" w:eastAsia="仿宋_GB2312" w:cs="仿宋_GB2312"/>
          <w:b w:val="0"/>
          <w:bCs w:val="0"/>
          <w:color w:val="auto"/>
          <w:sz w:val="32"/>
          <w:szCs w:val="32"/>
          <w:lang w:val="en-US" w:eastAsia="zh-CN"/>
        </w:rPr>
        <w:t>单位</w:t>
      </w:r>
      <w:r>
        <w:rPr>
          <w:rFonts w:hint="eastAsia" w:ascii="仿宋_GB2312" w:hAnsi="仿宋_GB2312" w:eastAsia="仿宋_GB2312" w:cs="仿宋_GB2312"/>
          <w:b w:val="0"/>
          <w:bCs w:val="0"/>
          <w:color w:val="auto"/>
          <w:sz w:val="32"/>
          <w:szCs w:val="32"/>
          <w:lang w:val="zh-CN" w:eastAsia="zh-CN"/>
        </w:rPr>
        <w:t>组织对2021 年度全面开展绩效自评，</w:t>
      </w:r>
      <w:r>
        <w:rPr>
          <w:rFonts w:hint="eastAsia" w:ascii="仿宋_GB2312" w:hAnsi="仿宋_GB2312" w:eastAsia="仿宋_GB2312" w:cs="仿宋_GB2312"/>
          <w:b w:val="0"/>
          <w:bCs w:val="0"/>
          <w:color w:val="auto"/>
          <w:sz w:val="32"/>
          <w:szCs w:val="32"/>
          <w:lang w:val="en-US" w:eastAsia="zh-CN"/>
        </w:rPr>
        <w:t>具体情况如下：</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zh-CN" w:eastAsia="zh-CN"/>
        </w:rPr>
        <w:t>我单位是中南大学湘雅二医院和湖南省脑科医院的临床医疗协作医院，是一家由政府主办的特殊医疗机构，承担着全市的精神疾病防治与康复、心理咨询与治疗、精神疾病司法、劳动、残疾、工伤鉴定、指令性收治复员退伍军人精神病人、流浪精神病人救助、优抚病人诊疗、老年人医疗呵护、美沙酮维持治疗等多项社会职能。</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zh-CN" w:eastAsia="zh-CN"/>
        </w:rPr>
        <w:t>（二）单位整体支出规模、使用方向和主要内容、涉及范围等</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zh-CN" w:eastAsia="zh-CN"/>
        </w:rPr>
        <w:t>我单位20</w:t>
      </w:r>
      <w:r>
        <w:rPr>
          <w:rFonts w:hint="eastAsia" w:ascii="仿宋_GB2312" w:hAnsi="仿宋_GB2312" w:eastAsia="仿宋_GB2312" w:cs="仿宋_GB2312"/>
          <w:b w:val="0"/>
          <w:bCs w:val="0"/>
          <w:color w:val="auto"/>
          <w:sz w:val="32"/>
          <w:szCs w:val="32"/>
          <w:lang w:val="en-US" w:eastAsia="zh-CN"/>
        </w:rPr>
        <w:t>21</w:t>
      </w:r>
      <w:r>
        <w:rPr>
          <w:rFonts w:hint="eastAsia" w:ascii="仿宋_GB2312" w:hAnsi="仿宋_GB2312" w:eastAsia="仿宋_GB2312" w:cs="仿宋_GB2312"/>
          <w:b w:val="0"/>
          <w:bCs w:val="0"/>
          <w:color w:val="auto"/>
          <w:sz w:val="32"/>
          <w:szCs w:val="32"/>
          <w:lang w:val="zh-CN" w:eastAsia="zh-CN"/>
        </w:rPr>
        <w:t>年度总支出</w:t>
      </w:r>
      <w:r>
        <w:rPr>
          <w:rFonts w:hint="eastAsia" w:ascii="仿宋_GB2312" w:hAnsi="仿宋_GB2312" w:eastAsia="仿宋_GB2312" w:cs="仿宋_GB2312"/>
          <w:b w:val="0"/>
          <w:bCs w:val="0"/>
          <w:color w:val="auto"/>
          <w:sz w:val="32"/>
          <w:szCs w:val="32"/>
          <w:lang w:val="en-US" w:eastAsia="zh-CN"/>
        </w:rPr>
        <w:t>6969.14</w:t>
      </w:r>
      <w:r>
        <w:rPr>
          <w:rFonts w:hint="eastAsia" w:ascii="仿宋_GB2312" w:hAnsi="仿宋_GB2312" w:eastAsia="仿宋_GB2312" w:cs="仿宋_GB2312"/>
          <w:b w:val="0"/>
          <w:bCs w:val="0"/>
          <w:color w:val="auto"/>
          <w:sz w:val="32"/>
          <w:szCs w:val="32"/>
          <w:lang w:val="zh-CN" w:eastAsia="zh-CN"/>
        </w:rPr>
        <w:t>万元，其中人员支出</w:t>
      </w:r>
      <w:r>
        <w:rPr>
          <w:rFonts w:hint="eastAsia" w:ascii="仿宋_GB2312" w:hAnsi="仿宋_GB2312" w:eastAsia="仿宋_GB2312" w:cs="仿宋_GB2312"/>
          <w:b w:val="0"/>
          <w:bCs w:val="0"/>
          <w:color w:val="auto"/>
          <w:sz w:val="32"/>
          <w:szCs w:val="32"/>
          <w:lang w:val="en-US" w:eastAsia="zh-CN"/>
        </w:rPr>
        <w:t>3932.01</w:t>
      </w:r>
      <w:r>
        <w:rPr>
          <w:rFonts w:hint="eastAsia" w:ascii="仿宋_GB2312" w:hAnsi="仿宋_GB2312" w:eastAsia="仿宋_GB2312" w:cs="仿宋_GB2312"/>
          <w:b w:val="0"/>
          <w:bCs w:val="0"/>
          <w:color w:val="auto"/>
          <w:sz w:val="32"/>
          <w:szCs w:val="32"/>
          <w:lang w:val="zh-CN" w:eastAsia="zh-CN"/>
        </w:rPr>
        <w:t>万元，</w:t>
      </w:r>
      <w:r>
        <w:rPr>
          <w:rFonts w:hint="eastAsia" w:ascii="仿宋_GB2312" w:hAnsi="仿宋_GB2312" w:eastAsia="仿宋_GB2312" w:cs="仿宋_GB2312"/>
          <w:b w:val="0"/>
          <w:bCs w:val="0"/>
          <w:color w:val="auto"/>
          <w:sz w:val="32"/>
          <w:szCs w:val="32"/>
          <w:lang w:val="en-US" w:eastAsia="zh-CN"/>
        </w:rPr>
        <w:t>商品服务支出2635.98</w:t>
      </w:r>
      <w:r>
        <w:rPr>
          <w:rFonts w:hint="eastAsia" w:ascii="仿宋_GB2312" w:hAnsi="仿宋_GB2312" w:eastAsia="仿宋_GB2312" w:cs="仿宋_GB2312"/>
          <w:b w:val="0"/>
          <w:bCs w:val="0"/>
          <w:color w:val="auto"/>
          <w:sz w:val="32"/>
          <w:szCs w:val="32"/>
          <w:lang w:val="zh-CN" w:eastAsia="zh-CN"/>
        </w:rPr>
        <w:t>万元（其中三公经费总计</w:t>
      </w:r>
      <w:r>
        <w:rPr>
          <w:rFonts w:hint="eastAsia" w:ascii="仿宋_GB2312" w:hAnsi="仿宋_GB2312" w:eastAsia="仿宋_GB2312" w:cs="仿宋_GB2312"/>
          <w:b w:val="0"/>
          <w:bCs w:val="0"/>
          <w:color w:val="auto"/>
          <w:sz w:val="32"/>
          <w:szCs w:val="32"/>
          <w:lang w:val="en-US" w:eastAsia="zh-CN"/>
        </w:rPr>
        <w:t>9.87</w:t>
      </w:r>
      <w:r>
        <w:rPr>
          <w:rFonts w:hint="eastAsia" w:ascii="仿宋_GB2312" w:hAnsi="仿宋_GB2312" w:eastAsia="仿宋_GB2312" w:cs="仿宋_GB2312"/>
          <w:b w:val="0"/>
          <w:bCs w:val="0"/>
          <w:color w:val="auto"/>
          <w:sz w:val="32"/>
          <w:szCs w:val="32"/>
          <w:lang w:val="zh-CN" w:eastAsia="zh-CN"/>
        </w:rPr>
        <w:t>万元），</w:t>
      </w:r>
      <w:r>
        <w:rPr>
          <w:rFonts w:hint="eastAsia" w:ascii="仿宋_GB2312" w:hAnsi="仿宋_GB2312" w:eastAsia="仿宋_GB2312" w:cs="仿宋_GB2312"/>
          <w:b w:val="0"/>
          <w:bCs w:val="0"/>
          <w:color w:val="auto"/>
          <w:sz w:val="32"/>
          <w:szCs w:val="32"/>
          <w:lang w:val="en-US" w:eastAsia="zh-CN"/>
        </w:rPr>
        <w:t>对个人家庭补助260.56万元，资本性支出140.58万</w:t>
      </w:r>
      <w:r>
        <w:rPr>
          <w:rFonts w:hint="eastAsia" w:ascii="仿宋_GB2312" w:hAnsi="仿宋_GB2312" w:eastAsia="仿宋_GB2312" w:cs="仿宋_GB2312"/>
          <w:b w:val="0"/>
          <w:bCs w:val="0"/>
          <w:color w:val="auto"/>
          <w:sz w:val="32"/>
          <w:szCs w:val="32"/>
          <w:lang w:val="zh-CN" w:eastAsia="zh-CN"/>
        </w:rPr>
        <w:t>元。人员支出主要是人员工资奖金及社会保险费用，公共开支主要是日常商品服务开支，</w:t>
      </w:r>
      <w:r>
        <w:rPr>
          <w:rFonts w:hint="eastAsia" w:ascii="仿宋_GB2312" w:hAnsi="仿宋_GB2312" w:eastAsia="仿宋_GB2312" w:cs="仿宋_GB2312"/>
          <w:b w:val="0"/>
          <w:bCs w:val="0"/>
          <w:color w:val="auto"/>
          <w:sz w:val="32"/>
          <w:szCs w:val="32"/>
          <w:lang w:val="en-US" w:eastAsia="zh-CN"/>
        </w:rPr>
        <w:t>药品采购，退休人员经费，固定资产采购等</w:t>
      </w:r>
      <w:r>
        <w:rPr>
          <w:rFonts w:hint="eastAsia" w:ascii="仿宋_GB2312" w:hAnsi="仿宋_GB2312" w:eastAsia="仿宋_GB2312" w:cs="仿宋_GB2312"/>
          <w:b w:val="0"/>
          <w:bCs w:val="0"/>
          <w:color w:val="auto"/>
          <w:sz w:val="32"/>
          <w:szCs w:val="32"/>
          <w:lang w:val="zh-CN" w:eastAsia="zh-CN"/>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zh-CN" w:eastAsia="zh-CN"/>
        </w:rPr>
        <w:t>二、单位整体支出管理及使用情况</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zh-CN" w:eastAsia="zh-CN"/>
        </w:rPr>
        <w:t>（一）基本支出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zh-CN" w:eastAsia="zh-CN"/>
        </w:rPr>
        <w:t>其中基本支出</w:t>
      </w:r>
      <w:r>
        <w:rPr>
          <w:rFonts w:hint="eastAsia" w:ascii="仿宋_GB2312" w:hAnsi="仿宋_GB2312" w:eastAsia="仿宋_GB2312" w:cs="仿宋_GB2312"/>
          <w:b w:val="0"/>
          <w:bCs w:val="0"/>
          <w:color w:val="auto"/>
          <w:sz w:val="32"/>
          <w:szCs w:val="32"/>
          <w:lang w:val="en-US" w:eastAsia="zh-CN"/>
        </w:rPr>
        <w:t>6969.14</w:t>
      </w:r>
      <w:r>
        <w:rPr>
          <w:rFonts w:hint="eastAsia" w:ascii="仿宋_GB2312" w:hAnsi="仿宋_GB2312" w:eastAsia="仿宋_GB2312" w:cs="仿宋_GB2312"/>
          <w:b w:val="0"/>
          <w:bCs w:val="0"/>
          <w:color w:val="auto"/>
          <w:sz w:val="32"/>
          <w:szCs w:val="32"/>
          <w:lang w:val="zh-CN" w:eastAsia="zh-CN"/>
        </w:rPr>
        <w:t>万元，人员支出</w:t>
      </w:r>
      <w:r>
        <w:rPr>
          <w:rFonts w:hint="eastAsia" w:ascii="仿宋_GB2312" w:hAnsi="仿宋_GB2312" w:eastAsia="仿宋_GB2312" w:cs="仿宋_GB2312"/>
          <w:b w:val="0"/>
          <w:bCs w:val="0"/>
          <w:color w:val="auto"/>
          <w:sz w:val="32"/>
          <w:szCs w:val="32"/>
          <w:lang w:val="en-US" w:eastAsia="zh-CN"/>
        </w:rPr>
        <w:t>3932.01</w:t>
      </w:r>
      <w:r>
        <w:rPr>
          <w:rFonts w:hint="eastAsia" w:ascii="仿宋_GB2312" w:hAnsi="仿宋_GB2312" w:eastAsia="仿宋_GB2312" w:cs="仿宋_GB2312"/>
          <w:b w:val="0"/>
          <w:bCs w:val="0"/>
          <w:color w:val="auto"/>
          <w:sz w:val="32"/>
          <w:szCs w:val="32"/>
          <w:lang w:val="zh-CN" w:eastAsia="zh-CN"/>
        </w:rPr>
        <w:t>万元，公共开支</w:t>
      </w:r>
      <w:r>
        <w:rPr>
          <w:rFonts w:hint="eastAsia" w:ascii="仿宋_GB2312" w:hAnsi="仿宋_GB2312" w:eastAsia="仿宋_GB2312" w:cs="仿宋_GB2312"/>
          <w:b w:val="0"/>
          <w:bCs w:val="0"/>
          <w:color w:val="auto"/>
          <w:sz w:val="32"/>
          <w:szCs w:val="32"/>
          <w:lang w:val="en-US" w:eastAsia="zh-CN"/>
        </w:rPr>
        <w:t>3037.12</w:t>
      </w:r>
      <w:r>
        <w:rPr>
          <w:rFonts w:hint="eastAsia" w:ascii="仿宋_GB2312" w:hAnsi="仿宋_GB2312" w:eastAsia="仿宋_GB2312" w:cs="仿宋_GB2312"/>
          <w:b w:val="0"/>
          <w:bCs w:val="0"/>
          <w:color w:val="auto"/>
          <w:sz w:val="32"/>
          <w:szCs w:val="32"/>
          <w:lang w:val="zh-CN" w:eastAsia="zh-CN"/>
        </w:rPr>
        <w:t>万元，</w:t>
      </w:r>
      <w:r>
        <w:rPr>
          <w:rFonts w:hint="eastAsia" w:ascii="仿宋_GB2312" w:hAnsi="仿宋_GB2312" w:eastAsia="仿宋_GB2312" w:cs="仿宋_GB2312"/>
          <w:b w:val="0"/>
          <w:bCs w:val="0"/>
          <w:color w:val="auto"/>
          <w:sz w:val="32"/>
          <w:szCs w:val="32"/>
          <w:lang w:val="en-US" w:eastAsia="zh-CN"/>
        </w:rPr>
        <w:t>对个人家庭补助260.56万元，资本性支出140.58万</w:t>
      </w:r>
      <w:r>
        <w:rPr>
          <w:rFonts w:hint="eastAsia" w:ascii="仿宋_GB2312" w:hAnsi="仿宋_GB2312" w:eastAsia="仿宋_GB2312" w:cs="仿宋_GB2312"/>
          <w:b w:val="0"/>
          <w:bCs w:val="0"/>
          <w:color w:val="auto"/>
          <w:sz w:val="32"/>
          <w:szCs w:val="32"/>
          <w:lang w:val="zh-CN" w:eastAsia="zh-CN"/>
        </w:rPr>
        <w:t>元。</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zh-CN" w:eastAsia="zh-CN"/>
        </w:rPr>
        <w:t>（二）专项支出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zh-CN" w:eastAsia="zh-CN"/>
        </w:rPr>
        <w:t>202</w:t>
      </w: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lang w:val="zh-CN" w:eastAsia="zh-CN"/>
        </w:rPr>
        <w:t>年度我单位无过100万及重点专项资金</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zh-CN" w:eastAsia="zh-CN"/>
        </w:rPr>
        <w:t>四、单位整体支出绩效情况</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zh-CN" w:eastAsia="zh-CN"/>
        </w:rPr>
        <w:t>202</w:t>
      </w: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lang w:val="zh-CN" w:eastAsia="zh-CN"/>
        </w:rPr>
        <w:t>年度根据绩效评价评分表，我单位整体绩效支出情况如下：</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lang w:val="zh-CN" w:eastAsia="zh-CN"/>
        </w:rPr>
        <w:t>党建工作。</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b w:val="0"/>
          <w:bCs w:val="0"/>
          <w:color w:val="auto"/>
          <w:sz w:val="32"/>
          <w:szCs w:val="32"/>
          <w:lang w:val="zh-CN" w:eastAsia="zh-CN"/>
        </w:rPr>
        <w:t>党风廉政建设。</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en-US" w:eastAsia="zh-CN"/>
        </w:rPr>
        <w:t>3.接待门诊病人53491人次。</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en-US" w:eastAsia="zh-CN"/>
        </w:rPr>
        <w:t>4.收治住院病人1960人次</w:t>
      </w:r>
      <w:r>
        <w:rPr>
          <w:rFonts w:hint="eastAsia" w:ascii="仿宋_GB2312" w:hAnsi="仿宋_GB2312" w:eastAsia="仿宋_GB2312" w:cs="仿宋_GB2312"/>
          <w:b w:val="0"/>
          <w:bCs w:val="0"/>
          <w:color w:val="auto"/>
          <w:sz w:val="32"/>
          <w:szCs w:val="32"/>
          <w:lang w:val="zh-CN" w:eastAsia="zh-CN"/>
        </w:rPr>
        <w:t>，</w:t>
      </w:r>
      <w:r>
        <w:rPr>
          <w:rFonts w:hint="eastAsia" w:ascii="仿宋_GB2312" w:hAnsi="仿宋_GB2312" w:eastAsia="仿宋_GB2312" w:cs="仿宋_GB2312"/>
          <w:b w:val="0"/>
          <w:bCs w:val="0"/>
          <w:color w:val="auto"/>
          <w:sz w:val="32"/>
          <w:szCs w:val="32"/>
          <w:lang w:val="en-US" w:eastAsia="zh-CN"/>
        </w:rPr>
        <w:t>出院2139人次。</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en-US" w:eastAsia="zh-CN"/>
        </w:rPr>
        <w:t>5.完成全年收入7215.09万元。</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en-US" w:eastAsia="zh-CN"/>
        </w:rPr>
        <w:t>6.美沙酮接待患者26748人次。</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en-US" w:eastAsia="zh-CN"/>
        </w:rPr>
        <w:t>7.组织医疗专家对394人进行了危险评估。</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en-US" w:eastAsia="zh-CN"/>
        </w:rPr>
        <w:t>8.</w:t>
      </w:r>
      <w:r>
        <w:rPr>
          <w:rFonts w:hint="eastAsia" w:ascii="仿宋_GB2312" w:hAnsi="仿宋_GB2312" w:eastAsia="仿宋_GB2312" w:cs="仿宋_GB2312"/>
          <w:b w:val="0"/>
          <w:bCs w:val="0"/>
          <w:color w:val="auto"/>
          <w:sz w:val="32"/>
          <w:szCs w:val="32"/>
          <w:lang w:val="zh-CN" w:eastAsia="zh-CN"/>
        </w:rPr>
        <w:t>对接残联，收治贫困住院患者和服药救助患者356人。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en-US" w:eastAsia="zh-CN"/>
        </w:rPr>
        <w:t>9.</w:t>
      </w:r>
      <w:r>
        <w:rPr>
          <w:rFonts w:hint="eastAsia" w:ascii="仿宋_GB2312" w:hAnsi="仿宋_GB2312" w:eastAsia="仿宋_GB2312" w:cs="仿宋_GB2312"/>
          <w:b w:val="0"/>
          <w:bCs w:val="0"/>
          <w:color w:val="auto"/>
          <w:sz w:val="32"/>
          <w:szCs w:val="32"/>
          <w:lang w:val="zh-CN" w:eastAsia="zh-CN"/>
        </w:rPr>
        <w:t>收治楼区疾控紧急住院救助对象55人，收治优抚精神障碍患者11人。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en-US" w:eastAsia="zh-CN"/>
        </w:rPr>
        <w:t>10.</w:t>
      </w:r>
      <w:r>
        <w:rPr>
          <w:rFonts w:hint="eastAsia" w:ascii="仿宋_GB2312" w:hAnsi="仿宋_GB2312" w:eastAsia="仿宋_GB2312" w:cs="仿宋_GB2312"/>
          <w:b w:val="0"/>
          <w:bCs w:val="0"/>
          <w:color w:val="auto"/>
          <w:sz w:val="32"/>
          <w:szCs w:val="32"/>
          <w:lang w:val="zh-CN" w:eastAsia="zh-CN"/>
        </w:rPr>
        <w:t>重点优抚对象短期疗养工作，共开展三批，服务疗养对象87人，开展医疗巡诊10 次，服务优抚对象640人次。</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en-US" w:eastAsia="zh-CN"/>
        </w:rPr>
        <w:t>11.</w:t>
      </w:r>
      <w:r>
        <w:rPr>
          <w:rFonts w:hint="eastAsia" w:ascii="仿宋_GB2312" w:hAnsi="仿宋_GB2312" w:eastAsia="仿宋_GB2312" w:cs="仿宋_GB2312"/>
          <w:b w:val="0"/>
          <w:bCs w:val="0"/>
          <w:color w:val="auto"/>
          <w:sz w:val="32"/>
          <w:szCs w:val="32"/>
          <w:lang w:val="zh-CN" w:eastAsia="zh-CN"/>
        </w:rPr>
        <w:t>严格落实交接班制度、病例讨论制度、三级医师查房制度和首诊负责制度，每周二、四进行督查。</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en-US" w:eastAsia="zh-CN"/>
        </w:rPr>
        <w:t>12.</w:t>
      </w:r>
      <w:r>
        <w:rPr>
          <w:rFonts w:hint="eastAsia" w:ascii="仿宋_GB2312" w:hAnsi="仿宋_GB2312" w:eastAsia="仿宋_GB2312" w:cs="仿宋_GB2312"/>
          <w:b w:val="0"/>
          <w:bCs w:val="0"/>
          <w:color w:val="auto"/>
          <w:sz w:val="32"/>
          <w:szCs w:val="32"/>
          <w:lang w:val="zh-CN" w:eastAsia="zh-CN"/>
        </w:rPr>
        <w:t>继续落实护理不良事件处理与报告制度。全年共收到各科室一般不良事件10例，</w:t>
      </w:r>
      <w:r>
        <w:rPr>
          <w:rFonts w:hint="eastAsia" w:ascii="仿宋_GB2312" w:hAnsi="仿宋_GB2312" w:eastAsia="仿宋_GB2312" w:cs="仿宋_GB2312"/>
          <w:b w:val="0"/>
          <w:bCs w:val="0"/>
          <w:color w:val="auto"/>
          <w:sz w:val="32"/>
          <w:szCs w:val="32"/>
          <w:lang w:val="en-US" w:eastAsia="zh-CN"/>
        </w:rPr>
        <w:t>已处理完毕。</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en-US" w:eastAsia="zh-CN"/>
        </w:rPr>
        <w:t>13.</w:t>
      </w:r>
      <w:r>
        <w:rPr>
          <w:rFonts w:hint="eastAsia" w:ascii="仿宋_GB2312" w:hAnsi="仿宋_GB2312" w:eastAsia="仿宋_GB2312" w:cs="仿宋_GB2312"/>
          <w:b w:val="0"/>
          <w:bCs w:val="0"/>
          <w:color w:val="auto"/>
          <w:sz w:val="32"/>
          <w:szCs w:val="32"/>
          <w:lang w:val="zh-CN" w:eastAsia="zh-CN"/>
        </w:rPr>
        <w:t>每月开展应急预案与流程演练，每季度组织临床科室应急演练现场考核验收，并组织3次应急预案综合笔试。</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en-US" w:eastAsia="zh-CN"/>
        </w:rPr>
        <w:t>14.</w:t>
      </w:r>
      <w:r>
        <w:rPr>
          <w:rFonts w:hint="eastAsia" w:ascii="仿宋_GB2312" w:hAnsi="仿宋_GB2312" w:eastAsia="仿宋_GB2312" w:cs="仿宋_GB2312"/>
          <w:b w:val="0"/>
          <w:bCs w:val="0"/>
          <w:color w:val="auto"/>
          <w:sz w:val="32"/>
          <w:szCs w:val="32"/>
          <w:lang w:val="zh-CN" w:eastAsia="zh-CN"/>
        </w:rPr>
        <w:t>每季度组织精神科骨干参加湖南省医联体远程护理会诊。</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en-US" w:eastAsia="zh-CN"/>
        </w:rPr>
        <w:t>15.</w:t>
      </w:r>
      <w:r>
        <w:rPr>
          <w:rFonts w:hint="eastAsia" w:ascii="仿宋_GB2312" w:hAnsi="仿宋_GB2312" w:eastAsia="仿宋_GB2312" w:cs="仿宋_GB2312"/>
          <w:b w:val="0"/>
          <w:bCs w:val="0"/>
          <w:color w:val="auto"/>
          <w:sz w:val="32"/>
          <w:szCs w:val="32"/>
          <w:lang w:val="zh-CN" w:eastAsia="zh-CN"/>
        </w:rPr>
        <w:t>今年集中组织了11 次业务学习先后邀请中南大学湘雅二医院刘铁桥教授、湖南省脑科医院周旭辉教授来我院教学查房及院内医生讲课，效果较好。</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en-US" w:eastAsia="zh-CN"/>
        </w:rPr>
        <w:t>16.</w:t>
      </w:r>
      <w:r>
        <w:rPr>
          <w:rFonts w:hint="eastAsia" w:ascii="仿宋_GB2312" w:hAnsi="仿宋_GB2312" w:eastAsia="仿宋_GB2312" w:cs="仿宋_GB2312"/>
          <w:b w:val="0"/>
          <w:bCs w:val="0"/>
          <w:color w:val="auto"/>
          <w:sz w:val="32"/>
          <w:szCs w:val="32"/>
          <w:lang w:val="zh-CN" w:eastAsia="zh-CN"/>
        </w:rPr>
        <w:t>成立了心理睡眠医中心，为患者制定个性化治疗方案，提供针对性的药物治疗、心理治疗及物理治疗。</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en-US" w:eastAsia="zh-CN"/>
        </w:rPr>
        <w:t>17.</w:t>
      </w:r>
      <w:r>
        <w:rPr>
          <w:rFonts w:hint="eastAsia" w:ascii="仿宋_GB2312" w:hAnsi="仿宋_GB2312" w:eastAsia="仿宋_GB2312" w:cs="仿宋_GB2312"/>
          <w:b w:val="0"/>
          <w:bCs w:val="0"/>
          <w:color w:val="auto"/>
          <w:sz w:val="32"/>
          <w:szCs w:val="32"/>
          <w:lang w:val="zh-CN" w:eastAsia="zh-CN"/>
        </w:rPr>
        <w:t>开设特色专科门诊，其中，睡眠门诊接待534 人，老年痴呆门诊接待23人，心理门诊接待430 人，焦虑抑郁门诊接待348人，儿少门诊接待180人，累计接诊1515人次，反响较好。</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en-US" w:eastAsia="zh-CN"/>
        </w:rPr>
        <w:t>18.</w:t>
      </w:r>
      <w:r>
        <w:rPr>
          <w:rFonts w:hint="eastAsia" w:ascii="仿宋_GB2312" w:hAnsi="仿宋_GB2312" w:eastAsia="仿宋_GB2312" w:cs="仿宋_GB2312"/>
          <w:b w:val="0"/>
          <w:bCs w:val="0"/>
          <w:color w:val="auto"/>
          <w:sz w:val="32"/>
          <w:szCs w:val="32"/>
          <w:lang w:val="zh-CN" w:eastAsia="zh-CN"/>
        </w:rPr>
        <w:t>建设老年友善医疗机构，推进养老规范化、标准化建设，服务水平显著提升</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en-US" w:eastAsia="zh-CN"/>
        </w:rPr>
        <w:t>19.疫情防控，</w:t>
      </w:r>
      <w:r>
        <w:rPr>
          <w:rFonts w:hint="eastAsia" w:ascii="仿宋_GB2312" w:hAnsi="仿宋_GB2312" w:eastAsia="仿宋_GB2312" w:cs="仿宋_GB2312"/>
          <w:b w:val="0"/>
          <w:bCs w:val="0"/>
          <w:color w:val="auto"/>
          <w:sz w:val="32"/>
          <w:szCs w:val="32"/>
          <w:lang w:val="zh-CN" w:eastAsia="zh-CN"/>
        </w:rPr>
        <w:t>我院严格按照指挥部的要求，常态化开展疫情防控工作，员工的疫情常态化防控意识和消防安全意识明显增强。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en-US" w:eastAsia="zh-CN"/>
        </w:rPr>
        <w:t>20.</w:t>
      </w:r>
      <w:r>
        <w:rPr>
          <w:rFonts w:hint="eastAsia" w:ascii="仿宋_GB2312" w:hAnsi="仿宋_GB2312" w:eastAsia="仿宋_GB2312" w:cs="仿宋_GB2312"/>
          <w:b w:val="0"/>
          <w:bCs w:val="0"/>
          <w:color w:val="auto"/>
          <w:sz w:val="32"/>
          <w:szCs w:val="32"/>
          <w:lang w:val="zh-CN" w:eastAsia="zh-CN"/>
        </w:rPr>
        <w:t>安全生产，安保科配备专职消防人员，邀请了专业消防员来我院开展了两期消防培训，按要求定期更换灭火器和消防水带，对院内消防设施进行了一次全面维修。</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en-US" w:eastAsia="zh-CN"/>
        </w:rPr>
        <w:t>21.</w:t>
      </w:r>
      <w:r>
        <w:rPr>
          <w:rFonts w:hint="eastAsia" w:ascii="仿宋_GB2312" w:hAnsi="仿宋_GB2312" w:eastAsia="仿宋_GB2312" w:cs="仿宋_GB2312"/>
          <w:b w:val="0"/>
          <w:bCs w:val="0"/>
          <w:color w:val="auto"/>
          <w:sz w:val="32"/>
          <w:szCs w:val="32"/>
          <w:lang w:val="zh-CN" w:eastAsia="zh-CN"/>
        </w:rPr>
        <w:t>加强食堂管理，在强化食品安全的同时，对伙食质量、服务等经常开展满意度调查。</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en-US" w:eastAsia="zh-CN"/>
        </w:rPr>
        <w:t>22.文明创建，</w:t>
      </w:r>
      <w:r>
        <w:rPr>
          <w:rFonts w:hint="eastAsia" w:ascii="仿宋_GB2312" w:hAnsi="仿宋_GB2312" w:eastAsia="仿宋_GB2312" w:cs="仿宋_GB2312"/>
          <w:b w:val="0"/>
          <w:bCs w:val="0"/>
          <w:color w:val="auto"/>
          <w:sz w:val="32"/>
          <w:szCs w:val="32"/>
          <w:lang w:val="zh-CN" w:eastAsia="zh-CN"/>
        </w:rPr>
        <w:t>成立了五个工作组，包括爱国卫生工作组、院内环境整治和文明餐桌行动工作组、药品器械管理工作组、健康教育、导医、传染病防治、慢病防控及控烟工作组和安全保卫、志愿服务工作组等五个工作组。</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en-US" w:eastAsia="zh-CN"/>
        </w:rPr>
        <w:t>23.</w:t>
      </w:r>
      <w:r>
        <w:rPr>
          <w:rFonts w:hint="eastAsia" w:ascii="仿宋_GB2312" w:hAnsi="仿宋_GB2312" w:eastAsia="仿宋_GB2312" w:cs="仿宋_GB2312"/>
          <w:b w:val="0"/>
          <w:bCs w:val="0"/>
          <w:color w:val="auto"/>
          <w:sz w:val="32"/>
          <w:szCs w:val="32"/>
          <w:lang w:val="zh-CN" w:eastAsia="zh-CN"/>
        </w:rPr>
        <w:t>建立意识形态工作责任制的检查考核制度，明确检查考核的内容、方法、程序，推动考核工作规范化、制度化和常态化。</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en-US" w:eastAsia="zh-CN"/>
        </w:rPr>
        <w:t>24.</w:t>
      </w:r>
      <w:r>
        <w:rPr>
          <w:rFonts w:hint="eastAsia" w:ascii="仿宋_GB2312" w:hAnsi="仿宋_GB2312" w:eastAsia="仿宋_GB2312" w:cs="仿宋_GB2312"/>
          <w:b w:val="0"/>
          <w:bCs w:val="0"/>
          <w:color w:val="auto"/>
          <w:sz w:val="32"/>
          <w:szCs w:val="32"/>
          <w:lang w:val="zh-CN" w:eastAsia="zh-CN"/>
        </w:rPr>
        <w:t>筹建精神卫生综合服务大楼。</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25.顺利通过老年友善医疗机构评审。</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zh-CN" w:eastAsia="zh-CN"/>
        </w:rPr>
        <w:t>五、存在的主要问题</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zh-CN" w:eastAsia="zh-CN"/>
        </w:rPr>
        <w:t>因医院业务需要量大，预算存在许多不可预见性，在目前竞争压力越来越强的市场环境下，我单位带有民政福利性质，</w:t>
      </w:r>
      <w:r>
        <w:rPr>
          <w:rFonts w:hint="eastAsia" w:ascii="仿宋_GB2312" w:hAnsi="仿宋_GB2312" w:eastAsia="仿宋_GB2312" w:cs="仿宋_GB2312"/>
          <w:b w:val="0"/>
          <w:bCs w:val="0"/>
          <w:color w:val="auto"/>
          <w:sz w:val="32"/>
          <w:szCs w:val="32"/>
          <w:lang w:val="en-US" w:eastAsia="zh-CN"/>
        </w:rPr>
        <w:t>每年大约有100余病人的200多万的住院欠款</w:t>
      </w:r>
      <w:r>
        <w:rPr>
          <w:rFonts w:hint="eastAsia" w:ascii="仿宋_GB2312" w:hAnsi="仿宋_GB2312" w:eastAsia="仿宋_GB2312" w:cs="仿宋_GB2312"/>
          <w:b w:val="0"/>
          <w:bCs w:val="0"/>
          <w:color w:val="auto"/>
          <w:sz w:val="32"/>
          <w:szCs w:val="32"/>
          <w:lang w:val="zh-CN" w:eastAsia="zh-CN"/>
        </w:rPr>
        <w:t>无人管理的情况，目前问题十分严峻，</w:t>
      </w:r>
      <w:r>
        <w:rPr>
          <w:rFonts w:hint="eastAsia" w:ascii="仿宋_GB2312" w:hAnsi="仿宋_GB2312" w:eastAsia="仿宋_GB2312" w:cs="仿宋_GB2312"/>
          <w:b w:val="0"/>
          <w:bCs w:val="0"/>
          <w:color w:val="auto"/>
          <w:sz w:val="32"/>
          <w:szCs w:val="32"/>
          <w:lang w:val="en-US" w:eastAsia="zh-CN"/>
        </w:rPr>
        <w:t>考虑到目前社会存在普遍的心理咨询需求，涉及到各行各业，尤其不利于青少年的健康成长，我单位今年特意开设了特色门诊及心理咨询专科，对有需求的人群提供专业的咨询指导，起到了很好的社会效益，也希望得到相关政府部门的支持进行推广，从社会调研的数据来看，全国精神障碍人群发病率 16.6%，其中焦虑障碍患病率最高，终生患病率为 7.57%，12月患病率为 4.98%。</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en-US" w:eastAsia="zh-CN"/>
        </w:rPr>
        <w:t>岳阳市作为湘北地区的门户城市，湖南省域副中心城市，有着悠久的历史文化传承，人口已超 500 万。据不完全统计，目前我市抑郁症的患病人数在 10 万人以上，存在失眠障碍的人数有170多万人，青少年人群中，有心理疾病的人数大约在 16 万人左右。我院拟建一栋精神卫生综合服务大楼，列入湖南省“十四五”精神卫生福利机构建设规划。该大楼主要功能为岳阳市精神卫生服务中心、贫困精神障碍患者救治养护康复中心、心理咨询中心、睡眠医学中心、儿少心理卫生中心、社会心理指导（援助）中心、退役军人优抚医疗中心、失智老年治疗中心、远程医养服务中心等等，它的建设将为医院高质量发展，更好的服务好我市“三区一中心”建设打下坚实的基础</w:t>
      </w:r>
      <w:r>
        <w:rPr>
          <w:rFonts w:hint="eastAsia" w:ascii="仿宋_GB2312" w:hAnsi="仿宋_GB2312" w:eastAsia="仿宋_GB2312" w:cs="仿宋_GB2312"/>
          <w:b w:val="0"/>
          <w:bCs w:val="0"/>
          <w:color w:val="auto"/>
          <w:sz w:val="32"/>
          <w:szCs w:val="32"/>
          <w:lang w:val="zh-CN" w:eastAsia="zh-CN"/>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zh-CN" w:eastAsia="zh-CN"/>
        </w:rPr>
        <w:t>六、改进措施和有关建议</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zh-CN" w:eastAsia="zh-CN"/>
        </w:rPr>
        <w:t>加强医院各环节管理，开源节流，增加医院新的增长点，在越来越严峻的市场环境下寻找医院多途径的开发。也恳请各级领导针对我单位的特殊情况在政策资金上给予我们更大的支持和帮助。</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zh-CN" w:eastAsia="zh-CN"/>
        </w:rPr>
        <w:t>（2）部门决算中项目绩效自评结果（如有）。</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我单位2021年无项目</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zh-CN" w:eastAsia="zh-CN"/>
        </w:rPr>
        <w:t>（3）部门评价项目绩效评价结果。</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我单位2021年无项目</w:t>
      </w:r>
    </w:p>
    <w:p>
      <w:pPr>
        <w:rPr>
          <w:rFonts w:hint="eastAsia"/>
          <w:sz w:val="84"/>
          <w:szCs w:val="84"/>
        </w:rPr>
      </w:pPr>
      <w:r>
        <w:rPr>
          <w:rFonts w:hint="eastAsia"/>
          <w:sz w:val="84"/>
          <w:szCs w:val="84"/>
        </w:rPr>
        <w:br w:type="page"/>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rPr>
      </w:pPr>
    </w:p>
    <w:p>
      <w:pPr>
        <w:pStyle w:val="11"/>
        <w:jc w:val="center"/>
        <w:rPr>
          <w:rFonts w:hint="eastAsia"/>
          <w:kern w:val="0"/>
          <w:sz w:val="72"/>
          <w:szCs w:val="72"/>
        </w:rPr>
      </w:pPr>
    </w:p>
    <w:p>
      <w:pPr>
        <w:pStyle w:val="11"/>
        <w:jc w:val="center"/>
        <w:rPr>
          <w:rFonts w:hint="eastAsia"/>
          <w:kern w:val="0"/>
          <w:sz w:val="72"/>
          <w:szCs w:val="72"/>
        </w:rPr>
      </w:pPr>
    </w:p>
    <w:p>
      <w:pPr>
        <w:pStyle w:val="11"/>
        <w:jc w:val="center"/>
        <w:rPr>
          <w:rFonts w:hint="eastAsia"/>
          <w:kern w:val="0"/>
          <w:sz w:val="72"/>
          <w:szCs w:val="72"/>
        </w:rPr>
      </w:pPr>
    </w:p>
    <w:p>
      <w:pPr>
        <w:pStyle w:val="11"/>
        <w:jc w:val="center"/>
        <w:rPr>
          <w:rFonts w:hint="eastAsia"/>
          <w:kern w:val="0"/>
          <w:sz w:val="72"/>
          <w:szCs w:val="72"/>
        </w:rPr>
      </w:pPr>
      <w:bookmarkStart w:id="0" w:name="_GoBack"/>
      <w:bookmarkEnd w:id="0"/>
      <w:r>
        <w:rPr>
          <w:rFonts w:hint="eastAsia"/>
          <w:kern w:val="0"/>
          <w:sz w:val="72"/>
          <w:szCs w:val="72"/>
        </w:rPr>
        <w:t>第四部分</w:t>
      </w:r>
    </w:p>
    <w:p>
      <w:pPr>
        <w:pStyle w:val="11"/>
        <w:jc w:val="center"/>
        <w:rPr>
          <w:rFonts w:hint="eastAsia"/>
          <w:kern w:val="0"/>
          <w:sz w:val="72"/>
          <w:szCs w:val="72"/>
        </w:rPr>
      </w:pPr>
    </w:p>
    <w:p>
      <w:pPr>
        <w:pStyle w:val="11"/>
        <w:jc w:val="center"/>
        <w:rPr>
          <w:rFonts w:hint="eastAsia"/>
          <w:kern w:val="0"/>
          <w:sz w:val="72"/>
          <w:szCs w:val="72"/>
        </w:rPr>
      </w:pPr>
      <w:r>
        <w:rPr>
          <w:rFonts w:hint="eastAsia"/>
          <w:kern w:val="0"/>
          <w:sz w:val="72"/>
          <w:szCs w:val="72"/>
        </w:rPr>
        <w:t>名词解释</w:t>
      </w:r>
    </w:p>
    <w:p>
      <w:pPr>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br w:type="page"/>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财政拨款收入：指本级财政当年拨付的资金。</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政府性基金预算财政拨款收入：指本级财政当年拨付的政府性基金预算资金。</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其他收入：指除上述“财政拨款收入”、“上级补助收入”、“事业收入”、“经营收入”、“附属单位上缴收入”等以外的收入。</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上年结转和结余：指以前年度尚未完成、结转到本年按有关规定继续使用的资金。</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年末结转和结余资金：指本年度或以前年度预算安排、因客观条件发生变化无法按原计划实施，需要延迟到以后年度按有关规定继续使用的资金。</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一般公共服务支出（类）：是指用于人大、政协、政府办公厅（室）及相关机构事务、发展与改革事务、统计信息事务、财政事务、税收事务、审计事务、人力资源事务、纪检监察事务、商贸事务、工商行政管理事务、质量技术监督与检验检疫事务、民族事务、档案事务、民主党派及工商联事务、群众团体事务、党委办公厅（室）及相关机构事务、组织事务、宣传事务、统战事务、其他一般公共服务等方面的支出，包括保障机构正常运转、完成日常和特定的工作任务或事业发展目标的支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卫生健康支出（类）：是指用于医疗卫生与计划生育方面的支出，包括保障机构正常运转、完成日常和特定的工作任务或事业发展目标的支出。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其他支出（类）：是指用于反映除上述项目以外其他不能划分到具体功能科目中的支出项目，包括保障机构正常运转、完成日常和特定的工作任务或事业发展目标的支出。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基本支出：指保障机构正常运转、完成支日常工作任务而发生的人员支出和公用支出。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项目支出：指在基本支出之外为完成特定行政任务和事业发展目标所发生的支出。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工资福利支出：反映单位开支的在职职工和编制外长期聘用人员的各类劳动报酬，以及为上述人员缴纳的各项社会保险费等。</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津贴补贴：反映经国家批准建立的机关事业单位艰苦边远地区津贴、机关工作人员地区附加津贴、机关工作人员岗位津贴、事业单位工作人员特殊岗位津贴补贴等。</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奖金：反映机关工作人员年终一次性奖金。</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绩效工资：反映事业单位工作人员的绩效工资。</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机关事业单位基本养老保险缴费：反映机关事业单位缴纳的基本养老保险费。由单位代扣的工作人员基本养老保险缴费，不在此科目反映。</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职业年金缴费：反映机关事业单位实际缴纳的职业年金支出。由单位代扣的工作人员职业年金缴费，不在此科目反映。</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职工基本医疗保险缴费：反映单位为职工缴纳的基本医疗保险费。</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公务员医疗补助缴费：反映按规定可享受公务员医疗补助单位为职工缴纳的公务员医疗补助费。</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其他社会保障缴费：反映单位为职工缴纳的基本医疗、失业、工伤、生育等社会保险费，残疾人就业保障金，军队（含武警）为军人缴纳的伤亡、退役医疗等社会保险费。</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住房公积金：反映行政事业单位按人力资源和社会保障部、财政部规定的基本工资和津贴补贴以及规定比例为职工缴纳的住房公积金。</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医疗费：反映未参加医疗保险单位的医疗经费和单位按规定为职工支出的其他医疗费用。</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商品和服务支出：反映单位购买商品和服务的支出（不包括用于购置固定资产的支出、战略性和应急储备支出）。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办公费：反映单位购买按财务会计制度规定不符合固定资产确认标准的日常办公用品、书报杂志等支出。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印刷费：反映单位的印刷费支出。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咨询费：反映单位咨询方面的支出。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水费：反映单位支付的水费、污水处理费等支出。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电费：反映单位的电费支出。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邮电费：反映单位开支的信函、包裹、货物等物品的邮寄费及电话费、电报费、传真费、网络通讯费等。</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物业管理费：反映单位开支的办公用房以及未实行职工住宅物业服务改革的在职职工和离退休人员宿舍等的物业管理费，包括综合治理、绿化、卫生等方面的支出。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差旅费：反映单位工作人员出差发生的城市间交通费、住宿费、伙食补贴费和市内交通费。</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维修(护)费：反映单位日常开支的固定资产（不包括车船等交通工具）修理和维护费用，网络信息系统运行与维护费用，以及按规定提取的修购基金。</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会议费：反映会议中按规定开支的住宿费、伙食费、会议室租金、交通费、文件印刷费、医药费等。</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培训费：反映除因公出国（境）培训费以外的各类培训支出。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公务接待费：反映单位按规定开支的各类公务接待（含外宾接待）费用。</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劳务费：反映支付给单位和个人的劳务费用，如临时聘用人员、钟点工工资，稿费、翻译费，评审费等。</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委托业务费：反映因委托外单位办理业务而支付的委托业务费。</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工会经费：反映单位按规定提取的工会经费。</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福利费：反映单位按规定提取的福利费。</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公务用车运行维护费：反映单位按规定保留的公务用车燃料费、维修费、过桥过路费、保险费、安全奖励费用等支出。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其他交通费用：反映单位除公务用车运行维护费以外的其他交通费用。如公务交通补贴，租车费用、出租车费用，飞机、船舶等的燃料费、维修费、保险费等。</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其他商品和服务支出：反映上述科目未包括的日常公用支出。如行政赔偿费和诉讼费、国内组织的会员费、来访费、广告宣传、其他劳务费及离休人员特需费、公用经费等。</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对个人和家庭的补助：反映政府用于对个人和家庭的补助支出。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离休费：反映行政事业单位和军队移交政府安置的离休人员的离休费、护理费和其他补贴。</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退休费：反映行政事业单位和军队移交政府安置的退休人员的退休费和其他补贴。</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抚恤金：反映按规定开支的烈士遗属、牺牲病故人员遗属的一次性和定期抚恤金，伤残人员的抚恤金，离退休人员等其他人员的各项抚恤金。</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奖励金：反映政府各部门的奖励支出，如对个体私营经济的奖励、计划生育目标责任奖励、独生子女父母奖励等。</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办公设备购置：反映用于购置并按财务会计制度规定纳入固定资产核算范围的办公家具和办公设备的支出，以及按规定提取的修购基金。</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专用设备购置：反映用于购置具有专门用途、并按财务会计制度规定纳入固定资产核算范围的各类专用设备的支出。如通信设备、发电设备、交通监控设备、卫星转发器、气象设备、进出口监管设备等，以及按规定提取的修购基金。</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rPr>
      </w:pPr>
    </w:p>
    <w:p>
      <w:pPr>
        <w:pStyle w:val="11"/>
        <w:jc w:val="center"/>
        <w:rPr>
          <w:rFonts w:hint="eastAsia"/>
          <w:kern w:val="0"/>
          <w:sz w:val="72"/>
          <w:szCs w:val="72"/>
        </w:rPr>
      </w:pPr>
    </w:p>
    <w:p>
      <w:pPr>
        <w:rPr>
          <w:rFonts w:hint="eastAsia"/>
          <w:kern w:val="0"/>
          <w:sz w:val="72"/>
          <w:szCs w:val="72"/>
        </w:rPr>
      </w:pPr>
      <w:r>
        <w:rPr>
          <w:rFonts w:hint="eastAsia"/>
          <w:kern w:val="0"/>
          <w:sz w:val="72"/>
          <w:szCs w:val="72"/>
        </w:rPr>
        <w:br w:type="page"/>
      </w:r>
    </w:p>
    <w:p>
      <w:pPr>
        <w:pStyle w:val="11"/>
        <w:jc w:val="center"/>
        <w:rPr>
          <w:rFonts w:hint="eastAsia"/>
          <w:kern w:val="0"/>
          <w:sz w:val="72"/>
          <w:szCs w:val="72"/>
        </w:rPr>
      </w:pPr>
    </w:p>
    <w:p>
      <w:pPr>
        <w:pStyle w:val="11"/>
        <w:jc w:val="center"/>
        <w:rPr>
          <w:rFonts w:hint="eastAsia"/>
          <w:kern w:val="0"/>
          <w:sz w:val="72"/>
          <w:szCs w:val="72"/>
        </w:rPr>
      </w:pPr>
    </w:p>
    <w:p>
      <w:pPr>
        <w:pStyle w:val="11"/>
        <w:jc w:val="center"/>
        <w:rPr>
          <w:rFonts w:hint="eastAsia"/>
          <w:kern w:val="0"/>
          <w:sz w:val="72"/>
          <w:szCs w:val="72"/>
        </w:rPr>
      </w:pPr>
    </w:p>
    <w:p>
      <w:pPr>
        <w:pStyle w:val="11"/>
        <w:jc w:val="center"/>
        <w:rPr>
          <w:rFonts w:hint="eastAsia"/>
          <w:kern w:val="0"/>
          <w:sz w:val="72"/>
          <w:szCs w:val="72"/>
        </w:rPr>
      </w:pPr>
    </w:p>
    <w:p>
      <w:pPr>
        <w:pStyle w:val="11"/>
        <w:jc w:val="center"/>
        <w:rPr>
          <w:rFonts w:hint="eastAsia"/>
          <w:kern w:val="0"/>
          <w:sz w:val="72"/>
          <w:szCs w:val="72"/>
        </w:rPr>
      </w:pPr>
      <w:r>
        <w:rPr>
          <w:rFonts w:hint="eastAsia"/>
          <w:kern w:val="0"/>
          <w:sz w:val="72"/>
          <w:szCs w:val="72"/>
        </w:rPr>
        <w:t>第五部分</w:t>
      </w:r>
    </w:p>
    <w:p>
      <w:pPr>
        <w:pStyle w:val="11"/>
        <w:jc w:val="center"/>
        <w:rPr>
          <w:rFonts w:hint="eastAsia"/>
          <w:kern w:val="0"/>
          <w:sz w:val="72"/>
          <w:szCs w:val="72"/>
        </w:rPr>
      </w:pPr>
    </w:p>
    <w:p>
      <w:pPr>
        <w:pStyle w:val="11"/>
        <w:jc w:val="center"/>
        <w:rPr>
          <w:rFonts w:hint="eastAsia"/>
          <w:kern w:val="0"/>
          <w:sz w:val="72"/>
          <w:szCs w:val="72"/>
        </w:rPr>
      </w:pPr>
      <w:r>
        <w:rPr>
          <w:rFonts w:hint="eastAsia"/>
          <w:kern w:val="0"/>
          <w:sz w:val="72"/>
          <w:szCs w:val="72"/>
        </w:rPr>
        <w:t>附件</w:t>
      </w:r>
    </w:p>
    <w:p>
      <w:pPr>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br w:type="page"/>
      </w:r>
    </w:p>
    <w:p>
      <w:pPr>
        <w:widowControl/>
        <w:ind w:firstLine="640" w:firstLineChars="200"/>
        <w:jc w:val="left"/>
        <w:rPr>
          <w:rFonts w:hint="eastAsia" w:ascii="仿宋_GB2312" w:hAnsi="仿宋_GB2312" w:eastAsia="仿宋_GB2312" w:cs="仿宋_GB2312"/>
          <w:b w:val="0"/>
          <w:bCs w:val="0"/>
          <w:color w:val="auto"/>
          <w:sz w:val="32"/>
          <w:szCs w:val="32"/>
          <w:lang w:val="en-US" w:eastAsia="zh-CN"/>
        </w:rPr>
      </w:pPr>
    </w:p>
    <w:p>
      <w:pPr>
        <w:widowControl/>
        <w:ind w:firstLine="640" w:firstLineChars="200"/>
        <w:jc w:val="left"/>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1、2021年部门决算公开表格</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zh-CN" w:eastAsia="zh-CN"/>
        </w:rPr>
      </w:pP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b w:val="0"/>
          <w:bCs w:val="0"/>
          <w:color w:val="auto"/>
          <w:sz w:val="32"/>
          <w:szCs w:val="32"/>
          <w:lang w:val="zh-CN" w:eastAsia="zh-CN"/>
        </w:rPr>
        <w:t>2021年度部门整体支出绩效评价报告</w:t>
      </w:r>
    </w:p>
    <w:p>
      <w:pPr>
        <w:ind w:firstLine="560" w:firstLineChars="200"/>
        <w:jc w:val="left"/>
        <w:rPr>
          <w:rFonts w:cs="黑体" w:asciiTheme="minorEastAsia" w:hAnsiTheme="minorEastAsia"/>
          <w:color w:val="000000"/>
          <w:kern w:val="0"/>
          <w:sz w:val="28"/>
          <w:szCs w:val="28"/>
        </w:rPr>
      </w:pPr>
    </w:p>
    <w:sectPr>
      <w:pgSz w:w="11906" w:h="16838"/>
      <w:pgMar w:top="2098" w:right="1531" w:bottom="1984" w:left="153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210"/>
  <w:drawingGridVerticalSpacing w:val="156"/>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RiYzBkNzgwZTc4YmNlMGYyZGY3MGE5OGUxMjI5ZDQifQ=="/>
  </w:docVars>
  <w:rsids>
    <w:rsidRoot w:val="00172A27"/>
    <w:rsid w:val="0002229B"/>
    <w:rsid w:val="000273BD"/>
    <w:rsid w:val="000415B7"/>
    <w:rsid w:val="00041E3F"/>
    <w:rsid w:val="00055DAA"/>
    <w:rsid w:val="00061F7B"/>
    <w:rsid w:val="000658A3"/>
    <w:rsid w:val="00074155"/>
    <w:rsid w:val="000873EF"/>
    <w:rsid w:val="000A3F69"/>
    <w:rsid w:val="00103957"/>
    <w:rsid w:val="00124A1F"/>
    <w:rsid w:val="00152C6D"/>
    <w:rsid w:val="00162D39"/>
    <w:rsid w:val="001678BD"/>
    <w:rsid w:val="00182373"/>
    <w:rsid w:val="001A67DB"/>
    <w:rsid w:val="001C3C29"/>
    <w:rsid w:val="001D51E5"/>
    <w:rsid w:val="001E080D"/>
    <w:rsid w:val="001E53D0"/>
    <w:rsid w:val="001F0C3B"/>
    <w:rsid w:val="00202C14"/>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C4197"/>
    <w:rsid w:val="003C47E6"/>
    <w:rsid w:val="003C4FC2"/>
    <w:rsid w:val="003E2331"/>
    <w:rsid w:val="00416E61"/>
    <w:rsid w:val="0042790C"/>
    <w:rsid w:val="004506F9"/>
    <w:rsid w:val="004717A2"/>
    <w:rsid w:val="00473DF3"/>
    <w:rsid w:val="00487911"/>
    <w:rsid w:val="00491741"/>
    <w:rsid w:val="004B0CEE"/>
    <w:rsid w:val="00500E5F"/>
    <w:rsid w:val="005122EF"/>
    <w:rsid w:val="0051441A"/>
    <w:rsid w:val="00517C33"/>
    <w:rsid w:val="00517D5F"/>
    <w:rsid w:val="00521AF2"/>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48B"/>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75489"/>
    <w:rsid w:val="00DD06FF"/>
    <w:rsid w:val="00DD5FE9"/>
    <w:rsid w:val="00E00C7A"/>
    <w:rsid w:val="00E209CF"/>
    <w:rsid w:val="00E37D6C"/>
    <w:rsid w:val="00E55B68"/>
    <w:rsid w:val="00E67BE6"/>
    <w:rsid w:val="00E8683C"/>
    <w:rsid w:val="00EA2B72"/>
    <w:rsid w:val="00F74360"/>
    <w:rsid w:val="00FB462F"/>
    <w:rsid w:val="00FE16FA"/>
    <w:rsid w:val="00FE328A"/>
    <w:rsid w:val="00FE6269"/>
    <w:rsid w:val="00FF5CD6"/>
    <w:rsid w:val="04D94B9F"/>
    <w:rsid w:val="05633A58"/>
    <w:rsid w:val="06B411F0"/>
    <w:rsid w:val="087403E0"/>
    <w:rsid w:val="0BE56081"/>
    <w:rsid w:val="13130D08"/>
    <w:rsid w:val="13BE003E"/>
    <w:rsid w:val="17A87124"/>
    <w:rsid w:val="1A935399"/>
    <w:rsid w:val="1E537319"/>
    <w:rsid w:val="216265B0"/>
    <w:rsid w:val="27DB542D"/>
    <w:rsid w:val="32292EE0"/>
    <w:rsid w:val="366364DD"/>
    <w:rsid w:val="370B6762"/>
    <w:rsid w:val="3E534687"/>
    <w:rsid w:val="45F9639D"/>
    <w:rsid w:val="48ED43E7"/>
    <w:rsid w:val="60A907EA"/>
    <w:rsid w:val="6145544E"/>
    <w:rsid w:val="62CB0B0B"/>
    <w:rsid w:val="7DF033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3"/>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character" w:customStyle="1" w:styleId="9">
    <w:name w:val="页眉 Char"/>
    <w:basedOn w:val="8"/>
    <w:link w:val="5"/>
    <w:qFormat/>
    <w:uiPriority w:val="99"/>
    <w:rPr>
      <w:sz w:val="18"/>
      <w:szCs w:val="18"/>
    </w:rPr>
  </w:style>
  <w:style w:type="character" w:customStyle="1" w:styleId="10">
    <w:name w:val="页脚 Char"/>
    <w:basedOn w:val="8"/>
    <w:link w:val="4"/>
    <w:qFormat/>
    <w:uiPriority w:val="99"/>
    <w:rPr>
      <w:sz w:val="18"/>
      <w:szCs w:val="18"/>
    </w:rPr>
  </w:style>
  <w:style w:type="paragraph" w:customStyle="1" w:styleId="11">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2">
    <w:name w:val="List Paragraph"/>
    <w:basedOn w:val="1"/>
    <w:qFormat/>
    <w:uiPriority w:val="34"/>
    <w:pPr>
      <w:ind w:firstLine="420" w:firstLineChars="200"/>
    </w:pPr>
  </w:style>
  <w:style w:type="character" w:customStyle="1" w:styleId="13">
    <w:name w:val="批注框文本 Char"/>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80904-B2FB-4FE3-894F-42F14B17BC5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23</Pages>
  <Words>8944</Words>
  <Characters>9588</Characters>
  <Lines>69</Lines>
  <Paragraphs>19</Paragraphs>
  <TotalTime>12</TotalTime>
  <ScaleCrop>false</ScaleCrop>
  <LinksUpToDate>false</LinksUpToDate>
  <CharactersWithSpaces>9617</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文印室</cp:lastModifiedBy>
  <cp:lastPrinted>2022-07-27T12:55:00Z</cp:lastPrinted>
  <dcterms:modified xsi:type="dcterms:W3CDTF">2022-09-26T08:09:38Z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C02081F76A1C414C807C3137DC2EA958</vt:lpwstr>
  </property>
</Properties>
</file>