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rFonts w:hint="eastAsia"/>
          <w:sz w:val="84"/>
          <w:szCs w:val="84"/>
          <w:lang w:eastAsia="zh-CN"/>
        </w:rPr>
      </w:pPr>
      <w:r>
        <w:rPr>
          <w:rFonts w:hint="eastAsia"/>
          <w:sz w:val="84"/>
          <w:szCs w:val="84"/>
          <w:lang w:eastAsia="zh-CN"/>
        </w:rPr>
        <w:t>岳阳市殡葬执法支队</w:t>
      </w:r>
    </w:p>
    <w:p>
      <w:pPr>
        <w:pStyle w:val="10"/>
        <w:jc w:val="center"/>
        <w:rPr>
          <w:sz w:val="84"/>
          <w:szCs w:val="84"/>
        </w:rPr>
      </w:pP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center"/>
        <w:rPr>
          <w:b/>
          <w:sz w:val="36"/>
          <w:szCs w:val="28"/>
        </w:rPr>
      </w:pPr>
    </w:p>
    <w:p>
      <w:pPr>
        <w:pStyle w:val="10"/>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r>
        <w:rPr>
          <w:rFonts w:hint="eastAsia"/>
          <w:b/>
          <w:sz w:val="36"/>
          <w:szCs w:val="28"/>
        </w:rPr>
        <w:t>目录</w:t>
      </w:r>
    </w:p>
    <w:p>
      <w:pPr>
        <w:pStyle w:val="10"/>
        <w:keepNext w:val="0"/>
        <w:keepLines w:val="0"/>
        <w:pageBreakBefore w:val="0"/>
        <w:widowControl w:val="0"/>
        <w:kinsoku/>
        <w:wordWrap/>
        <w:overflowPunct/>
        <w:topLinePunct w:val="0"/>
        <w:bidi w:val="0"/>
        <w:snapToGrid/>
        <w:spacing w:line="480" w:lineRule="exact"/>
        <w:jc w:val="center"/>
        <w:textAlignment w:val="auto"/>
        <w:rPr>
          <w:rFonts w:hint="eastAsia"/>
          <w:b/>
          <w:sz w:val="36"/>
          <w:szCs w:val="28"/>
        </w:rPr>
      </w:pP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第一部分</w:t>
      </w:r>
      <w:r>
        <w:rPr>
          <w:rFonts w:hint="eastAsia" w:ascii="仿宋_GB2312" w:hAnsi="仿宋_GB2312" w:eastAsia="仿宋_GB2312" w:cs="仿宋_GB2312"/>
          <w:b/>
          <w:sz w:val="28"/>
          <w:szCs w:val="28"/>
          <w:lang w:val="en-US" w:eastAsia="zh-CN"/>
        </w:rPr>
        <w:t xml:space="preserve">  殡葬执法支队</w:t>
      </w:r>
      <w:r>
        <w:rPr>
          <w:rFonts w:hint="eastAsia" w:ascii="仿宋_GB2312" w:hAnsi="仿宋_GB2312" w:eastAsia="仿宋_GB2312" w:cs="仿宋_GB2312"/>
          <w:b/>
          <w:sz w:val="28"/>
          <w:szCs w:val="28"/>
        </w:rPr>
        <w:t>单位概况</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第二部分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八、政府性基金预算财政拨款收入支出决算表</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九、国有资本经营预算财政拨款支出决算表</w:t>
      </w:r>
    </w:p>
    <w:p>
      <w:pPr>
        <w:pStyle w:val="10"/>
        <w:keepNext w:val="0"/>
        <w:keepLines w:val="0"/>
        <w:pageBreakBefore w:val="0"/>
        <w:widowControl w:val="0"/>
        <w:kinsoku/>
        <w:wordWrap/>
        <w:overflowPunct/>
        <w:topLinePunct w:val="0"/>
        <w:bidi w:val="0"/>
        <w:snapToGrid/>
        <w:spacing w:line="48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第三部分</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2021年度部门决算情况说明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政府采购支出说明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十三、国有资产占用情况说明</w:t>
      </w:r>
    </w:p>
    <w:p>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十四、</w:t>
      </w:r>
      <w:r>
        <w:rPr>
          <w:rFonts w:hint="eastAsia" w:ascii="仿宋_GB2312" w:hAnsi="仿宋_GB2312" w:eastAsia="仿宋_GB2312" w:cs="仿宋_GB2312"/>
          <w:sz w:val="28"/>
          <w:szCs w:val="28"/>
        </w:rPr>
        <w:t>2021年度预算绩效情况说明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第四部分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第五部分</w:t>
      </w:r>
      <w:r>
        <w:rPr>
          <w:rFonts w:hint="eastAsia" w:ascii="仿宋_GB2312" w:hAnsi="仿宋_GB2312" w:eastAsia="仿宋_GB2312" w:cs="仿宋_GB2312"/>
          <w:b/>
          <w:color w:val="000000"/>
          <w:kern w:val="0"/>
          <w:sz w:val="28"/>
          <w:szCs w:val="28"/>
          <w:lang w:val="en-US" w:eastAsia="zh-CN"/>
        </w:rPr>
        <w:t xml:space="preserve">  </w:t>
      </w:r>
      <w:r>
        <w:rPr>
          <w:rFonts w:hint="eastAsia" w:ascii="仿宋_GB2312" w:hAnsi="仿宋_GB2312" w:eastAsia="仿宋_GB2312" w:cs="仿宋_GB2312"/>
          <w:b/>
          <w:color w:val="000000"/>
          <w:kern w:val="0"/>
          <w:sz w:val="28"/>
          <w:szCs w:val="28"/>
        </w:rPr>
        <w:t>附件</w:t>
      </w:r>
    </w:p>
    <w:p>
      <w:pPr>
        <w:rPr>
          <w:sz w:val="72"/>
          <w:szCs w:val="72"/>
        </w:rPr>
      </w:pPr>
      <w:r>
        <w:rPr>
          <w:sz w:val="72"/>
          <w:szCs w:val="72"/>
        </w:rPr>
        <w:br w:type="page"/>
      </w: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第一部分</w:t>
      </w: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岳阳市殡葬执法支队概况</w:t>
      </w:r>
    </w:p>
    <w:p>
      <w:pPr>
        <w:pStyle w:val="10"/>
        <w:jc w:val="center"/>
        <w:rPr>
          <w:rFonts w:hint="eastAsia"/>
          <w:kern w:val="0"/>
          <w:sz w:val="72"/>
          <w:szCs w:val="72"/>
          <w:lang w:eastAsia="zh-CN"/>
        </w:rPr>
      </w:pPr>
    </w:p>
    <w:p>
      <w:pPr>
        <w:rPr>
          <w:rFonts w:hint="eastAsia"/>
          <w:kern w:val="0"/>
          <w:sz w:val="72"/>
          <w:szCs w:val="72"/>
          <w:lang w:eastAsia="zh-CN"/>
        </w:rPr>
      </w:pPr>
      <w:r>
        <w:rPr>
          <w:rFonts w:hint="eastAsia"/>
          <w:kern w:val="0"/>
          <w:sz w:val="72"/>
          <w:szCs w:val="72"/>
          <w:lang w:eastAsia="zh-CN"/>
        </w:rPr>
        <w:br w:type="page"/>
      </w:r>
    </w:p>
    <w:p>
      <w:pPr>
        <w:pStyle w:val="11"/>
        <w:keepNext w:val="0"/>
        <w:keepLines w:val="0"/>
        <w:pageBreakBefore w:val="0"/>
        <w:numPr>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p>
    <w:p>
      <w:pPr>
        <w:pStyle w:val="11"/>
        <w:keepNext w:val="0"/>
        <w:keepLines w:val="0"/>
        <w:pageBreakBefore w:val="0"/>
        <w:numPr>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一、</w:t>
      </w:r>
      <w:r>
        <w:rPr>
          <w:rFonts w:hint="eastAsia" w:ascii="黑体" w:hAnsi="黑体" w:eastAsia="黑体" w:cs="黑体"/>
          <w:b w:val="0"/>
          <w:bCs w:val="0"/>
          <w:color w:val="auto"/>
          <w:sz w:val="32"/>
          <w:szCs w:val="32"/>
        </w:rPr>
        <w:t>部门职责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管理殡葬事宜，推进殡葬改革。殡葬改革与殡葬法规宣传。殡葬执法检查。殡葬职业教育，殡葬岗位培训。殡葬礼仪服务。遗体处置服务。遗体火化、骨灰安葬，安放服务。丧葬用品服务。墓碑制作。</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二、机构设置及决算单位构成</w:t>
      </w:r>
    </w:p>
    <w:p>
      <w:pPr>
        <w:keepNext w:val="0"/>
        <w:keepLines w:val="0"/>
        <w:pageBreakBefore w:val="0"/>
        <w:widowControl/>
        <w:kinsoku/>
        <w:wordWrap/>
        <w:overflowPunct/>
        <w:topLinePunct w:val="0"/>
        <w:autoSpaceDE/>
        <w:autoSpaceDN/>
        <w:bidi w:val="0"/>
        <w:adjustRightInd/>
        <w:snapToGrid w:val="0"/>
        <w:spacing w:line="540" w:lineRule="exact"/>
        <w:ind w:left="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（一）内设机构设置。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根据编委核定，我支队内设科室3个，编制数24人，实际人数</w:t>
      </w:r>
      <w:r>
        <w:rPr>
          <w:rFonts w:hint="eastAsia" w:ascii="仿宋_GB2312" w:hAnsi="仿宋_GB2312" w:eastAsia="仿宋_GB2312" w:cs="仿宋_GB2312"/>
          <w:b w:val="0"/>
          <w:bCs w:val="0"/>
          <w:color w:val="auto"/>
          <w:sz w:val="32"/>
          <w:szCs w:val="32"/>
          <w:lang w:val="en-US" w:eastAsia="zh-CN"/>
        </w:rPr>
        <w:t>18</w:t>
      </w:r>
      <w:r>
        <w:rPr>
          <w:rFonts w:hint="eastAsia" w:ascii="仿宋_GB2312" w:hAnsi="仿宋_GB2312" w:eastAsia="仿宋_GB2312" w:cs="仿宋_GB2312"/>
          <w:b w:val="0"/>
          <w:bCs w:val="0"/>
          <w:color w:val="auto"/>
          <w:sz w:val="32"/>
          <w:szCs w:val="32"/>
        </w:rPr>
        <w:t>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内设科室分别是：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1、办公室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2、一大队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3、二大队</w:t>
      </w:r>
    </w:p>
    <w:p>
      <w:pPr>
        <w:keepNext w:val="0"/>
        <w:keepLines w:val="0"/>
        <w:pageBreakBefore w:val="0"/>
        <w:widowControl/>
        <w:numPr>
          <w:ilvl w:val="0"/>
          <w:numId w:val="0"/>
        </w:numPr>
        <w:kinsoku/>
        <w:wordWrap/>
        <w:overflowPunct/>
        <w:topLinePunct w:val="0"/>
        <w:autoSpaceDE/>
        <w:autoSpaceDN/>
        <w:bidi w:val="0"/>
        <w:adjustRightInd/>
        <w:snapToGrid w:val="0"/>
        <w:spacing w:line="540" w:lineRule="exact"/>
        <w:ind w:left="0" w:firstLine="640" w:firstLineChars="200"/>
        <w:textAlignment w:val="auto"/>
        <w:rPr>
          <w:rFonts w:hint="eastAsia" w:ascii="仿宋_GB2312" w:hAnsi="仿宋_GB2312" w:eastAsia="仿宋_GB2312" w:cs="仿宋_GB2312"/>
          <w:b w:val="0"/>
          <w:bCs w:val="0"/>
          <w:i/>
          <w:iCs/>
          <w:color w:val="auto"/>
          <w:kern w:val="0"/>
          <w:sz w:val="32"/>
          <w:szCs w:val="32"/>
        </w:rPr>
      </w:pPr>
      <w:r>
        <w:rPr>
          <w:rFonts w:hint="eastAsia" w:ascii="仿宋_GB2312" w:hAnsi="仿宋_GB2312" w:eastAsia="仿宋_GB2312" w:cs="仿宋_GB2312"/>
          <w:b w:val="0"/>
          <w:bCs w:val="0"/>
          <w:color w:val="auto"/>
          <w:kern w:val="0"/>
          <w:sz w:val="32"/>
          <w:szCs w:val="32"/>
          <w:lang w:eastAsia="zh-CN"/>
        </w:rPr>
        <w:t>（二）</w:t>
      </w:r>
      <w:r>
        <w:rPr>
          <w:rFonts w:hint="eastAsia" w:ascii="仿宋_GB2312" w:hAnsi="仿宋_GB2312" w:eastAsia="仿宋_GB2312" w:cs="仿宋_GB2312"/>
          <w:b w:val="0"/>
          <w:bCs w:val="0"/>
          <w:color w:val="auto"/>
          <w:kern w:val="0"/>
          <w:sz w:val="32"/>
          <w:szCs w:val="32"/>
        </w:rPr>
        <w:t>决算单位构成。</w:t>
      </w:r>
    </w:p>
    <w:p>
      <w:pPr>
        <w:keepNext w:val="0"/>
        <w:keepLines w:val="0"/>
        <w:pageBreakBefore w:val="0"/>
        <w:kinsoku/>
        <w:wordWrap/>
        <w:overflowPunct/>
        <w:topLinePunct w:val="0"/>
        <w:autoSpaceDE/>
        <w:autoSpaceDN/>
        <w:bidi w:val="0"/>
        <w:adjustRightInd/>
        <w:snapToGrid w:val="0"/>
        <w:spacing w:line="540" w:lineRule="exact"/>
        <w:ind w:left="0" w:firstLine="640" w:firstLineChars="200"/>
        <w:jc w:val="both"/>
        <w:textAlignment w:val="auto"/>
        <w:rPr>
          <w:rFonts w:hint="eastAsia" w:ascii="仿宋" w:hAnsi="仿宋" w:eastAsia="仿宋" w:cs="仿宋"/>
          <w:b w:val="0"/>
          <w:bCs w:val="0"/>
          <w:color w:val="auto"/>
          <w:sz w:val="32"/>
          <w:szCs w:val="32"/>
        </w:rPr>
      </w:pPr>
      <w:r>
        <w:rPr>
          <w:rFonts w:hint="eastAsia" w:ascii="仿宋_GB2312" w:hAnsi="仿宋_GB2312" w:eastAsia="仿宋_GB2312" w:cs="仿宋_GB2312"/>
          <w:b w:val="0"/>
          <w:bCs w:val="0"/>
          <w:color w:val="auto"/>
          <w:sz w:val="32"/>
          <w:szCs w:val="32"/>
        </w:rPr>
        <w:t>岳阳市殡葬执法支队单位2020年部门决算汇总公开单位构成包括：岳阳市殡葬执法支队</w:t>
      </w:r>
      <w:r>
        <w:rPr>
          <w:rFonts w:hint="eastAsia" w:ascii="仿宋_GB2312" w:hAnsi="仿宋_GB2312" w:eastAsia="仿宋_GB2312" w:cs="仿宋_GB2312"/>
          <w:b w:val="0"/>
          <w:bCs w:val="0"/>
          <w:color w:val="auto"/>
          <w:sz w:val="32"/>
          <w:szCs w:val="32"/>
          <w:lang w:eastAsia="zh-CN"/>
        </w:rPr>
        <w:t>。</w:t>
      </w:r>
    </w:p>
    <w:p>
      <w:pPr>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br w:type="page"/>
      </w:r>
    </w:p>
    <w:p>
      <w:pPr>
        <w:keepNext w:val="0"/>
        <w:keepLines w:val="0"/>
        <w:pageBreakBefore w:val="0"/>
        <w:kinsoku/>
        <w:wordWrap/>
        <w:overflowPunct/>
        <w:topLinePunct w:val="0"/>
        <w:bidi w:val="0"/>
        <w:snapToGrid/>
        <w:spacing w:line="240" w:lineRule="auto"/>
        <w:jc w:val="both"/>
        <w:textAlignment w:val="auto"/>
        <w:rPr>
          <w:rFonts w:hint="eastAsia" w:ascii="仿宋" w:hAnsi="仿宋" w:eastAsia="仿宋" w:cs="仿宋"/>
          <w:b w:val="0"/>
          <w:bCs w:val="0"/>
          <w:color w:val="auto"/>
          <w:sz w:val="32"/>
          <w:szCs w:val="32"/>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第二部分</w:t>
      </w: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部门决算表</w:t>
      </w:r>
    </w:p>
    <w:p>
      <w:pPr>
        <w:pStyle w:val="10"/>
        <w:jc w:val="center"/>
        <w:rPr>
          <w:rFonts w:hint="eastAsia"/>
          <w:kern w:val="0"/>
          <w:sz w:val="72"/>
          <w:szCs w:val="72"/>
          <w:lang w:eastAsia="zh-CN"/>
        </w:rPr>
      </w:pPr>
      <w:r>
        <w:rPr>
          <w:rFonts w:hint="eastAsia"/>
          <w:kern w:val="0"/>
          <w:sz w:val="72"/>
          <w:szCs w:val="72"/>
          <w:lang w:eastAsia="zh-CN"/>
        </w:rPr>
        <w:t>（见附件）</w:t>
      </w:r>
    </w:p>
    <w:p>
      <w:pPr>
        <w:keepNext w:val="0"/>
        <w:keepLines w:val="0"/>
        <w:pageBreakBefore w:val="0"/>
        <w:kinsoku/>
        <w:wordWrap/>
        <w:overflowPunct/>
        <w:topLinePunct w:val="0"/>
        <w:bidi w:val="0"/>
        <w:snapToGrid/>
        <w:spacing w:line="240" w:lineRule="auto"/>
        <w:jc w:val="center"/>
        <w:textAlignment w:val="auto"/>
        <w:rPr>
          <w:rFonts w:hint="eastAsia" w:ascii="仿宋" w:hAnsi="仿宋" w:eastAsia="仿宋" w:cs="仿宋"/>
          <w:b w:val="0"/>
          <w:bCs w:val="0"/>
          <w:color w:val="auto"/>
          <w:sz w:val="32"/>
          <w:szCs w:val="32"/>
        </w:rPr>
      </w:pPr>
    </w:p>
    <w:p>
      <w:pPr>
        <w:keepNext w:val="0"/>
        <w:keepLines w:val="0"/>
        <w:pageBreakBefore w:val="0"/>
        <w:kinsoku/>
        <w:wordWrap/>
        <w:overflowPunct/>
        <w:topLinePunct w:val="0"/>
        <w:bidi w:val="0"/>
        <w:snapToGrid/>
        <w:spacing w:line="240" w:lineRule="auto"/>
        <w:jc w:val="center"/>
        <w:textAlignment w:val="auto"/>
        <w:rPr>
          <w:rFonts w:hint="eastAsia" w:ascii="仿宋" w:hAnsi="仿宋" w:eastAsia="仿宋" w:cs="仿宋"/>
          <w:b w:val="0"/>
          <w:bCs w:val="0"/>
          <w:color w:val="auto"/>
          <w:sz w:val="32"/>
          <w:szCs w:val="32"/>
        </w:rPr>
      </w:pPr>
    </w:p>
    <w:p>
      <w:pPr>
        <w:keepNext w:val="0"/>
        <w:keepLines w:val="0"/>
        <w:pageBreakBefore w:val="0"/>
        <w:kinsoku/>
        <w:wordWrap/>
        <w:overflowPunct/>
        <w:topLinePunct w:val="0"/>
        <w:bidi w:val="0"/>
        <w:snapToGrid/>
        <w:spacing w:line="240" w:lineRule="auto"/>
        <w:jc w:val="center"/>
        <w:textAlignment w:val="auto"/>
        <w:rPr>
          <w:rFonts w:hint="eastAsia" w:ascii="仿宋" w:hAnsi="仿宋" w:eastAsia="仿宋" w:cs="仿宋"/>
          <w:b w:val="0"/>
          <w:bCs w:val="0"/>
          <w:color w:val="auto"/>
          <w:sz w:val="32"/>
          <w:szCs w:val="32"/>
        </w:rPr>
      </w:pPr>
    </w:p>
    <w:p>
      <w:pPr>
        <w:keepNext w:val="0"/>
        <w:keepLines w:val="0"/>
        <w:pageBreakBefore w:val="0"/>
        <w:kinsoku/>
        <w:wordWrap/>
        <w:overflowPunct/>
        <w:topLinePunct w:val="0"/>
        <w:bidi w:val="0"/>
        <w:snapToGrid/>
        <w:spacing w:line="240" w:lineRule="auto"/>
        <w:jc w:val="left"/>
        <w:textAlignment w:val="auto"/>
        <w:rPr>
          <w:rFonts w:hint="eastAsia" w:ascii="仿宋" w:hAnsi="仿宋" w:eastAsia="仿宋" w:cs="仿宋"/>
          <w:b w:val="0"/>
          <w:bCs w:val="0"/>
          <w:color w:val="auto"/>
          <w:sz w:val="32"/>
          <w:szCs w:val="32"/>
        </w:rPr>
        <w:sectPr>
          <w:pgSz w:w="11906" w:h="16838"/>
          <w:pgMar w:top="2098" w:right="1531" w:bottom="1984" w:left="1531" w:header="851" w:footer="992" w:gutter="0"/>
          <w:cols w:space="425" w:num="1"/>
          <w:docGrid w:type="lines" w:linePitch="312" w:charSpace="0"/>
        </w:sectPr>
      </w:pP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第三部分</w:t>
      </w: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2021年度部门决算情况说明</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p>
    <w:p>
      <w:pPr>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br w:type="page"/>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一、收入支出决算总体情况说明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2021年度收、支总计</w:t>
      </w:r>
      <w:r>
        <w:rPr>
          <w:rFonts w:hint="eastAsia" w:ascii="仿宋_GB2312" w:hAnsi="仿宋_GB2312" w:eastAsia="仿宋_GB2312" w:cs="仿宋_GB2312"/>
          <w:b w:val="0"/>
          <w:bCs w:val="0"/>
          <w:color w:val="auto"/>
          <w:sz w:val="32"/>
          <w:szCs w:val="32"/>
          <w:lang w:val="en-US" w:eastAsia="zh-CN"/>
        </w:rPr>
        <w:t>460.56</w:t>
      </w:r>
      <w:r>
        <w:rPr>
          <w:rFonts w:hint="eastAsia" w:ascii="仿宋_GB2312" w:hAnsi="仿宋_GB2312" w:eastAsia="仿宋_GB2312" w:cs="仿宋_GB2312"/>
          <w:b w:val="0"/>
          <w:bCs w:val="0"/>
          <w:color w:val="auto"/>
          <w:sz w:val="32"/>
          <w:szCs w:val="32"/>
        </w:rPr>
        <w:t>万元。与上年相比，减少</w:t>
      </w:r>
      <w:r>
        <w:rPr>
          <w:rFonts w:hint="eastAsia" w:ascii="仿宋_GB2312" w:hAnsi="仿宋_GB2312" w:eastAsia="仿宋_GB2312" w:cs="仿宋_GB2312"/>
          <w:b w:val="0"/>
          <w:bCs w:val="0"/>
          <w:color w:val="auto"/>
          <w:sz w:val="32"/>
          <w:szCs w:val="32"/>
          <w:lang w:val="en-US" w:eastAsia="zh-CN"/>
        </w:rPr>
        <w:t>170.76</w:t>
      </w:r>
      <w:r>
        <w:rPr>
          <w:rFonts w:hint="eastAsia" w:ascii="仿宋_GB2312" w:hAnsi="仿宋_GB2312" w:eastAsia="仿宋_GB2312" w:cs="仿宋_GB2312"/>
          <w:b w:val="0"/>
          <w:bCs w:val="0"/>
          <w:color w:val="auto"/>
          <w:sz w:val="32"/>
          <w:szCs w:val="32"/>
        </w:rPr>
        <w:t>万元，减少</w:t>
      </w:r>
      <w:r>
        <w:rPr>
          <w:rFonts w:hint="eastAsia" w:ascii="仿宋_GB2312" w:hAnsi="仿宋_GB2312" w:eastAsia="仿宋_GB2312" w:cs="仿宋_GB2312"/>
          <w:b w:val="0"/>
          <w:bCs w:val="0"/>
          <w:color w:val="auto"/>
          <w:sz w:val="32"/>
          <w:szCs w:val="32"/>
          <w:lang w:val="en-US" w:eastAsia="zh-CN"/>
        </w:rPr>
        <w:t>27.05</w:t>
      </w:r>
      <w:r>
        <w:rPr>
          <w:rFonts w:hint="eastAsia" w:ascii="仿宋_GB2312" w:hAnsi="仿宋_GB2312" w:eastAsia="仿宋_GB2312" w:cs="仿宋_GB2312"/>
          <w:b w:val="0"/>
          <w:bCs w:val="0"/>
          <w:color w:val="auto"/>
          <w:sz w:val="32"/>
          <w:szCs w:val="32"/>
        </w:rPr>
        <w:t>%，主要是因为</w:t>
      </w:r>
      <w:r>
        <w:rPr>
          <w:rFonts w:hint="eastAsia" w:ascii="仿宋_GB2312" w:hAnsi="仿宋_GB2312" w:eastAsia="仿宋_GB2312" w:cs="仿宋_GB2312"/>
          <w:b w:val="0"/>
          <w:bCs w:val="0"/>
          <w:color w:val="auto"/>
          <w:sz w:val="32"/>
          <w:szCs w:val="32"/>
          <w:lang w:eastAsia="zh-CN"/>
        </w:rPr>
        <w:t>人员调出、退休、死亡减少</w:t>
      </w:r>
      <w:r>
        <w:rPr>
          <w:rFonts w:hint="eastAsia" w:ascii="仿宋_GB2312" w:hAnsi="仿宋_GB2312" w:eastAsia="仿宋_GB2312" w:cs="仿宋_GB2312"/>
          <w:b w:val="0"/>
          <w:bCs w:val="0"/>
          <w:color w:val="auto"/>
          <w:sz w:val="32"/>
          <w:szCs w:val="32"/>
          <w:lang w:val="en-US" w:eastAsia="zh-CN"/>
        </w:rPr>
        <w:t>4人，致人员经费减少。另外，惠民殡葬奖补标准降低，致财政奖补资金减少。</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二、收入决算情况说明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2021年度收入合计</w:t>
      </w:r>
      <w:r>
        <w:rPr>
          <w:rFonts w:hint="eastAsia" w:ascii="仿宋_GB2312" w:hAnsi="仿宋_GB2312" w:eastAsia="仿宋_GB2312" w:cs="仿宋_GB2312"/>
          <w:b w:val="0"/>
          <w:bCs w:val="0"/>
          <w:color w:val="auto"/>
          <w:sz w:val="32"/>
          <w:szCs w:val="32"/>
          <w:lang w:val="en-US" w:eastAsia="zh-CN"/>
        </w:rPr>
        <w:t>449.58</w:t>
      </w:r>
      <w:r>
        <w:rPr>
          <w:rFonts w:hint="eastAsia" w:ascii="仿宋_GB2312" w:hAnsi="仿宋_GB2312" w:eastAsia="仿宋_GB2312" w:cs="仿宋_GB2312"/>
          <w:b w:val="0"/>
          <w:bCs w:val="0"/>
          <w:color w:val="auto"/>
          <w:sz w:val="32"/>
          <w:szCs w:val="32"/>
        </w:rPr>
        <w:t>万元，其中：财政拨款收入</w:t>
      </w:r>
      <w:r>
        <w:rPr>
          <w:rFonts w:hint="eastAsia" w:ascii="仿宋_GB2312" w:hAnsi="仿宋_GB2312" w:eastAsia="仿宋_GB2312" w:cs="仿宋_GB2312"/>
          <w:b w:val="0"/>
          <w:bCs w:val="0"/>
          <w:color w:val="auto"/>
          <w:sz w:val="32"/>
          <w:szCs w:val="32"/>
          <w:lang w:val="en-US" w:eastAsia="zh-CN"/>
        </w:rPr>
        <w:t>448.12</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99.68</w:t>
      </w:r>
      <w:r>
        <w:rPr>
          <w:rFonts w:hint="eastAsia" w:ascii="仿宋_GB2312" w:hAnsi="仿宋_GB2312" w:eastAsia="仿宋_GB2312" w:cs="仿宋_GB2312"/>
          <w:b w:val="0"/>
          <w:bCs w:val="0"/>
          <w:color w:val="auto"/>
          <w:sz w:val="32"/>
          <w:szCs w:val="32"/>
        </w:rPr>
        <w:t>%；上级补助收入</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%；事业收入</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%；经营收入</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%；附属单位上缴收入</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%；其他收入</w:t>
      </w:r>
      <w:r>
        <w:rPr>
          <w:rFonts w:hint="eastAsia" w:ascii="仿宋_GB2312" w:hAnsi="仿宋_GB2312" w:eastAsia="仿宋_GB2312" w:cs="仿宋_GB2312"/>
          <w:b w:val="0"/>
          <w:bCs w:val="0"/>
          <w:color w:val="auto"/>
          <w:sz w:val="32"/>
          <w:szCs w:val="32"/>
          <w:lang w:val="en-US" w:eastAsia="zh-CN"/>
        </w:rPr>
        <w:t>1.46</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0.32</w:t>
      </w:r>
      <w:r>
        <w:rPr>
          <w:rFonts w:hint="eastAsia" w:ascii="仿宋_GB2312" w:hAnsi="仿宋_GB2312" w:eastAsia="仿宋_GB2312" w:cs="仿宋_GB2312"/>
          <w:b w:val="0"/>
          <w:bCs w:val="0"/>
          <w:color w:val="auto"/>
          <w:sz w:val="32"/>
          <w:szCs w:val="32"/>
        </w:rPr>
        <w:t>%。</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三、支出决算情况说明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2021年度支出合计</w:t>
      </w:r>
      <w:r>
        <w:rPr>
          <w:rFonts w:hint="eastAsia" w:ascii="仿宋_GB2312" w:hAnsi="仿宋_GB2312" w:eastAsia="仿宋_GB2312" w:cs="仿宋_GB2312"/>
          <w:b w:val="0"/>
          <w:bCs w:val="0"/>
          <w:color w:val="auto"/>
          <w:sz w:val="32"/>
          <w:szCs w:val="32"/>
          <w:lang w:val="en-US" w:eastAsia="zh-CN"/>
        </w:rPr>
        <w:t>460.55</w:t>
      </w:r>
      <w:r>
        <w:rPr>
          <w:rFonts w:hint="eastAsia" w:ascii="仿宋_GB2312" w:hAnsi="仿宋_GB2312" w:eastAsia="仿宋_GB2312" w:cs="仿宋_GB2312"/>
          <w:b w:val="0"/>
          <w:bCs w:val="0"/>
          <w:color w:val="auto"/>
          <w:sz w:val="32"/>
          <w:szCs w:val="32"/>
        </w:rPr>
        <w:t>万元，其中：基本支出</w:t>
      </w:r>
      <w:r>
        <w:rPr>
          <w:rFonts w:hint="eastAsia" w:ascii="仿宋_GB2312" w:hAnsi="仿宋_GB2312" w:eastAsia="仿宋_GB2312" w:cs="仿宋_GB2312"/>
          <w:b w:val="0"/>
          <w:bCs w:val="0"/>
          <w:color w:val="auto"/>
          <w:sz w:val="32"/>
          <w:szCs w:val="32"/>
          <w:lang w:val="en-US" w:eastAsia="zh-CN"/>
        </w:rPr>
        <w:t>344.94</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74.90</w:t>
      </w:r>
      <w:r>
        <w:rPr>
          <w:rFonts w:hint="eastAsia" w:ascii="仿宋_GB2312" w:hAnsi="仿宋_GB2312" w:eastAsia="仿宋_GB2312" w:cs="仿宋_GB2312"/>
          <w:b w:val="0"/>
          <w:bCs w:val="0"/>
          <w:color w:val="auto"/>
          <w:sz w:val="32"/>
          <w:szCs w:val="32"/>
        </w:rPr>
        <w:t>%；项目支出</w:t>
      </w:r>
      <w:r>
        <w:rPr>
          <w:rFonts w:hint="eastAsia" w:ascii="仿宋_GB2312" w:hAnsi="仿宋_GB2312" w:eastAsia="仿宋_GB2312" w:cs="仿宋_GB2312"/>
          <w:b w:val="0"/>
          <w:bCs w:val="0"/>
          <w:color w:val="auto"/>
          <w:sz w:val="32"/>
          <w:szCs w:val="32"/>
          <w:lang w:val="en-US" w:eastAsia="zh-CN"/>
        </w:rPr>
        <w:t>115.61</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25.10</w:t>
      </w:r>
      <w:r>
        <w:rPr>
          <w:rFonts w:hint="eastAsia" w:ascii="仿宋_GB2312" w:hAnsi="仿宋_GB2312" w:eastAsia="仿宋_GB2312" w:cs="仿宋_GB2312"/>
          <w:b w:val="0"/>
          <w:bCs w:val="0"/>
          <w:color w:val="auto"/>
          <w:sz w:val="32"/>
          <w:szCs w:val="32"/>
        </w:rPr>
        <w:t>%；上缴上级支出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%；经营支出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%；对附属单位补助支出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四、财政拨款收入支出决算总体情况说明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2021年度财政拨款收、支总计</w:t>
      </w:r>
      <w:r>
        <w:rPr>
          <w:rFonts w:hint="eastAsia" w:ascii="仿宋_GB2312" w:hAnsi="仿宋_GB2312" w:eastAsia="仿宋_GB2312" w:cs="仿宋_GB2312"/>
          <w:b w:val="0"/>
          <w:bCs w:val="0"/>
          <w:color w:val="auto"/>
          <w:sz w:val="32"/>
          <w:szCs w:val="32"/>
          <w:lang w:val="en-US" w:eastAsia="zh-CN"/>
        </w:rPr>
        <w:t>459.10</w:t>
      </w:r>
      <w:r>
        <w:rPr>
          <w:rFonts w:hint="eastAsia" w:ascii="仿宋_GB2312" w:hAnsi="仿宋_GB2312" w:eastAsia="仿宋_GB2312" w:cs="仿宋_GB2312"/>
          <w:b w:val="0"/>
          <w:bCs w:val="0"/>
          <w:color w:val="auto"/>
          <w:sz w:val="32"/>
          <w:szCs w:val="32"/>
        </w:rPr>
        <w:t>万元，与上年相比，减少</w:t>
      </w:r>
      <w:r>
        <w:rPr>
          <w:rFonts w:hint="eastAsia" w:ascii="仿宋_GB2312" w:hAnsi="仿宋_GB2312" w:eastAsia="仿宋_GB2312" w:cs="仿宋_GB2312"/>
          <w:b w:val="0"/>
          <w:bCs w:val="0"/>
          <w:color w:val="auto"/>
          <w:sz w:val="32"/>
          <w:szCs w:val="32"/>
          <w:lang w:val="en-US" w:eastAsia="zh-CN"/>
        </w:rPr>
        <w:t>170.22</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减少</w:t>
      </w:r>
      <w:r>
        <w:rPr>
          <w:rFonts w:hint="eastAsia" w:ascii="仿宋_GB2312" w:hAnsi="仿宋_GB2312" w:eastAsia="仿宋_GB2312" w:cs="仿宋_GB2312"/>
          <w:b w:val="0"/>
          <w:bCs w:val="0"/>
          <w:color w:val="auto"/>
          <w:sz w:val="32"/>
          <w:szCs w:val="32"/>
          <w:lang w:val="en-US" w:eastAsia="zh-CN"/>
        </w:rPr>
        <w:t>27.05</w:t>
      </w:r>
      <w:r>
        <w:rPr>
          <w:rFonts w:hint="eastAsia" w:ascii="仿宋_GB2312" w:hAnsi="仿宋_GB2312" w:eastAsia="仿宋_GB2312" w:cs="仿宋_GB2312"/>
          <w:b w:val="0"/>
          <w:bCs w:val="0"/>
          <w:color w:val="auto"/>
          <w:sz w:val="32"/>
          <w:szCs w:val="32"/>
        </w:rPr>
        <w:t>%，主要是</w:t>
      </w:r>
      <w:r>
        <w:rPr>
          <w:rFonts w:hint="eastAsia" w:ascii="仿宋_GB2312" w:hAnsi="仿宋_GB2312" w:eastAsia="仿宋_GB2312" w:cs="仿宋_GB2312"/>
          <w:b w:val="0"/>
          <w:bCs w:val="0"/>
          <w:color w:val="auto"/>
          <w:sz w:val="32"/>
          <w:szCs w:val="32"/>
          <w:lang w:eastAsia="zh-CN"/>
        </w:rPr>
        <w:t>因为人员调出、退休、死亡减少</w:t>
      </w:r>
      <w:r>
        <w:rPr>
          <w:rFonts w:hint="eastAsia" w:ascii="仿宋_GB2312" w:hAnsi="仿宋_GB2312" w:eastAsia="仿宋_GB2312" w:cs="仿宋_GB2312"/>
          <w:b w:val="0"/>
          <w:bCs w:val="0"/>
          <w:color w:val="auto"/>
          <w:sz w:val="32"/>
          <w:szCs w:val="32"/>
          <w:lang w:val="en-US" w:eastAsia="zh-CN"/>
        </w:rPr>
        <w:t>4人，致人员经费减少。另外，惠民殡葬奖补标准降低，致财政奖补资金减少。</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五、一般公共预算财政拨款支出决算情况说明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（一）财政拨款支出决算总体情况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2021年度财政拨款支出</w:t>
      </w:r>
      <w:r>
        <w:rPr>
          <w:rFonts w:hint="eastAsia" w:ascii="仿宋_GB2312" w:hAnsi="仿宋_GB2312" w:eastAsia="仿宋_GB2312" w:cs="仿宋_GB2312"/>
          <w:b w:val="0"/>
          <w:bCs w:val="0"/>
          <w:color w:val="auto"/>
          <w:sz w:val="32"/>
          <w:szCs w:val="32"/>
          <w:lang w:val="en-US" w:eastAsia="zh-CN"/>
        </w:rPr>
        <w:t>459.10</w:t>
      </w:r>
      <w:r>
        <w:rPr>
          <w:rFonts w:hint="eastAsia" w:ascii="仿宋_GB2312" w:hAnsi="仿宋_GB2312" w:eastAsia="仿宋_GB2312" w:cs="仿宋_GB2312"/>
          <w:b w:val="0"/>
          <w:bCs w:val="0"/>
          <w:color w:val="auto"/>
          <w:sz w:val="32"/>
          <w:szCs w:val="32"/>
        </w:rPr>
        <w:t>万元，占本年支出合计的</w:t>
      </w:r>
      <w:r>
        <w:rPr>
          <w:rFonts w:hint="eastAsia" w:ascii="仿宋_GB2312" w:hAnsi="仿宋_GB2312" w:eastAsia="仿宋_GB2312" w:cs="仿宋_GB2312"/>
          <w:b w:val="0"/>
          <w:bCs w:val="0"/>
          <w:color w:val="auto"/>
          <w:sz w:val="32"/>
          <w:szCs w:val="32"/>
          <w:lang w:val="en-US" w:eastAsia="zh-CN"/>
        </w:rPr>
        <w:t>99.68</w:t>
      </w:r>
      <w:r>
        <w:rPr>
          <w:rFonts w:hint="eastAsia" w:ascii="仿宋_GB2312" w:hAnsi="仿宋_GB2312" w:eastAsia="仿宋_GB2312" w:cs="仿宋_GB2312"/>
          <w:b w:val="0"/>
          <w:bCs w:val="0"/>
          <w:color w:val="auto"/>
          <w:sz w:val="32"/>
          <w:szCs w:val="32"/>
        </w:rPr>
        <w:t>%，与上年相比，财政拨款支出减少</w:t>
      </w:r>
      <w:r>
        <w:rPr>
          <w:rFonts w:hint="eastAsia" w:ascii="仿宋_GB2312" w:hAnsi="仿宋_GB2312" w:eastAsia="仿宋_GB2312" w:cs="仿宋_GB2312"/>
          <w:b w:val="0"/>
          <w:bCs w:val="0"/>
          <w:color w:val="auto"/>
          <w:sz w:val="32"/>
          <w:szCs w:val="32"/>
          <w:lang w:val="en-US" w:eastAsia="zh-CN"/>
        </w:rPr>
        <w:t>49.63</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减少</w:t>
      </w:r>
      <w:r>
        <w:rPr>
          <w:rFonts w:hint="eastAsia" w:ascii="仿宋_GB2312" w:hAnsi="仿宋_GB2312" w:eastAsia="仿宋_GB2312" w:cs="仿宋_GB2312"/>
          <w:b w:val="0"/>
          <w:bCs w:val="0"/>
          <w:color w:val="auto"/>
          <w:sz w:val="32"/>
          <w:szCs w:val="32"/>
          <w:lang w:val="en-US" w:eastAsia="zh-CN"/>
        </w:rPr>
        <w:t>9.75</w:t>
      </w:r>
      <w:r>
        <w:rPr>
          <w:rFonts w:hint="eastAsia" w:ascii="仿宋_GB2312" w:hAnsi="仿宋_GB2312" w:eastAsia="仿宋_GB2312" w:cs="仿宋_GB2312"/>
          <w:b w:val="0"/>
          <w:bCs w:val="0"/>
          <w:color w:val="auto"/>
          <w:sz w:val="32"/>
          <w:szCs w:val="32"/>
        </w:rPr>
        <w:t>%，主要是因为</w:t>
      </w:r>
      <w:r>
        <w:rPr>
          <w:rFonts w:hint="eastAsia" w:ascii="仿宋_GB2312" w:hAnsi="仿宋_GB2312" w:eastAsia="仿宋_GB2312" w:cs="仿宋_GB2312"/>
          <w:b w:val="0"/>
          <w:bCs w:val="0"/>
          <w:color w:val="auto"/>
          <w:sz w:val="32"/>
          <w:szCs w:val="32"/>
          <w:lang w:eastAsia="zh-CN"/>
        </w:rPr>
        <w:t>人员调出、退休、死亡减少</w:t>
      </w:r>
      <w:r>
        <w:rPr>
          <w:rFonts w:hint="eastAsia" w:ascii="仿宋_GB2312" w:hAnsi="仿宋_GB2312" w:eastAsia="仿宋_GB2312" w:cs="仿宋_GB2312"/>
          <w:b w:val="0"/>
          <w:bCs w:val="0"/>
          <w:color w:val="auto"/>
          <w:sz w:val="32"/>
          <w:szCs w:val="32"/>
          <w:lang w:val="en-US" w:eastAsia="zh-CN"/>
        </w:rPr>
        <w:t>4人，致人员经费减少。另外，惠民殡葬奖补标准降低，致财政奖补资金减少。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（二）财政拨款支出决算结构情况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2021年度财政拨款支出</w:t>
      </w:r>
      <w:r>
        <w:rPr>
          <w:rFonts w:hint="eastAsia" w:ascii="仿宋_GB2312" w:hAnsi="仿宋_GB2312" w:eastAsia="仿宋_GB2312" w:cs="仿宋_GB2312"/>
          <w:b w:val="0"/>
          <w:bCs w:val="0"/>
          <w:color w:val="auto"/>
          <w:sz w:val="32"/>
          <w:szCs w:val="32"/>
          <w:lang w:val="en-US" w:eastAsia="zh-CN"/>
        </w:rPr>
        <w:t>459.10</w:t>
      </w:r>
      <w:r>
        <w:rPr>
          <w:rFonts w:hint="eastAsia" w:ascii="仿宋_GB2312" w:hAnsi="仿宋_GB2312" w:eastAsia="仿宋_GB2312" w:cs="仿宋_GB2312"/>
          <w:b w:val="0"/>
          <w:bCs w:val="0"/>
          <w:color w:val="auto"/>
          <w:sz w:val="32"/>
          <w:szCs w:val="32"/>
        </w:rPr>
        <w:t>万元，主要用于以下方面：</w:t>
      </w:r>
      <w:r>
        <w:rPr>
          <w:rFonts w:hint="eastAsia" w:ascii="仿宋_GB2312" w:hAnsi="仿宋_GB2312" w:eastAsia="仿宋_GB2312" w:cs="仿宋_GB2312"/>
          <w:b w:val="0"/>
          <w:bCs w:val="0"/>
          <w:color w:val="auto"/>
          <w:sz w:val="32"/>
          <w:szCs w:val="32"/>
          <w:lang w:eastAsia="zh-CN"/>
        </w:rPr>
        <w:t>社会保障和就业（类）支出</w:t>
      </w:r>
      <w:r>
        <w:rPr>
          <w:rFonts w:hint="eastAsia" w:ascii="仿宋_GB2312" w:hAnsi="仿宋_GB2312" w:eastAsia="仿宋_GB2312" w:cs="仿宋_GB2312"/>
          <w:b w:val="0"/>
          <w:bCs w:val="0"/>
          <w:color w:val="auto"/>
          <w:sz w:val="32"/>
          <w:szCs w:val="32"/>
          <w:lang w:val="en-US" w:eastAsia="zh-CN"/>
        </w:rPr>
        <w:t>439.27万元，占95.68%，卫生健康（类）支出8.84万元，占1.93%，其他支出（类）10.98万元，占2.39%。</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（三）财政拨款支出决算具体情况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2021年度财政拨款支出年初预算数为</w:t>
      </w:r>
      <w:r>
        <w:rPr>
          <w:rFonts w:hint="eastAsia" w:ascii="仿宋_GB2312" w:hAnsi="仿宋_GB2312" w:eastAsia="仿宋_GB2312" w:cs="仿宋_GB2312"/>
          <w:b w:val="0"/>
          <w:bCs w:val="0"/>
          <w:color w:val="auto"/>
          <w:sz w:val="32"/>
          <w:szCs w:val="32"/>
          <w:lang w:val="en-US" w:eastAsia="zh-CN"/>
        </w:rPr>
        <w:t>268.44</w:t>
      </w:r>
      <w:r>
        <w:rPr>
          <w:rFonts w:hint="eastAsia" w:ascii="仿宋_GB2312" w:hAnsi="仿宋_GB2312" w:eastAsia="仿宋_GB2312" w:cs="仿宋_GB2312"/>
          <w:b w:val="0"/>
          <w:bCs w:val="0"/>
          <w:color w:val="auto"/>
          <w:sz w:val="32"/>
          <w:szCs w:val="32"/>
        </w:rPr>
        <w:t>万元，支出决算数为</w:t>
      </w:r>
      <w:r>
        <w:rPr>
          <w:rFonts w:hint="eastAsia" w:ascii="仿宋_GB2312" w:hAnsi="仿宋_GB2312" w:eastAsia="仿宋_GB2312" w:cs="仿宋_GB2312"/>
          <w:b w:val="0"/>
          <w:bCs w:val="0"/>
          <w:color w:val="auto"/>
          <w:sz w:val="32"/>
          <w:szCs w:val="32"/>
          <w:lang w:val="en-US" w:eastAsia="zh-CN"/>
        </w:rPr>
        <w:t>459.10</w:t>
      </w:r>
      <w:r>
        <w:rPr>
          <w:rFonts w:hint="eastAsia" w:ascii="仿宋_GB2312" w:hAnsi="仿宋_GB2312" w:eastAsia="仿宋_GB2312" w:cs="仿宋_GB2312"/>
          <w:b w:val="0"/>
          <w:bCs w:val="0"/>
          <w:color w:val="auto"/>
          <w:sz w:val="32"/>
          <w:szCs w:val="32"/>
        </w:rPr>
        <w:t>万元，完成年初预算的</w:t>
      </w:r>
      <w:r>
        <w:rPr>
          <w:rFonts w:hint="eastAsia" w:ascii="仿宋_GB2312" w:hAnsi="仿宋_GB2312" w:eastAsia="仿宋_GB2312" w:cs="仿宋_GB2312"/>
          <w:b w:val="0"/>
          <w:bCs w:val="0"/>
          <w:color w:val="auto"/>
          <w:sz w:val="32"/>
          <w:szCs w:val="32"/>
          <w:lang w:val="en-US" w:eastAsia="zh-CN"/>
        </w:rPr>
        <w:t>171.03</w:t>
      </w:r>
      <w:r>
        <w:rPr>
          <w:rFonts w:hint="eastAsia" w:ascii="仿宋_GB2312" w:hAnsi="仿宋_GB2312" w:eastAsia="仿宋_GB2312" w:cs="仿宋_GB2312"/>
          <w:b w:val="0"/>
          <w:bCs w:val="0"/>
          <w:color w:val="auto"/>
          <w:sz w:val="32"/>
          <w:szCs w:val="32"/>
        </w:rPr>
        <w:t>%，其中：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社会保障和就业支出（类）行政事业单位养老支出（款）机关事业单位基本养老保险缴费支出（项）年初预算为21.</w:t>
      </w:r>
      <w:r>
        <w:rPr>
          <w:rFonts w:hint="eastAsia" w:ascii="仿宋_GB2312" w:hAnsi="仿宋_GB2312" w:eastAsia="仿宋_GB2312" w:cs="仿宋_GB2312"/>
          <w:b w:val="0"/>
          <w:bCs w:val="0"/>
          <w:color w:val="auto"/>
          <w:sz w:val="32"/>
          <w:szCs w:val="32"/>
          <w:lang w:val="en-US" w:eastAsia="zh-CN"/>
        </w:rPr>
        <w:t>10</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19.18</w:t>
      </w:r>
      <w:r>
        <w:rPr>
          <w:rFonts w:hint="eastAsia" w:ascii="仿宋_GB2312" w:hAnsi="仿宋_GB2312" w:eastAsia="仿宋_GB2312" w:cs="仿宋_GB2312"/>
          <w:b w:val="0"/>
          <w:bCs w:val="0"/>
          <w:color w:val="auto"/>
          <w:sz w:val="32"/>
          <w:szCs w:val="32"/>
        </w:rPr>
        <w:t>万元，完成年初预算的</w:t>
      </w:r>
      <w:r>
        <w:rPr>
          <w:rFonts w:hint="eastAsia" w:ascii="仿宋_GB2312" w:hAnsi="仿宋_GB2312" w:eastAsia="仿宋_GB2312" w:cs="仿宋_GB2312"/>
          <w:b w:val="0"/>
          <w:bCs w:val="0"/>
          <w:color w:val="auto"/>
          <w:sz w:val="32"/>
          <w:szCs w:val="32"/>
          <w:lang w:val="en-US" w:eastAsia="zh-CN"/>
        </w:rPr>
        <w:t>90.90</w:t>
      </w:r>
      <w:r>
        <w:rPr>
          <w:rFonts w:hint="eastAsia" w:ascii="仿宋_GB2312" w:hAnsi="仿宋_GB2312" w:eastAsia="仿宋_GB2312" w:cs="仿宋_GB2312"/>
          <w:b w:val="0"/>
          <w:bCs w:val="0"/>
          <w:color w:val="auto"/>
          <w:sz w:val="32"/>
          <w:szCs w:val="32"/>
        </w:rPr>
        <w:t>%。决算数</w:t>
      </w:r>
      <w:r>
        <w:rPr>
          <w:rFonts w:hint="eastAsia" w:ascii="仿宋_GB2312" w:hAnsi="仿宋_GB2312" w:eastAsia="仿宋_GB2312" w:cs="仿宋_GB2312"/>
          <w:b w:val="0"/>
          <w:bCs w:val="0"/>
          <w:color w:val="auto"/>
          <w:sz w:val="32"/>
          <w:szCs w:val="32"/>
          <w:lang w:eastAsia="zh-CN"/>
        </w:rPr>
        <w:t>小于</w:t>
      </w:r>
      <w:r>
        <w:rPr>
          <w:rFonts w:hint="eastAsia" w:ascii="仿宋_GB2312" w:hAnsi="仿宋_GB2312" w:eastAsia="仿宋_GB2312" w:cs="仿宋_GB2312"/>
          <w:b w:val="0"/>
          <w:bCs w:val="0"/>
          <w:color w:val="auto"/>
          <w:sz w:val="32"/>
          <w:szCs w:val="32"/>
        </w:rPr>
        <w:t>预算数的主要原因是</w:t>
      </w:r>
      <w:r>
        <w:rPr>
          <w:rFonts w:hint="eastAsia" w:ascii="仿宋_GB2312" w:hAnsi="仿宋_GB2312" w:eastAsia="仿宋_GB2312" w:cs="仿宋_GB2312"/>
          <w:b w:val="0"/>
          <w:bCs w:val="0"/>
          <w:color w:val="auto"/>
          <w:sz w:val="32"/>
          <w:szCs w:val="32"/>
          <w:lang w:eastAsia="zh-CN"/>
        </w:rPr>
        <w:t>人员减少</w:t>
      </w:r>
      <w:r>
        <w:rPr>
          <w:rFonts w:hint="eastAsia" w:ascii="仿宋_GB2312" w:hAnsi="仿宋_GB2312" w:eastAsia="仿宋_GB2312" w:cs="仿宋_GB2312"/>
          <w:b w:val="0"/>
          <w:bCs w:val="0"/>
          <w:color w:val="auto"/>
          <w:sz w:val="32"/>
          <w:szCs w:val="32"/>
          <w:lang w:val="en-US" w:eastAsia="zh-CN"/>
        </w:rPr>
        <w:t>4人</w:t>
      </w:r>
      <w:r>
        <w:rPr>
          <w:rFonts w:hint="eastAsia" w:ascii="仿宋_GB2312" w:hAnsi="仿宋_GB2312" w:eastAsia="仿宋_GB2312" w:cs="仿宋_GB2312"/>
          <w:b w:val="0"/>
          <w:bCs w:val="0"/>
          <w:color w:val="auto"/>
          <w:sz w:val="32"/>
          <w:szCs w:val="32"/>
        </w:rPr>
        <w:t>致缴费数</w:t>
      </w:r>
      <w:r>
        <w:rPr>
          <w:rFonts w:hint="eastAsia" w:ascii="仿宋_GB2312" w:hAnsi="仿宋_GB2312" w:eastAsia="仿宋_GB2312" w:cs="仿宋_GB2312"/>
          <w:b w:val="0"/>
          <w:bCs w:val="0"/>
          <w:color w:val="auto"/>
          <w:sz w:val="32"/>
          <w:szCs w:val="32"/>
          <w:lang w:eastAsia="zh-CN"/>
        </w:rPr>
        <w:t>减少</w:t>
      </w:r>
      <w:r>
        <w:rPr>
          <w:rFonts w:hint="eastAsia" w:ascii="仿宋_GB2312" w:hAnsi="仿宋_GB2312" w:eastAsia="仿宋_GB2312" w:cs="仿宋_GB2312"/>
          <w:b w:val="0"/>
          <w:bCs w:val="0"/>
          <w:color w:val="auto"/>
          <w:sz w:val="32"/>
          <w:szCs w:val="32"/>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社会保障和就业支出（类）抚恤（款）其他优抚支出（项）。年初预算为0万元，支出决算为2</w:t>
      </w:r>
      <w:r>
        <w:rPr>
          <w:rFonts w:hint="eastAsia" w:ascii="仿宋_GB2312" w:hAnsi="仿宋_GB2312" w:eastAsia="仿宋_GB2312" w:cs="仿宋_GB2312"/>
          <w:b w:val="0"/>
          <w:bCs w:val="0"/>
          <w:color w:val="auto"/>
          <w:sz w:val="32"/>
          <w:szCs w:val="32"/>
          <w:lang w:val="en-US" w:eastAsia="zh-CN"/>
        </w:rPr>
        <w:t>5.32</w:t>
      </w:r>
      <w:r>
        <w:rPr>
          <w:rFonts w:hint="eastAsia" w:ascii="仿宋_GB2312" w:hAnsi="仿宋_GB2312" w:eastAsia="仿宋_GB2312" w:cs="仿宋_GB2312"/>
          <w:b w:val="0"/>
          <w:bCs w:val="0"/>
          <w:color w:val="auto"/>
          <w:sz w:val="32"/>
          <w:szCs w:val="32"/>
        </w:rPr>
        <w:t>万元，决算数大于预算数的主要原因是年初未进入本单位预算，但已进入财政大预算。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社会保障和就业支出（类）社会福利（款）殡葬（项）。年初预算为</w:t>
      </w:r>
      <w:r>
        <w:rPr>
          <w:rFonts w:hint="eastAsia" w:ascii="仿宋_GB2312" w:hAnsi="仿宋_GB2312" w:eastAsia="仿宋_GB2312" w:cs="仿宋_GB2312"/>
          <w:b w:val="0"/>
          <w:bCs w:val="0"/>
          <w:color w:val="auto"/>
          <w:sz w:val="32"/>
          <w:szCs w:val="32"/>
          <w:lang w:val="en-US" w:eastAsia="zh-CN"/>
        </w:rPr>
        <w:t>235.97</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392.63</w:t>
      </w:r>
      <w:r>
        <w:rPr>
          <w:rFonts w:hint="eastAsia" w:ascii="仿宋_GB2312" w:hAnsi="仿宋_GB2312" w:eastAsia="仿宋_GB2312" w:cs="仿宋_GB2312"/>
          <w:b w:val="0"/>
          <w:bCs w:val="0"/>
          <w:color w:val="auto"/>
          <w:sz w:val="32"/>
          <w:szCs w:val="32"/>
        </w:rPr>
        <w:t>万元，完成年初预算的1</w:t>
      </w:r>
      <w:r>
        <w:rPr>
          <w:rFonts w:hint="eastAsia" w:ascii="仿宋_GB2312" w:hAnsi="仿宋_GB2312" w:eastAsia="仿宋_GB2312" w:cs="仿宋_GB2312"/>
          <w:b w:val="0"/>
          <w:bCs w:val="0"/>
          <w:color w:val="auto"/>
          <w:sz w:val="32"/>
          <w:szCs w:val="32"/>
          <w:lang w:val="en-US" w:eastAsia="zh-CN"/>
        </w:rPr>
        <w:t>66.39</w:t>
      </w:r>
      <w:r>
        <w:rPr>
          <w:rFonts w:hint="eastAsia" w:ascii="仿宋_GB2312" w:hAnsi="仿宋_GB2312" w:eastAsia="仿宋_GB2312" w:cs="仿宋_GB2312"/>
          <w:b w:val="0"/>
          <w:bCs w:val="0"/>
          <w:color w:val="auto"/>
          <w:sz w:val="32"/>
          <w:szCs w:val="32"/>
        </w:rPr>
        <w:t>%。决算数大于预算数的主要原因是</w:t>
      </w:r>
      <w:r>
        <w:rPr>
          <w:rFonts w:hint="eastAsia" w:ascii="仿宋_GB2312" w:hAnsi="仿宋_GB2312" w:eastAsia="仿宋_GB2312" w:cs="仿宋_GB2312"/>
          <w:b w:val="0"/>
          <w:bCs w:val="0"/>
          <w:color w:val="auto"/>
          <w:sz w:val="32"/>
          <w:szCs w:val="32"/>
          <w:lang w:eastAsia="zh-CN"/>
        </w:rPr>
        <w:t>惠民殡葬奖补资金支出增加。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社会保障和就业支出（类）残疾人事业（款）其他残疾人事业支出（项）。年初预算为</w:t>
      </w:r>
      <w:r>
        <w:rPr>
          <w:rFonts w:hint="eastAsia" w:ascii="仿宋_GB2312" w:hAnsi="仿宋_GB2312" w:eastAsia="仿宋_GB2312" w:cs="仿宋_GB2312"/>
          <w:b w:val="0"/>
          <w:bCs w:val="0"/>
          <w:color w:val="auto"/>
          <w:sz w:val="32"/>
          <w:szCs w:val="32"/>
          <w:lang w:val="en-US" w:eastAsia="zh-CN"/>
        </w:rPr>
        <w:t>2.14</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2.14</w:t>
      </w:r>
      <w:r>
        <w:rPr>
          <w:rFonts w:hint="eastAsia" w:ascii="仿宋_GB2312" w:hAnsi="仿宋_GB2312" w:eastAsia="仿宋_GB2312" w:cs="仿宋_GB2312"/>
          <w:b w:val="0"/>
          <w:bCs w:val="0"/>
          <w:color w:val="auto"/>
          <w:sz w:val="32"/>
          <w:szCs w:val="32"/>
        </w:rPr>
        <w:t>万元，完成年初预算的100%。  决算数与预算数一致，我单位严格按预算执行决算。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卫生健康支出（类）行政事业单位医疗（款）事业单位医疗（项）。年初预算为9.</w:t>
      </w:r>
      <w:r>
        <w:rPr>
          <w:rFonts w:hint="eastAsia" w:ascii="仿宋_GB2312" w:hAnsi="仿宋_GB2312" w:eastAsia="仿宋_GB2312" w:cs="仿宋_GB2312"/>
          <w:b w:val="0"/>
          <w:bCs w:val="0"/>
          <w:color w:val="auto"/>
          <w:sz w:val="32"/>
          <w:szCs w:val="32"/>
          <w:lang w:val="en-US" w:eastAsia="zh-CN"/>
        </w:rPr>
        <w:t>23</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8.84</w:t>
      </w:r>
      <w:r>
        <w:rPr>
          <w:rFonts w:hint="eastAsia" w:ascii="仿宋_GB2312" w:hAnsi="仿宋_GB2312" w:eastAsia="仿宋_GB2312" w:cs="仿宋_GB2312"/>
          <w:b w:val="0"/>
          <w:bCs w:val="0"/>
          <w:color w:val="auto"/>
          <w:sz w:val="32"/>
          <w:szCs w:val="32"/>
        </w:rPr>
        <w:t>万元，完成年初预算的</w:t>
      </w:r>
      <w:r>
        <w:rPr>
          <w:rFonts w:hint="eastAsia" w:ascii="仿宋_GB2312" w:hAnsi="仿宋_GB2312" w:eastAsia="仿宋_GB2312" w:cs="仿宋_GB2312"/>
          <w:b w:val="0"/>
          <w:bCs w:val="0"/>
          <w:color w:val="auto"/>
          <w:sz w:val="32"/>
          <w:szCs w:val="32"/>
          <w:lang w:val="en-US" w:eastAsia="zh-CN"/>
        </w:rPr>
        <w:t>95.77</w:t>
      </w:r>
      <w:r>
        <w:rPr>
          <w:rFonts w:hint="eastAsia" w:ascii="仿宋_GB2312" w:hAnsi="仿宋_GB2312" w:eastAsia="仿宋_GB2312" w:cs="仿宋_GB2312"/>
          <w:b w:val="0"/>
          <w:bCs w:val="0"/>
          <w:color w:val="auto"/>
          <w:sz w:val="32"/>
          <w:szCs w:val="32"/>
        </w:rPr>
        <w:t>%。  决算数</w:t>
      </w:r>
      <w:r>
        <w:rPr>
          <w:rFonts w:hint="eastAsia" w:ascii="仿宋_GB2312" w:hAnsi="仿宋_GB2312" w:eastAsia="仿宋_GB2312" w:cs="仿宋_GB2312"/>
          <w:b w:val="0"/>
          <w:bCs w:val="0"/>
          <w:color w:val="auto"/>
          <w:sz w:val="32"/>
          <w:szCs w:val="32"/>
          <w:lang w:eastAsia="zh-CN"/>
        </w:rPr>
        <w:t>小于</w:t>
      </w:r>
      <w:r>
        <w:rPr>
          <w:rFonts w:hint="eastAsia" w:ascii="仿宋_GB2312" w:hAnsi="仿宋_GB2312" w:eastAsia="仿宋_GB2312" w:cs="仿宋_GB2312"/>
          <w:b w:val="0"/>
          <w:bCs w:val="0"/>
          <w:color w:val="auto"/>
          <w:sz w:val="32"/>
          <w:szCs w:val="32"/>
        </w:rPr>
        <w:t>预算数</w:t>
      </w:r>
      <w:r>
        <w:rPr>
          <w:rFonts w:hint="eastAsia" w:ascii="仿宋_GB2312" w:hAnsi="仿宋_GB2312" w:eastAsia="仿宋_GB2312" w:cs="仿宋_GB2312"/>
          <w:b w:val="0"/>
          <w:bCs w:val="0"/>
          <w:color w:val="auto"/>
          <w:sz w:val="32"/>
          <w:szCs w:val="32"/>
          <w:lang w:eastAsia="zh-CN"/>
        </w:rPr>
        <w:t>的主要原因是人员减少</w:t>
      </w:r>
      <w:r>
        <w:rPr>
          <w:rFonts w:hint="eastAsia" w:ascii="仿宋_GB2312" w:hAnsi="仿宋_GB2312" w:eastAsia="仿宋_GB2312" w:cs="仿宋_GB2312"/>
          <w:b w:val="0"/>
          <w:bCs w:val="0"/>
          <w:color w:val="auto"/>
          <w:sz w:val="32"/>
          <w:szCs w:val="32"/>
          <w:lang w:val="en-US" w:eastAsia="zh-CN"/>
        </w:rPr>
        <w:t>4人致缴费数减少。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其他支出(类）其他支出（款）其他支出（项）。年初预算为0万元，支出决算为10.98万元，</w:t>
      </w:r>
      <w:r>
        <w:rPr>
          <w:rFonts w:hint="eastAsia" w:ascii="仿宋_GB2312" w:hAnsi="仿宋_GB2312" w:eastAsia="仿宋_GB2312" w:cs="仿宋_GB2312"/>
          <w:b w:val="0"/>
          <w:bCs w:val="0"/>
          <w:color w:val="auto"/>
          <w:sz w:val="32"/>
          <w:szCs w:val="32"/>
        </w:rPr>
        <w:t>决算数大于预算数的主要原因是年初未进入本单位预算，但已进入财政大预算。</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六、一般公共预算财政拨款基本支出决算情况说明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2021年度财政拨款基本支出</w:t>
      </w:r>
      <w:r>
        <w:rPr>
          <w:rFonts w:hint="eastAsia" w:ascii="仿宋_GB2312" w:hAnsi="仿宋_GB2312" w:eastAsia="仿宋_GB2312" w:cs="仿宋_GB2312"/>
          <w:b w:val="0"/>
          <w:bCs w:val="0"/>
          <w:color w:val="auto"/>
          <w:sz w:val="32"/>
          <w:szCs w:val="32"/>
          <w:lang w:val="en-US" w:eastAsia="zh-CN"/>
        </w:rPr>
        <w:t>343.49</w:t>
      </w:r>
      <w:r>
        <w:rPr>
          <w:rFonts w:hint="eastAsia" w:ascii="仿宋_GB2312" w:hAnsi="仿宋_GB2312" w:eastAsia="仿宋_GB2312" w:cs="仿宋_GB2312"/>
          <w:b w:val="0"/>
          <w:bCs w:val="0"/>
          <w:color w:val="auto"/>
          <w:sz w:val="32"/>
          <w:szCs w:val="32"/>
        </w:rPr>
        <w:t>万元，其中：人员经费</w:t>
      </w:r>
      <w:r>
        <w:rPr>
          <w:rFonts w:hint="eastAsia" w:ascii="仿宋_GB2312" w:hAnsi="仿宋_GB2312" w:eastAsia="仿宋_GB2312" w:cs="仿宋_GB2312"/>
          <w:b w:val="0"/>
          <w:bCs w:val="0"/>
          <w:color w:val="auto"/>
          <w:sz w:val="32"/>
          <w:szCs w:val="32"/>
          <w:lang w:val="en-US" w:eastAsia="zh-CN"/>
        </w:rPr>
        <w:t>294.43</w:t>
      </w:r>
      <w:r>
        <w:rPr>
          <w:rFonts w:hint="eastAsia" w:ascii="仿宋_GB2312" w:hAnsi="仿宋_GB2312" w:eastAsia="仿宋_GB2312" w:cs="仿宋_GB2312"/>
          <w:b w:val="0"/>
          <w:bCs w:val="0"/>
          <w:color w:val="auto"/>
          <w:sz w:val="32"/>
          <w:szCs w:val="32"/>
        </w:rPr>
        <w:t>万元，占基本支出的</w:t>
      </w:r>
      <w:r>
        <w:rPr>
          <w:rFonts w:hint="eastAsia" w:ascii="仿宋_GB2312" w:hAnsi="仿宋_GB2312" w:eastAsia="仿宋_GB2312" w:cs="仿宋_GB2312"/>
          <w:b w:val="0"/>
          <w:bCs w:val="0"/>
          <w:color w:val="auto"/>
          <w:sz w:val="32"/>
          <w:szCs w:val="32"/>
          <w:lang w:val="en-US" w:eastAsia="zh-CN"/>
        </w:rPr>
        <w:t>85.71</w:t>
      </w:r>
      <w:r>
        <w:rPr>
          <w:rFonts w:hint="eastAsia" w:ascii="仿宋_GB2312" w:hAnsi="仿宋_GB2312" w:eastAsia="仿宋_GB2312" w:cs="仿宋_GB2312"/>
          <w:b w:val="0"/>
          <w:bCs w:val="0"/>
          <w:color w:val="auto"/>
          <w:sz w:val="32"/>
          <w:szCs w:val="32"/>
        </w:rPr>
        <w:t>%,主要包括主要包括基本工资、津贴补贴、</w:t>
      </w:r>
      <w:r>
        <w:rPr>
          <w:rFonts w:hint="eastAsia" w:ascii="仿宋_GB2312" w:hAnsi="仿宋_GB2312" w:eastAsia="仿宋_GB2312" w:cs="仿宋_GB2312"/>
          <w:b w:val="0"/>
          <w:bCs w:val="0"/>
          <w:color w:val="auto"/>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仿宋_GB2312" w:hAnsi="仿宋_GB2312" w:eastAsia="仿宋_GB2312" w:cs="仿宋_GB2312"/>
          <w:b w:val="0"/>
          <w:bCs w:val="0"/>
          <w:color w:val="auto"/>
          <w:sz w:val="32"/>
          <w:szCs w:val="32"/>
        </w:rPr>
        <w:t>；公用经费</w:t>
      </w:r>
      <w:r>
        <w:rPr>
          <w:rFonts w:hint="eastAsia" w:ascii="仿宋_GB2312" w:hAnsi="仿宋_GB2312" w:eastAsia="仿宋_GB2312" w:cs="仿宋_GB2312"/>
          <w:b w:val="0"/>
          <w:bCs w:val="0"/>
          <w:color w:val="auto"/>
          <w:sz w:val="32"/>
          <w:szCs w:val="32"/>
          <w:lang w:val="en-US" w:eastAsia="zh-CN"/>
        </w:rPr>
        <w:t>49.07</w:t>
      </w:r>
      <w:r>
        <w:rPr>
          <w:rFonts w:hint="eastAsia" w:ascii="仿宋_GB2312" w:hAnsi="仿宋_GB2312" w:eastAsia="仿宋_GB2312" w:cs="仿宋_GB2312"/>
          <w:b w:val="0"/>
          <w:bCs w:val="0"/>
          <w:color w:val="auto"/>
          <w:sz w:val="32"/>
          <w:szCs w:val="32"/>
        </w:rPr>
        <w:t>万元，占基本支出的</w:t>
      </w:r>
      <w:r>
        <w:rPr>
          <w:rFonts w:hint="eastAsia" w:ascii="仿宋_GB2312" w:hAnsi="仿宋_GB2312" w:eastAsia="仿宋_GB2312" w:cs="仿宋_GB2312"/>
          <w:b w:val="0"/>
          <w:bCs w:val="0"/>
          <w:color w:val="auto"/>
          <w:sz w:val="32"/>
          <w:szCs w:val="32"/>
          <w:lang w:val="en-US" w:eastAsia="zh-CN"/>
        </w:rPr>
        <w:t>14.29</w:t>
      </w:r>
      <w:r>
        <w:rPr>
          <w:rFonts w:hint="eastAsia" w:ascii="仿宋_GB2312" w:hAnsi="仿宋_GB2312" w:eastAsia="仿宋_GB2312" w:cs="仿宋_GB2312"/>
          <w:b w:val="0"/>
          <w:bCs w:val="0"/>
          <w:color w:val="auto"/>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七、一般公共预算财政拨款“三公”经费支出决算情况说明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（一）“三公”经费财政拨款支出决算总体情况说明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2021年度“三公”经费财政拨款支出预算为</w:t>
      </w:r>
      <w:r>
        <w:rPr>
          <w:rFonts w:hint="eastAsia" w:ascii="仿宋_GB2312" w:hAnsi="仿宋_GB2312" w:eastAsia="仿宋_GB2312" w:cs="仿宋_GB2312"/>
          <w:b w:val="0"/>
          <w:bCs w:val="0"/>
          <w:color w:val="auto"/>
          <w:sz w:val="32"/>
          <w:szCs w:val="32"/>
          <w:lang w:val="en-US" w:eastAsia="zh-CN"/>
        </w:rPr>
        <w:t>7.2</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万元，完成预算的</w:t>
      </w:r>
      <w:r>
        <w:rPr>
          <w:rFonts w:hint="eastAsia" w:ascii="仿宋_GB2312" w:hAnsi="仿宋_GB2312" w:eastAsia="仿宋_GB2312" w:cs="仿宋_GB2312"/>
          <w:b w:val="0"/>
          <w:bCs w:val="0"/>
          <w:color w:val="auto"/>
          <w:sz w:val="32"/>
          <w:szCs w:val="32"/>
          <w:lang w:val="en-US" w:eastAsia="zh-CN"/>
        </w:rPr>
        <w:t>56.25</w:t>
      </w:r>
      <w:r>
        <w:rPr>
          <w:rFonts w:hint="eastAsia" w:ascii="仿宋_GB2312" w:hAnsi="仿宋_GB2312" w:eastAsia="仿宋_GB2312" w:cs="仿宋_GB2312"/>
          <w:b w:val="0"/>
          <w:bCs w:val="0"/>
          <w:color w:val="auto"/>
          <w:sz w:val="32"/>
          <w:szCs w:val="32"/>
        </w:rPr>
        <w:t>%，其中：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因公出国（境）费支出预算为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万元，完成预算的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公务接待费支出预算为</w:t>
      </w:r>
      <w:r>
        <w:rPr>
          <w:rFonts w:hint="eastAsia" w:ascii="仿宋_GB2312" w:hAnsi="仿宋_GB2312" w:eastAsia="仿宋_GB2312" w:cs="仿宋_GB2312"/>
          <w:b w:val="0"/>
          <w:bCs w:val="0"/>
          <w:color w:val="auto"/>
          <w:sz w:val="32"/>
          <w:szCs w:val="32"/>
          <w:lang w:val="en-US" w:eastAsia="zh-CN"/>
        </w:rPr>
        <w:t>2.8</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万元，完成预算的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决算数小于预算数的主要原因是认真贯彻落实中央八项规定精神和厉行节约要求，从严控制“三公”经费开支，全年实际支出比预算有所节</w:t>
      </w:r>
      <w:r>
        <w:rPr>
          <w:rFonts w:hint="eastAsia" w:ascii="仿宋_GB2312" w:hAnsi="仿宋_GB2312" w:eastAsia="仿宋_GB2312" w:cs="仿宋_GB2312"/>
          <w:b w:val="0"/>
          <w:bCs w:val="0"/>
          <w:color w:val="auto"/>
          <w:sz w:val="32"/>
          <w:szCs w:val="32"/>
          <w:lang w:eastAsia="zh-CN"/>
        </w:rPr>
        <w:t>约</w:t>
      </w:r>
      <w:r>
        <w:rPr>
          <w:rFonts w:hint="eastAsia" w:ascii="仿宋_GB2312" w:hAnsi="仿宋_GB2312" w:eastAsia="仿宋_GB2312" w:cs="仿宋_GB2312"/>
          <w:b w:val="0"/>
          <w:bCs w:val="0"/>
          <w:color w:val="auto"/>
          <w:sz w:val="32"/>
          <w:szCs w:val="32"/>
        </w:rPr>
        <w:t>，与上年</w:t>
      </w:r>
      <w:r>
        <w:rPr>
          <w:rFonts w:hint="eastAsia" w:ascii="仿宋_GB2312" w:hAnsi="仿宋_GB2312" w:eastAsia="仿宋_GB2312" w:cs="仿宋_GB2312"/>
          <w:b w:val="0"/>
          <w:bCs w:val="0"/>
          <w:color w:val="auto"/>
          <w:sz w:val="32"/>
          <w:szCs w:val="32"/>
          <w:lang w:eastAsia="zh-CN"/>
        </w:rPr>
        <w:t>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公务用车购置费支出预算为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万元，支出决算</w:t>
      </w:r>
      <w:r>
        <w:rPr>
          <w:rFonts w:hint="eastAsia" w:ascii="仿宋_GB2312" w:hAnsi="仿宋_GB2312" w:eastAsia="仿宋_GB2312" w:cs="仿宋_GB2312"/>
          <w:b w:val="0"/>
          <w:bCs w:val="0"/>
          <w:color w:val="auto"/>
          <w:sz w:val="32"/>
          <w:szCs w:val="32"/>
          <w:lang w:eastAsia="zh-CN"/>
        </w:rPr>
        <w:t>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万元，完成预算的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公务用车运行维护费支出预算为</w:t>
      </w:r>
      <w:r>
        <w:rPr>
          <w:rFonts w:hint="eastAsia" w:ascii="仿宋_GB2312" w:hAnsi="仿宋_GB2312" w:eastAsia="仿宋_GB2312" w:cs="仿宋_GB2312"/>
          <w:b w:val="0"/>
          <w:bCs w:val="0"/>
          <w:color w:val="auto"/>
          <w:sz w:val="32"/>
          <w:szCs w:val="32"/>
          <w:lang w:val="en-US" w:eastAsia="zh-CN"/>
        </w:rPr>
        <w:t>4.4</w:t>
      </w:r>
      <w:r>
        <w:rPr>
          <w:rFonts w:hint="eastAsia" w:ascii="仿宋_GB2312" w:hAnsi="仿宋_GB2312" w:eastAsia="仿宋_GB2312" w:cs="仿宋_GB2312"/>
          <w:b w:val="0"/>
          <w:bCs w:val="0"/>
          <w:color w:val="auto"/>
          <w:sz w:val="32"/>
          <w:szCs w:val="32"/>
        </w:rPr>
        <w:t>万元，支出决算为</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万元，完成预算的</w:t>
      </w:r>
      <w:r>
        <w:rPr>
          <w:rFonts w:hint="eastAsia" w:ascii="仿宋_GB2312" w:hAnsi="仿宋_GB2312" w:eastAsia="仿宋_GB2312" w:cs="仿宋_GB2312"/>
          <w:b w:val="0"/>
          <w:bCs w:val="0"/>
          <w:color w:val="auto"/>
          <w:sz w:val="32"/>
          <w:szCs w:val="32"/>
          <w:lang w:val="en-US" w:eastAsia="zh-CN"/>
        </w:rPr>
        <w:t>92.05</w:t>
      </w:r>
      <w:r>
        <w:rPr>
          <w:rFonts w:hint="eastAsia" w:ascii="仿宋_GB2312" w:hAnsi="仿宋_GB2312" w:eastAsia="仿宋_GB2312" w:cs="仿宋_GB2312"/>
          <w:b w:val="0"/>
          <w:bCs w:val="0"/>
          <w:color w:val="auto"/>
          <w:sz w:val="32"/>
          <w:szCs w:val="32"/>
        </w:rPr>
        <w:t>%，决算数小于预算数的主要原因是认真贯彻落实中央八项规定精神和厉行节约要求，从严控制“三公”经费开支，全年实际支出比预算有所节</w:t>
      </w:r>
      <w:r>
        <w:rPr>
          <w:rFonts w:hint="eastAsia" w:ascii="仿宋_GB2312" w:hAnsi="仿宋_GB2312" w:eastAsia="仿宋_GB2312" w:cs="仿宋_GB2312"/>
          <w:b w:val="0"/>
          <w:bCs w:val="0"/>
          <w:color w:val="auto"/>
          <w:sz w:val="32"/>
          <w:szCs w:val="32"/>
          <w:lang w:eastAsia="zh-CN"/>
        </w:rPr>
        <w:t>约</w:t>
      </w:r>
      <w:r>
        <w:rPr>
          <w:rFonts w:hint="eastAsia" w:ascii="仿宋_GB2312" w:hAnsi="仿宋_GB2312" w:eastAsia="仿宋_GB2312" w:cs="仿宋_GB2312"/>
          <w:b w:val="0"/>
          <w:bCs w:val="0"/>
          <w:color w:val="auto"/>
          <w:sz w:val="32"/>
          <w:szCs w:val="32"/>
        </w:rPr>
        <w:t>，与上年相比减少</w:t>
      </w:r>
      <w:r>
        <w:rPr>
          <w:rFonts w:hint="eastAsia" w:ascii="仿宋_GB2312" w:hAnsi="仿宋_GB2312" w:eastAsia="仿宋_GB2312" w:cs="仿宋_GB2312"/>
          <w:b w:val="0"/>
          <w:bCs w:val="0"/>
          <w:color w:val="auto"/>
          <w:sz w:val="32"/>
          <w:szCs w:val="32"/>
          <w:lang w:val="en-US" w:eastAsia="zh-CN"/>
        </w:rPr>
        <w:t>1.22</w:t>
      </w:r>
      <w:r>
        <w:rPr>
          <w:rFonts w:hint="eastAsia" w:ascii="仿宋_GB2312" w:hAnsi="仿宋_GB2312" w:eastAsia="仿宋_GB2312" w:cs="仿宋_GB2312"/>
          <w:b w:val="0"/>
          <w:bCs w:val="0"/>
          <w:color w:val="auto"/>
          <w:sz w:val="32"/>
          <w:szCs w:val="32"/>
        </w:rPr>
        <w:t>万元，减少</w:t>
      </w:r>
      <w:r>
        <w:rPr>
          <w:rFonts w:hint="eastAsia" w:ascii="仿宋_GB2312" w:hAnsi="仿宋_GB2312" w:eastAsia="仿宋_GB2312" w:cs="仿宋_GB2312"/>
          <w:b w:val="0"/>
          <w:bCs w:val="0"/>
          <w:color w:val="auto"/>
          <w:sz w:val="32"/>
          <w:szCs w:val="32"/>
          <w:lang w:val="en-US" w:eastAsia="zh-CN"/>
        </w:rPr>
        <w:t>23.15</w:t>
      </w:r>
      <w:r>
        <w:rPr>
          <w:rFonts w:hint="eastAsia" w:ascii="仿宋_GB2312" w:hAnsi="仿宋_GB2312" w:eastAsia="仿宋_GB2312" w:cs="仿宋_GB2312"/>
          <w:b w:val="0"/>
          <w:bCs w:val="0"/>
          <w:color w:val="auto"/>
          <w:sz w:val="32"/>
          <w:szCs w:val="32"/>
        </w:rPr>
        <w:t>%,减少的主要原因是认真贯彻落实中央八项规定精神和厉行节约要求，从严控制“三公”经费开支，全年实际支出比上年有所压减。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（二）“三公”经费财政拨款支出决算具体情况说明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2021年度“三公”经费财政拨款支出决算中，公务接待费支出决算</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%,因公出国（境）费支出决算</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%,公务用车购置费及运行维护费支出决算</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万元，占</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1、因公出国（境）费支出决算为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万元，全年安排因公出国（境）团组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个，累计</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人次</w:t>
      </w:r>
      <w:r>
        <w:rPr>
          <w:rFonts w:hint="eastAsia" w:ascii="仿宋_GB2312" w:hAnsi="仿宋_GB2312" w:eastAsia="仿宋_GB2312" w:cs="仿宋_GB2312"/>
          <w:b w:val="0"/>
          <w:bCs w:val="0"/>
          <w:color w:val="auto"/>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2、公务接待费支出决算为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万元，全年共接待来访团组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个、来宾</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人次</w:t>
      </w:r>
      <w:r>
        <w:rPr>
          <w:rFonts w:hint="eastAsia" w:ascii="仿宋_GB2312" w:hAnsi="仿宋_GB2312" w:eastAsia="仿宋_GB2312" w:cs="仿宋_GB2312"/>
          <w:b w:val="0"/>
          <w:bCs w:val="0"/>
          <w:color w:val="auto"/>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3、公务用车购置费及运行维护费支出决算为</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万元，其中：公务用车购置费</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万元，更新公务用车</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辆。公务用车运行维护费</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万元，主要是按规定保留的公务用车的燃料费、维修费、过桥过路费、保险费、安全奖励费用等支出，截止2021年12月31日，我单位开支财政拨款的公务用车保有量为</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辆。</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八、政府性基金预算收入支出决算情况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本单位无政府性基金收支</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九、国有资本经营预算财政拨款支出决算情况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本单位无国有资本经营预算财政拨款支出</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十、机关运行经费支出说明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本部门2021年度机关运行经费支出</w:t>
      </w:r>
      <w:r>
        <w:rPr>
          <w:rFonts w:hint="eastAsia" w:ascii="仿宋_GB2312" w:hAnsi="仿宋_GB2312" w:eastAsia="仿宋_GB2312" w:cs="仿宋_GB2312"/>
          <w:b w:val="0"/>
          <w:bCs w:val="0"/>
          <w:color w:val="auto"/>
          <w:sz w:val="32"/>
          <w:szCs w:val="32"/>
          <w:lang w:val="en-US" w:eastAsia="zh-CN"/>
        </w:rPr>
        <w:t>49.07</w:t>
      </w:r>
      <w:r>
        <w:rPr>
          <w:rFonts w:hint="eastAsia" w:ascii="仿宋_GB2312" w:hAnsi="仿宋_GB2312" w:eastAsia="仿宋_GB2312" w:cs="仿宋_GB2312"/>
          <w:b w:val="0"/>
          <w:bCs w:val="0"/>
          <w:color w:val="auto"/>
          <w:sz w:val="32"/>
          <w:szCs w:val="32"/>
        </w:rPr>
        <w:t>万元，比上年决算数减少</w:t>
      </w:r>
      <w:r>
        <w:rPr>
          <w:rFonts w:hint="eastAsia" w:ascii="仿宋_GB2312" w:hAnsi="仿宋_GB2312" w:eastAsia="仿宋_GB2312" w:cs="仿宋_GB2312"/>
          <w:b w:val="0"/>
          <w:bCs w:val="0"/>
          <w:color w:val="auto"/>
          <w:sz w:val="32"/>
          <w:szCs w:val="32"/>
          <w:lang w:val="en-US" w:eastAsia="zh-CN"/>
        </w:rPr>
        <w:t>4.22</w:t>
      </w:r>
      <w:r>
        <w:rPr>
          <w:rFonts w:hint="eastAsia" w:ascii="仿宋_GB2312" w:hAnsi="仿宋_GB2312" w:eastAsia="仿宋_GB2312" w:cs="仿宋_GB2312"/>
          <w:b w:val="0"/>
          <w:bCs w:val="0"/>
          <w:color w:val="auto"/>
          <w:sz w:val="32"/>
          <w:szCs w:val="32"/>
        </w:rPr>
        <w:t>万元，降低</w:t>
      </w:r>
      <w:r>
        <w:rPr>
          <w:rFonts w:hint="eastAsia" w:ascii="仿宋_GB2312" w:hAnsi="仿宋_GB2312" w:eastAsia="仿宋_GB2312" w:cs="仿宋_GB2312"/>
          <w:b w:val="0"/>
          <w:bCs w:val="0"/>
          <w:color w:val="auto"/>
          <w:sz w:val="32"/>
          <w:szCs w:val="32"/>
          <w:lang w:val="en-US" w:eastAsia="zh-CN"/>
        </w:rPr>
        <w:t>7.92</w:t>
      </w:r>
      <w:r>
        <w:rPr>
          <w:rFonts w:hint="eastAsia" w:ascii="仿宋_GB2312" w:hAnsi="仿宋_GB2312" w:eastAsia="仿宋_GB2312" w:cs="仿宋_GB2312"/>
          <w:b w:val="0"/>
          <w:bCs w:val="0"/>
          <w:color w:val="auto"/>
          <w:sz w:val="32"/>
          <w:szCs w:val="32"/>
        </w:rPr>
        <w:t>%。主要原因是：</w:t>
      </w:r>
      <w:r>
        <w:rPr>
          <w:rFonts w:hint="eastAsia" w:ascii="仿宋_GB2312" w:hAnsi="仿宋_GB2312" w:eastAsia="仿宋_GB2312" w:cs="仿宋_GB2312"/>
          <w:b w:val="0"/>
          <w:bCs w:val="0"/>
          <w:color w:val="auto"/>
          <w:sz w:val="32"/>
          <w:szCs w:val="32"/>
          <w:lang w:eastAsia="zh-CN"/>
        </w:rPr>
        <w:t>人员比上年减少</w:t>
      </w:r>
      <w:r>
        <w:rPr>
          <w:rFonts w:hint="eastAsia" w:ascii="仿宋_GB2312" w:hAnsi="仿宋_GB2312" w:eastAsia="仿宋_GB2312" w:cs="仿宋_GB2312"/>
          <w:b w:val="0"/>
          <w:bCs w:val="0"/>
          <w:color w:val="auto"/>
          <w:sz w:val="32"/>
          <w:szCs w:val="32"/>
          <w:lang w:val="en-US" w:eastAsia="zh-CN"/>
        </w:rPr>
        <w:t>4人，致公用经费减少。</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十一、一般性支出情况说明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2021年本部门开支会议费</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万元，用于召开会议，人数</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人，；开支培训费</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万元，用于开展培训，人数</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未</w:t>
      </w:r>
      <w:r>
        <w:rPr>
          <w:rFonts w:hint="eastAsia" w:ascii="仿宋_GB2312" w:hAnsi="仿宋_GB2312" w:eastAsia="仿宋_GB2312" w:cs="仿宋_GB2312"/>
          <w:b w:val="0"/>
          <w:bCs w:val="0"/>
          <w:color w:val="auto"/>
          <w:sz w:val="32"/>
          <w:szCs w:val="32"/>
        </w:rPr>
        <w:t>举办等节庆、晚会、论坛、赛事活动，开支</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十二、政府采购支出说明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rPr>
      </w:pPr>
      <w:r>
        <w:rPr>
          <w:rFonts w:hint="eastAsia" w:ascii="仿宋_GB2312" w:hAnsi="仿宋_GB2312" w:eastAsia="仿宋_GB2312" w:cs="仿宋_GB2312"/>
          <w:b w:val="0"/>
          <w:bCs w:val="0"/>
          <w:color w:val="auto"/>
          <w:sz w:val="32"/>
          <w:szCs w:val="32"/>
        </w:rPr>
        <w:t>本部门2021年度政府采购支出总额</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万元，其中：政府采购货物支出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 xml:space="preserve"> 万元、政府采购工程支出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万元、政府采购服务支出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万元。授予中小企业合同金额</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万元，占政府采购支出总额的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%，其中：授予小微企业合同金额</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万元，占授予中小企业合同金额的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%；货物采购授予中小企业合同金额占货物支出金额的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%，工程采购授予中小企业合同金额占工程支出金额的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%，服务采购授予中小企业合同金额占服务支出金额的</w:t>
      </w:r>
      <w:r>
        <w:rPr>
          <w:rFonts w:hint="eastAsia" w:ascii="仿宋_GB2312" w:hAnsi="仿宋_GB2312" w:eastAsia="仿宋_GB2312" w:cs="仿宋_GB2312"/>
          <w:b w:val="0"/>
          <w:bCs w:val="0"/>
          <w:color w:val="auto"/>
          <w:sz w:val="32"/>
          <w:szCs w:val="32"/>
          <w:lang w:val="en-US" w:eastAsia="zh-CN"/>
        </w:rPr>
        <w:t>0%。</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十三、国有资产占用情况说明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截至2021年12月31日，</w:t>
      </w:r>
      <w:r>
        <w:rPr>
          <w:rFonts w:hint="eastAsia" w:ascii="仿宋_GB2312" w:hAnsi="仿宋_GB2312" w:eastAsia="仿宋_GB2312" w:cs="仿宋_GB2312"/>
          <w:b w:val="0"/>
          <w:bCs w:val="0"/>
          <w:color w:val="auto"/>
          <w:sz w:val="32"/>
          <w:szCs w:val="32"/>
          <w:lang w:eastAsia="zh-CN"/>
        </w:rPr>
        <w:t>岳阳市殡葬执法支队</w:t>
      </w:r>
      <w:r>
        <w:rPr>
          <w:rFonts w:hint="eastAsia" w:ascii="仿宋_GB2312" w:hAnsi="仿宋_GB2312" w:eastAsia="仿宋_GB2312" w:cs="仿宋_GB2312"/>
          <w:b w:val="0"/>
          <w:bCs w:val="0"/>
          <w:color w:val="auto"/>
          <w:sz w:val="32"/>
          <w:szCs w:val="32"/>
        </w:rPr>
        <w:t>共有车辆</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辆，其中，主要领导干部用车</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辆，机要通信用车</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辆、应急保障用车</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辆、执法执勤用车</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辆、特种专业技术用车</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辆、其他用车</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辆；单位价值50万元以上通用设备</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台（套）；单位价值100万元以上专用设备</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台（套）。</w:t>
      </w:r>
    </w:p>
    <w:p>
      <w:pPr>
        <w:pStyle w:val="11"/>
        <w:keepNext w:val="0"/>
        <w:keepLines w:val="0"/>
        <w:pageBreakBefore w:val="0"/>
        <w:numPr>
          <w:ilvl w:val="0"/>
          <w:numId w:val="0"/>
        </w:numPr>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十四、2021年度预算绩效情况说明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（1）绩效管理评价工作开展情况。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根据预算绩效管理要求，我部门组织对2021 年度一般公共预算项目支出全面开展绩效自评，其中，一级项目</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个，二级项目</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个，共涉及资金</w:t>
      </w:r>
      <w:r>
        <w:rPr>
          <w:rFonts w:hint="eastAsia" w:ascii="仿宋_GB2312" w:hAnsi="仿宋_GB2312" w:eastAsia="仿宋_GB2312" w:cs="仿宋_GB2312"/>
          <w:b w:val="0"/>
          <w:bCs w:val="0"/>
          <w:color w:val="auto"/>
          <w:sz w:val="32"/>
          <w:szCs w:val="32"/>
          <w:lang w:val="en-US" w:eastAsia="zh-CN"/>
        </w:rPr>
        <w:t>115.61</w:t>
      </w:r>
      <w:r>
        <w:rPr>
          <w:rFonts w:hint="eastAsia" w:ascii="仿宋_GB2312" w:hAnsi="仿宋_GB2312" w:eastAsia="仿宋_GB2312" w:cs="仿宋_GB2312"/>
          <w:b w:val="0"/>
          <w:bCs w:val="0"/>
          <w:color w:val="auto"/>
          <w:sz w:val="32"/>
          <w:szCs w:val="32"/>
        </w:rPr>
        <w:t>万元，占一般公共预算项目支出总额的</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%。组织对2021年度等</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 xml:space="preserve"> 个政府性基金预算项目支出开展绩效自评，共涉及资金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万元，占政府性基金预算项目支出总额的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%。组织对2021 年度 等</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 xml:space="preserve"> 个国有资本经营预算项目支出开展绩效自评，共涉及资金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万元，占国有资本经营预算项目支出总额的</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组织对</w:t>
      </w:r>
      <w:r>
        <w:rPr>
          <w:rFonts w:hint="eastAsia" w:ascii="仿宋_GB2312" w:hAnsi="仿宋_GB2312" w:eastAsia="仿宋_GB2312" w:cs="仿宋_GB2312"/>
          <w:b w:val="0"/>
          <w:bCs w:val="0"/>
          <w:color w:val="auto"/>
          <w:sz w:val="32"/>
          <w:szCs w:val="32"/>
          <w:lang w:eastAsia="zh-CN"/>
        </w:rPr>
        <w:t>惠民殡葬</w:t>
      </w:r>
      <w:r>
        <w:rPr>
          <w:rFonts w:hint="eastAsia" w:ascii="仿宋_GB2312" w:hAnsi="仿宋_GB2312" w:eastAsia="仿宋_GB2312" w:cs="仿宋_GB2312"/>
          <w:b w:val="0"/>
          <w:bCs w:val="0"/>
          <w:color w:val="auto"/>
          <w:sz w:val="32"/>
          <w:szCs w:val="32"/>
        </w:rPr>
        <w:t>等</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个项目开展了部门评价，涉及一般公共预算支出</w:t>
      </w:r>
      <w:r>
        <w:rPr>
          <w:rFonts w:hint="eastAsia" w:ascii="仿宋_GB2312" w:hAnsi="仿宋_GB2312" w:eastAsia="仿宋_GB2312" w:cs="仿宋_GB2312"/>
          <w:b w:val="0"/>
          <w:bCs w:val="0"/>
          <w:color w:val="auto"/>
          <w:sz w:val="32"/>
          <w:szCs w:val="32"/>
          <w:lang w:val="en-US" w:eastAsia="zh-CN"/>
        </w:rPr>
        <w:t>115.61</w:t>
      </w:r>
      <w:r>
        <w:rPr>
          <w:rFonts w:hint="eastAsia" w:ascii="仿宋_GB2312" w:hAnsi="仿宋_GB2312" w:eastAsia="仿宋_GB2312" w:cs="仿宋_GB2312"/>
          <w:b w:val="0"/>
          <w:bCs w:val="0"/>
          <w:color w:val="auto"/>
          <w:sz w:val="32"/>
          <w:szCs w:val="32"/>
        </w:rPr>
        <w:t>万元，政府性基金预算支出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万元，国有资本经营预算支出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万元。从评价情况来看</w:t>
      </w:r>
      <w:r>
        <w:rPr>
          <w:rFonts w:hint="eastAsia" w:ascii="仿宋_GB2312" w:hAnsi="仿宋_GB2312" w:eastAsia="仿宋_GB2312" w:cs="仿宋_GB2312"/>
          <w:b w:val="0"/>
          <w:bCs w:val="0"/>
          <w:color w:val="auto"/>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中心城区执法巡查已成常态化工作，接警处置率达100%。全年累计巡查</w:t>
      </w:r>
      <w:r>
        <w:rPr>
          <w:rFonts w:hint="eastAsia" w:ascii="仿宋_GB2312" w:hAnsi="仿宋_GB2312" w:eastAsia="仿宋_GB2312" w:cs="仿宋_GB2312"/>
          <w:b w:val="0"/>
          <w:bCs w:val="0"/>
          <w:color w:val="auto"/>
          <w:sz w:val="32"/>
          <w:szCs w:val="32"/>
          <w:lang w:val="en-US" w:eastAsia="zh-CN"/>
        </w:rPr>
        <w:t>2195</w:t>
      </w:r>
      <w:r>
        <w:rPr>
          <w:rFonts w:hint="eastAsia" w:ascii="仿宋_GB2312" w:hAnsi="仿宋_GB2312" w:eastAsia="仿宋_GB2312" w:cs="仿宋_GB2312"/>
          <w:b w:val="0"/>
          <w:bCs w:val="0"/>
          <w:color w:val="auto"/>
          <w:sz w:val="32"/>
          <w:szCs w:val="32"/>
        </w:rPr>
        <w:t>次，</w:t>
      </w:r>
      <w:r>
        <w:rPr>
          <w:rFonts w:hint="eastAsia" w:ascii="仿宋_GB2312" w:hAnsi="仿宋_GB2312" w:eastAsia="仿宋_GB2312" w:cs="仿宋_GB2312"/>
          <w:b w:val="0"/>
          <w:bCs w:val="0"/>
          <w:color w:val="auto"/>
          <w:sz w:val="32"/>
          <w:szCs w:val="32"/>
          <w:lang w:eastAsia="zh-CN"/>
        </w:rPr>
        <w:t>查处</w:t>
      </w:r>
      <w:r>
        <w:rPr>
          <w:rFonts w:hint="eastAsia" w:ascii="仿宋_GB2312" w:hAnsi="仿宋_GB2312" w:eastAsia="仿宋_GB2312" w:cs="仿宋_GB2312"/>
          <w:b w:val="0"/>
          <w:bCs w:val="0"/>
          <w:color w:val="auto"/>
          <w:sz w:val="32"/>
          <w:szCs w:val="32"/>
        </w:rPr>
        <w:t>违规搭棚治丧</w:t>
      </w:r>
      <w:r>
        <w:rPr>
          <w:rFonts w:hint="eastAsia" w:ascii="仿宋_GB2312" w:hAnsi="仿宋_GB2312" w:eastAsia="仿宋_GB2312" w:cs="仿宋_GB2312"/>
          <w:b w:val="0"/>
          <w:bCs w:val="0"/>
          <w:color w:val="auto"/>
          <w:sz w:val="32"/>
          <w:szCs w:val="32"/>
          <w:lang w:eastAsia="zh-CN"/>
        </w:rPr>
        <w:t>行为</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起，劝导、制止丧事扰民行为</w:t>
      </w:r>
      <w:r>
        <w:rPr>
          <w:rFonts w:hint="eastAsia" w:ascii="仿宋_GB2312" w:hAnsi="仿宋_GB2312" w:eastAsia="仿宋_GB2312" w:cs="仿宋_GB2312"/>
          <w:b w:val="0"/>
          <w:bCs w:val="0"/>
          <w:color w:val="auto"/>
          <w:sz w:val="32"/>
          <w:szCs w:val="32"/>
          <w:lang w:val="en-US" w:eastAsia="zh-CN"/>
        </w:rPr>
        <w:t>131</w:t>
      </w:r>
      <w:r>
        <w:rPr>
          <w:rFonts w:hint="eastAsia" w:ascii="仿宋_GB2312" w:hAnsi="仿宋_GB2312" w:eastAsia="仿宋_GB2312" w:cs="仿宋_GB2312"/>
          <w:b w:val="0"/>
          <w:bCs w:val="0"/>
          <w:color w:val="auto"/>
          <w:sz w:val="32"/>
          <w:szCs w:val="32"/>
        </w:rPr>
        <w:t>起。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2.对全市经营性公墓每年进行一次执法检查，对违规超标公墓责令整改并依法处理。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3.惠民殡葬、生态安葬，文明祭扫等执法性督查进一步落实。文明治丧</w:t>
      </w:r>
      <w:r>
        <w:rPr>
          <w:rFonts w:hint="eastAsia" w:ascii="仿宋_GB2312" w:hAnsi="仿宋_GB2312" w:eastAsia="仿宋_GB2312" w:cs="仿宋_GB2312"/>
          <w:b w:val="0"/>
          <w:bCs w:val="0"/>
          <w:color w:val="auto"/>
          <w:sz w:val="32"/>
          <w:szCs w:val="32"/>
          <w:lang w:eastAsia="zh-CN"/>
        </w:rPr>
        <w:t>奖补</w:t>
      </w:r>
      <w:r>
        <w:rPr>
          <w:rFonts w:hint="eastAsia" w:ascii="仿宋_GB2312" w:hAnsi="仿宋_GB2312" w:eastAsia="仿宋_GB2312" w:cs="仿宋_GB2312"/>
          <w:b w:val="0"/>
          <w:bCs w:val="0"/>
          <w:color w:val="auto"/>
          <w:sz w:val="32"/>
          <w:szCs w:val="32"/>
          <w:lang w:val="en-US" w:eastAsia="zh-CN"/>
        </w:rPr>
        <w:t>101</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奖补资金</w:t>
      </w:r>
      <w:r>
        <w:rPr>
          <w:rFonts w:hint="eastAsia" w:ascii="仿宋_GB2312" w:hAnsi="仿宋_GB2312" w:eastAsia="仿宋_GB2312" w:cs="仿宋_GB2312"/>
          <w:b w:val="0"/>
          <w:bCs w:val="0"/>
          <w:color w:val="auto"/>
          <w:sz w:val="32"/>
          <w:szCs w:val="32"/>
          <w:lang w:val="en-US" w:eastAsia="zh-CN"/>
        </w:rPr>
        <w:t>30.5</w:t>
      </w:r>
      <w:r>
        <w:rPr>
          <w:rFonts w:hint="eastAsia" w:ascii="仿宋_GB2312" w:hAnsi="仿宋_GB2312" w:eastAsia="仿宋_GB2312" w:cs="仿宋_GB2312"/>
          <w:b w:val="0"/>
          <w:bCs w:val="0"/>
          <w:color w:val="auto"/>
          <w:sz w:val="32"/>
          <w:szCs w:val="32"/>
        </w:rPr>
        <w:t>万元；集中治丧</w:t>
      </w:r>
      <w:r>
        <w:rPr>
          <w:rFonts w:hint="eastAsia" w:ascii="仿宋_GB2312" w:hAnsi="仿宋_GB2312" w:eastAsia="仿宋_GB2312" w:cs="仿宋_GB2312"/>
          <w:b w:val="0"/>
          <w:bCs w:val="0"/>
          <w:color w:val="auto"/>
          <w:sz w:val="32"/>
          <w:szCs w:val="32"/>
          <w:lang w:eastAsia="zh-CN"/>
        </w:rPr>
        <w:t>奖补</w:t>
      </w:r>
      <w:r>
        <w:rPr>
          <w:rFonts w:hint="eastAsia" w:ascii="仿宋_GB2312" w:hAnsi="仿宋_GB2312" w:eastAsia="仿宋_GB2312" w:cs="仿宋_GB2312"/>
          <w:b w:val="0"/>
          <w:bCs w:val="0"/>
          <w:color w:val="auto"/>
          <w:sz w:val="32"/>
          <w:szCs w:val="32"/>
          <w:lang w:val="en-US" w:eastAsia="zh-CN"/>
        </w:rPr>
        <w:t>135</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奖补资金</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4.对殡葬服务单位违规建设、经营行为进行处理，执法效果好，群众反映佳。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5.对全市殡葬执法工作进行督查，指导查处重大违法殡葬案件。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组织对</w:t>
      </w:r>
      <w:r>
        <w:rPr>
          <w:rFonts w:hint="eastAsia" w:ascii="仿宋_GB2312" w:hAnsi="仿宋_GB2312" w:eastAsia="仿宋_GB2312" w:cs="仿宋_GB2312"/>
          <w:b w:val="0"/>
          <w:bCs w:val="0"/>
          <w:color w:val="auto"/>
          <w:sz w:val="32"/>
          <w:szCs w:val="32"/>
          <w:lang w:eastAsia="zh-CN"/>
        </w:rPr>
        <w:t>殡葬执法支队</w:t>
      </w:r>
      <w:r>
        <w:rPr>
          <w:rFonts w:hint="eastAsia" w:ascii="仿宋_GB2312" w:hAnsi="仿宋_GB2312" w:eastAsia="仿宋_GB2312" w:cs="仿宋_GB2312"/>
          <w:b w:val="0"/>
          <w:bCs w:val="0"/>
          <w:color w:val="auto"/>
          <w:sz w:val="32"/>
          <w:szCs w:val="32"/>
        </w:rPr>
        <w:t>等</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个单位开展整体支出绩效评价，涉及一般公共预算支出</w:t>
      </w:r>
      <w:r>
        <w:rPr>
          <w:rFonts w:hint="eastAsia" w:ascii="仿宋_GB2312" w:hAnsi="仿宋_GB2312" w:eastAsia="仿宋_GB2312" w:cs="仿宋_GB2312"/>
          <w:b w:val="0"/>
          <w:bCs w:val="0"/>
          <w:color w:val="auto"/>
          <w:sz w:val="32"/>
          <w:szCs w:val="32"/>
          <w:lang w:val="en-US" w:eastAsia="zh-CN"/>
        </w:rPr>
        <w:t>115.61</w:t>
      </w:r>
      <w:r>
        <w:rPr>
          <w:rFonts w:hint="eastAsia" w:ascii="仿宋_GB2312" w:hAnsi="仿宋_GB2312" w:eastAsia="仿宋_GB2312" w:cs="仿宋_GB2312"/>
          <w:b w:val="0"/>
          <w:bCs w:val="0"/>
          <w:color w:val="auto"/>
          <w:sz w:val="32"/>
          <w:szCs w:val="32"/>
        </w:rPr>
        <w:t>万元，政府性基金预算支出</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 xml:space="preserve"> 万元。从评价情况来看</w:t>
      </w:r>
      <w:r>
        <w:rPr>
          <w:rFonts w:hint="eastAsia" w:ascii="仿宋_GB2312" w:hAnsi="仿宋_GB2312" w:eastAsia="仿宋_GB2312" w:cs="仿宋_GB2312"/>
          <w:b w:val="0"/>
          <w:bCs w:val="0"/>
          <w:color w:val="auto"/>
          <w:sz w:val="32"/>
          <w:szCs w:val="32"/>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中心城区执法巡查已成常态化工作，接警处置率达100%。全年累计巡查</w:t>
      </w:r>
      <w:r>
        <w:rPr>
          <w:rFonts w:hint="eastAsia" w:ascii="仿宋_GB2312" w:hAnsi="仿宋_GB2312" w:eastAsia="仿宋_GB2312" w:cs="仿宋_GB2312"/>
          <w:b w:val="0"/>
          <w:bCs w:val="0"/>
          <w:color w:val="auto"/>
          <w:sz w:val="32"/>
          <w:szCs w:val="32"/>
          <w:lang w:val="en-US" w:eastAsia="zh-CN"/>
        </w:rPr>
        <w:t>2195</w:t>
      </w:r>
      <w:r>
        <w:rPr>
          <w:rFonts w:hint="eastAsia" w:ascii="仿宋_GB2312" w:hAnsi="仿宋_GB2312" w:eastAsia="仿宋_GB2312" w:cs="仿宋_GB2312"/>
          <w:b w:val="0"/>
          <w:bCs w:val="0"/>
          <w:color w:val="auto"/>
          <w:sz w:val="32"/>
          <w:szCs w:val="32"/>
        </w:rPr>
        <w:t>次，</w:t>
      </w:r>
      <w:r>
        <w:rPr>
          <w:rFonts w:hint="eastAsia" w:ascii="仿宋_GB2312" w:hAnsi="仿宋_GB2312" w:eastAsia="仿宋_GB2312" w:cs="仿宋_GB2312"/>
          <w:b w:val="0"/>
          <w:bCs w:val="0"/>
          <w:color w:val="auto"/>
          <w:sz w:val="32"/>
          <w:szCs w:val="32"/>
          <w:lang w:eastAsia="zh-CN"/>
        </w:rPr>
        <w:t>查处</w:t>
      </w:r>
      <w:r>
        <w:rPr>
          <w:rFonts w:hint="eastAsia" w:ascii="仿宋_GB2312" w:hAnsi="仿宋_GB2312" w:eastAsia="仿宋_GB2312" w:cs="仿宋_GB2312"/>
          <w:b w:val="0"/>
          <w:bCs w:val="0"/>
          <w:color w:val="auto"/>
          <w:sz w:val="32"/>
          <w:szCs w:val="32"/>
        </w:rPr>
        <w:t>违规搭棚治丧</w:t>
      </w:r>
      <w:r>
        <w:rPr>
          <w:rFonts w:hint="eastAsia" w:ascii="仿宋_GB2312" w:hAnsi="仿宋_GB2312" w:eastAsia="仿宋_GB2312" w:cs="仿宋_GB2312"/>
          <w:b w:val="0"/>
          <w:bCs w:val="0"/>
          <w:color w:val="auto"/>
          <w:sz w:val="32"/>
          <w:szCs w:val="32"/>
          <w:lang w:eastAsia="zh-CN"/>
        </w:rPr>
        <w:t>行为</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起，劝导、制止丧事扰民行为1</w:t>
      </w:r>
      <w:r>
        <w:rPr>
          <w:rFonts w:hint="eastAsia" w:ascii="仿宋_GB2312" w:hAnsi="仿宋_GB2312" w:eastAsia="仿宋_GB2312" w:cs="仿宋_GB2312"/>
          <w:b w:val="0"/>
          <w:bCs w:val="0"/>
          <w:color w:val="auto"/>
          <w:sz w:val="32"/>
          <w:szCs w:val="32"/>
          <w:lang w:val="en-US" w:eastAsia="zh-CN"/>
        </w:rPr>
        <w:t>31</w:t>
      </w:r>
      <w:r>
        <w:rPr>
          <w:rFonts w:hint="eastAsia" w:ascii="仿宋_GB2312" w:hAnsi="仿宋_GB2312" w:eastAsia="仿宋_GB2312" w:cs="仿宋_GB2312"/>
          <w:b w:val="0"/>
          <w:bCs w:val="0"/>
          <w:color w:val="auto"/>
          <w:sz w:val="32"/>
          <w:szCs w:val="32"/>
        </w:rPr>
        <w:t>起。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2.对全市经营性公墓每年进行一次执法检查，对违规超标公墓责令整改并依法处理。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3.惠民殡葬、生态安葬，文明祭扫等执法性督查进一步落实。文明治丧</w:t>
      </w:r>
      <w:r>
        <w:rPr>
          <w:rFonts w:hint="eastAsia" w:ascii="仿宋_GB2312" w:hAnsi="仿宋_GB2312" w:eastAsia="仿宋_GB2312" w:cs="仿宋_GB2312"/>
          <w:b w:val="0"/>
          <w:bCs w:val="0"/>
          <w:color w:val="auto"/>
          <w:sz w:val="32"/>
          <w:szCs w:val="32"/>
          <w:lang w:eastAsia="zh-CN"/>
        </w:rPr>
        <w:t>奖补</w:t>
      </w:r>
      <w:r>
        <w:rPr>
          <w:rFonts w:hint="eastAsia" w:ascii="仿宋_GB2312" w:hAnsi="仿宋_GB2312" w:eastAsia="仿宋_GB2312" w:cs="仿宋_GB2312"/>
          <w:b w:val="0"/>
          <w:bCs w:val="0"/>
          <w:color w:val="auto"/>
          <w:sz w:val="32"/>
          <w:szCs w:val="32"/>
          <w:lang w:val="en-US" w:eastAsia="zh-CN"/>
        </w:rPr>
        <w:t>101</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奖补资金</w:t>
      </w:r>
      <w:r>
        <w:rPr>
          <w:rFonts w:hint="eastAsia" w:ascii="仿宋_GB2312" w:hAnsi="仿宋_GB2312" w:eastAsia="仿宋_GB2312" w:cs="仿宋_GB2312"/>
          <w:b w:val="0"/>
          <w:bCs w:val="0"/>
          <w:color w:val="auto"/>
          <w:sz w:val="32"/>
          <w:szCs w:val="32"/>
          <w:lang w:val="en-US" w:eastAsia="zh-CN"/>
        </w:rPr>
        <w:t>30.5</w:t>
      </w:r>
      <w:r>
        <w:rPr>
          <w:rFonts w:hint="eastAsia" w:ascii="仿宋_GB2312" w:hAnsi="仿宋_GB2312" w:eastAsia="仿宋_GB2312" w:cs="仿宋_GB2312"/>
          <w:b w:val="0"/>
          <w:bCs w:val="0"/>
          <w:color w:val="auto"/>
          <w:sz w:val="32"/>
          <w:szCs w:val="32"/>
        </w:rPr>
        <w:t>万元；集中治丧</w:t>
      </w:r>
      <w:r>
        <w:rPr>
          <w:rFonts w:hint="eastAsia" w:ascii="仿宋_GB2312" w:hAnsi="仿宋_GB2312" w:eastAsia="仿宋_GB2312" w:cs="仿宋_GB2312"/>
          <w:b w:val="0"/>
          <w:bCs w:val="0"/>
          <w:color w:val="auto"/>
          <w:sz w:val="32"/>
          <w:szCs w:val="32"/>
          <w:lang w:eastAsia="zh-CN"/>
        </w:rPr>
        <w:t>奖补</w:t>
      </w:r>
      <w:r>
        <w:rPr>
          <w:rFonts w:hint="eastAsia" w:ascii="仿宋_GB2312" w:hAnsi="仿宋_GB2312" w:eastAsia="仿宋_GB2312" w:cs="仿宋_GB2312"/>
          <w:b w:val="0"/>
          <w:bCs w:val="0"/>
          <w:color w:val="auto"/>
          <w:sz w:val="32"/>
          <w:szCs w:val="32"/>
          <w:lang w:val="en-US" w:eastAsia="zh-CN"/>
        </w:rPr>
        <w:t>135</w:t>
      </w:r>
      <w:r>
        <w:rPr>
          <w:rFonts w:hint="eastAsia" w:ascii="仿宋_GB2312" w:hAnsi="仿宋_GB2312" w:eastAsia="仿宋_GB2312" w:cs="仿宋_GB2312"/>
          <w:b w:val="0"/>
          <w:bCs w:val="0"/>
          <w:color w:val="auto"/>
          <w:sz w:val="32"/>
          <w:szCs w:val="32"/>
        </w:rPr>
        <w:t>人，</w:t>
      </w:r>
      <w:r>
        <w:rPr>
          <w:rFonts w:hint="eastAsia" w:ascii="仿宋_GB2312" w:hAnsi="仿宋_GB2312" w:eastAsia="仿宋_GB2312" w:cs="仿宋_GB2312"/>
          <w:b w:val="0"/>
          <w:bCs w:val="0"/>
          <w:color w:val="auto"/>
          <w:sz w:val="32"/>
          <w:szCs w:val="32"/>
          <w:lang w:eastAsia="zh-CN"/>
        </w:rPr>
        <w:t>奖补资金</w:t>
      </w:r>
      <w:r>
        <w:rPr>
          <w:rFonts w:hint="eastAsia" w:ascii="仿宋_GB2312" w:hAnsi="仿宋_GB2312" w:eastAsia="仿宋_GB2312" w:cs="仿宋_GB2312"/>
          <w:b w:val="0"/>
          <w:bCs w:val="0"/>
          <w:color w:val="auto"/>
          <w:sz w:val="32"/>
          <w:szCs w:val="32"/>
          <w:lang w:val="en-US" w:eastAsia="zh-CN"/>
        </w:rPr>
        <w:t>40.5</w:t>
      </w:r>
      <w:r>
        <w:rPr>
          <w:rFonts w:hint="eastAsia" w:ascii="仿宋_GB2312" w:hAnsi="仿宋_GB2312" w:eastAsia="仿宋_GB2312" w:cs="仿宋_GB2312"/>
          <w:b w:val="0"/>
          <w:bCs w:val="0"/>
          <w:color w:val="auto"/>
          <w:sz w:val="32"/>
          <w:szCs w:val="32"/>
        </w:rPr>
        <w:t>万元。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4.对殡葬服务单位违规建设、经营行为进行处理，执法效果好，群众反映佳。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5.对全市殡葬执法工作进行督查，指导查处重大违法殡葬案件。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（2）部门决算中项目绩效自评结果（如有）。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惠民殡葬</w:t>
      </w:r>
      <w:r>
        <w:rPr>
          <w:rFonts w:hint="eastAsia" w:ascii="仿宋_GB2312" w:hAnsi="仿宋_GB2312" w:eastAsia="仿宋_GB2312" w:cs="仿宋_GB2312"/>
          <w:b w:val="0"/>
          <w:bCs w:val="0"/>
          <w:color w:val="auto"/>
          <w:sz w:val="32"/>
          <w:szCs w:val="32"/>
        </w:rPr>
        <w:t>项目绩效自评综述：根据年初设定的绩效目标，项目绩效自评得分为</w:t>
      </w:r>
      <w:r>
        <w:rPr>
          <w:rFonts w:hint="eastAsia" w:ascii="仿宋_GB2312" w:hAnsi="仿宋_GB2312" w:eastAsia="仿宋_GB2312" w:cs="仿宋_GB2312"/>
          <w:b w:val="0"/>
          <w:bCs w:val="0"/>
          <w:color w:val="auto"/>
          <w:sz w:val="32"/>
          <w:szCs w:val="32"/>
          <w:lang w:val="en-US" w:eastAsia="zh-CN"/>
        </w:rPr>
        <w:t>96</w:t>
      </w:r>
      <w:r>
        <w:rPr>
          <w:rFonts w:hint="eastAsia" w:ascii="仿宋_GB2312" w:hAnsi="仿宋_GB2312" w:eastAsia="仿宋_GB2312" w:cs="仿宋_GB2312"/>
          <w:b w:val="0"/>
          <w:bCs w:val="0"/>
          <w:color w:val="auto"/>
          <w:sz w:val="32"/>
          <w:szCs w:val="32"/>
        </w:rPr>
        <w:t xml:space="preserve"> 分。项目全年预算数为</w:t>
      </w:r>
      <w:r>
        <w:rPr>
          <w:rFonts w:hint="eastAsia" w:ascii="仿宋_GB2312" w:hAnsi="仿宋_GB2312" w:eastAsia="仿宋_GB2312" w:cs="仿宋_GB2312"/>
          <w:b w:val="0"/>
          <w:bCs w:val="0"/>
          <w:color w:val="auto"/>
          <w:sz w:val="32"/>
          <w:szCs w:val="32"/>
          <w:lang w:val="en-US" w:eastAsia="zh-CN"/>
        </w:rPr>
        <w:t>71</w:t>
      </w:r>
      <w:r>
        <w:rPr>
          <w:rFonts w:hint="eastAsia" w:ascii="仿宋_GB2312" w:hAnsi="仿宋_GB2312" w:eastAsia="仿宋_GB2312" w:cs="仿宋_GB2312"/>
          <w:b w:val="0"/>
          <w:bCs w:val="0"/>
          <w:color w:val="auto"/>
          <w:sz w:val="32"/>
          <w:szCs w:val="32"/>
        </w:rPr>
        <w:t xml:space="preserve"> 万元，执行数为</w:t>
      </w:r>
      <w:r>
        <w:rPr>
          <w:rFonts w:hint="eastAsia" w:ascii="仿宋_GB2312" w:hAnsi="仿宋_GB2312" w:eastAsia="仿宋_GB2312" w:cs="仿宋_GB2312"/>
          <w:b w:val="0"/>
          <w:bCs w:val="0"/>
          <w:color w:val="auto"/>
          <w:sz w:val="32"/>
          <w:szCs w:val="32"/>
          <w:lang w:val="en-US" w:eastAsia="zh-CN"/>
        </w:rPr>
        <w:t>71</w:t>
      </w:r>
      <w:r>
        <w:rPr>
          <w:rFonts w:hint="eastAsia" w:ascii="仿宋_GB2312" w:hAnsi="仿宋_GB2312" w:eastAsia="仿宋_GB2312" w:cs="仿宋_GB2312"/>
          <w:b w:val="0"/>
          <w:bCs w:val="0"/>
          <w:color w:val="auto"/>
          <w:sz w:val="32"/>
          <w:szCs w:val="32"/>
        </w:rPr>
        <w:t>万元，完成预算的</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%。项目绩效目标完成情况：一是</w:t>
      </w:r>
      <w:r>
        <w:rPr>
          <w:rFonts w:hint="eastAsia" w:ascii="仿宋_GB2312" w:hAnsi="仿宋_GB2312" w:eastAsia="仿宋_GB2312" w:cs="仿宋_GB2312"/>
          <w:b w:val="0"/>
          <w:bCs w:val="0"/>
          <w:color w:val="auto"/>
          <w:sz w:val="32"/>
          <w:szCs w:val="32"/>
          <w:lang w:eastAsia="zh-CN"/>
        </w:rPr>
        <w:t>惠民殡葬奖补资金全部发放到位。</w:t>
      </w:r>
      <w:r>
        <w:rPr>
          <w:rFonts w:hint="eastAsia" w:ascii="仿宋_GB2312" w:hAnsi="仿宋_GB2312" w:eastAsia="仿宋_GB2312" w:cs="仿宋_GB2312"/>
          <w:b w:val="0"/>
          <w:bCs w:val="0"/>
          <w:color w:val="auto"/>
          <w:sz w:val="32"/>
          <w:szCs w:val="32"/>
        </w:rPr>
        <w:t>发现的主要问题及原因：一是因部门整体支出的预算资金安排和使用上仍有不可预见性，还要加强预算管理。二是随着移风易俗、生态安葬理念的深入人心，专项资金迫切需要加大投入。下一步改进措施：一是加强各部门协作、社会参与机制，建立监督机制，加大奖惩力度</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二是加强财务队伍建设和业务指导，培养项目和部门的绩效管理队伍，建立绩效评价的长效机制。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惠民殡葬</w:t>
      </w:r>
      <w:r>
        <w:rPr>
          <w:rFonts w:hint="eastAsia" w:ascii="仿宋_GB2312" w:hAnsi="仿宋_GB2312" w:eastAsia="仿宋_GB2312" w:cs="仿宋_GB2312"/>
          <w:b w:val="0"/>
          <w:bCs w:val="0"/>
          <w:color w:val="auto"/>
          <w:sz w:val="32"/>
          <w:szCs w:val="32"/>
        </w:rPr>
        <w:t>项目绩效自评综述</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殡葬执法工作有序推进，实现了本市地域深度推进。殡葬改革宣传更务实，推广了宣传进社区、进单位、进田间地头，老百姓知法、守法、用法的更多。生态殡葬已走进全省先进行列，惠民殡葬、生态殡葬政策督促落实效果好。殡葬联合执法力度加大，丧事简办、文明治丧逐步推广，老百姓丧葬负担逐步减轻，得到了中央省市三级肯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（3）部门评价项目绩效评价结果。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部门评价项目数量3个以内的，至少将1 个部门评价报告向社会公开；部门评价项目数量大于3 个的，至少将2 个部门评价报告向社会公开。报告框架可参考《项目支出绩效评价办法》（财预〔2020〕10 号）中《项目支出绩效评价报告（参考提纲）》、《湖南省预算支出绩效评价管理办法》（湘财绩〔2020〕7号）。</w:t>
      </w:r>
    </w:p>
    <w:p>
      <w:pPr>
        <w:rPr>
          <w:rFonts w:hint="eastAsia" w:ascii="黑体" w:hAnsi="黑体" w:eastAsia="黑体" w:cs="黑体"/>
          <w:b w:val="0"/>
          <w:bCs w:val="0"/>
          <w:color w:val="auto"/>
          <w:sz w:val="72"/>
          <w:szCs w:val="72"/>
        </w:rPr>
      </w:pPr>
      <w:r>
        <w:rPr>
          <w:rFonts w:hint="eastAsia" w:ascii="黑体" w:hAnsi="黑体" w:eastAsia="黑体" w:cs="黑体"/>
          <w:b w:val="0"/>
          <w:bCs w:val="0"/>
          <w:color w:val="auto"/>
          <w:sz w:val="72"/>
          <w:szCs w:val="72"/>
        </w:rPr>
        <w:br w:type="page"/>
      </w:r>
    </w:p>
    <w:p>
      <w:pPr>
        <w:pStyle w:val="10"/>
        <w:jc w:val="center"/>
        <w:rPr>
          <w:rFonts w:hint="eastAsia"/>
          <w:kern w:val="0"/>
          <w:sz w:val="72"/>
          <w:szCs w:val="72"/>
          <w:lang w:eastAsia="zh-CN"/>
        </w:rPr>
      </w:pPr>
    </w:p>
    <w:p>
      <w:pPr>
        <w:pStyle w:val="10"/>
        <w:jc w:val="center"/>
        <w:rPr>
          <w:rFonts w:hint="eastAsia"/>
          <w:kern w:val="0"/>
          <w:sz w:val="72"/>
          <w:szCs w:val="72"/>
          <w:lang w:eastAsia="zh-CN"/>
        </w:rPr>
      </w:pPr>
    </w:p>
    <w:p>
      <w:pPr>
        <w:pStyle w:val="10"/>
        <w:jc w:val="center"/>
        <w:rPr>
          <w:rFonts w:hint="eastAsia"/>
          <w:kern w:val="0"/>
          <w:sz w:val="72"/>
          <w:szCs w:val="72"/>
          <w:lang w:eastAsia="zh-CN"/>
        </w:rPr>
      </w:pPr>
      <w:bookmarkStart w:id="0" w:name="_GoBack"/>
      <w:bookmarkEnd w:id="0"/>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第四部分</w:t>
      </w:r>
    </w:p>
    <w:p>
      <w:pPr>
        <w:pStyle w:val="10"/>
        <w:jc w:val="center"/>
        <w:rPr>
          <w:rFonts w:hint="eastAsia"/>
          <w:kern w:val="0"/>
          <w:sz w:val="72"/>
          <w:szCs w:val="72"/>
          <w:lang w:eastAsia="zh-CN"/>
        </w:rPr>
      </w:pPr>
    </w:p>
    <w:p>
      <w:pPr>
        <w:pStyle w:val="10"/>
        <w:jc w:val="center"/>
        <w:rPr>
          <w:rFonts w:hint="eastAsia"/>
          <w:kern w:val="0"/>
          <w:sz w:val="72"/>
          <w:szCs w:val="72"/>
          <w:lang w:eastAsia="zh-CN"/>
        </w:rPr>
      </w:pPr>
      <w:r>
        <w:rPr>
          <w:rFonts w:hint="eastAsia"/>
          <w:kern w:val="0"/>
          <w:sz w:val="72"/>
          <w:szCs w:val="72"/>
          <w:lang w:eastAsia="zh-CN"/>
        </w:rPr>
        <w:t>名词解释</w:t>
      </w:r>
    </w:p>
    <w:p>
      <w:pPr>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二、机关运行经费</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三、财政拨款收入：指本级财政当年拨付的资金。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四、</w:t>
      </w:r>
      <w:r>
        <w:rPr>
          <w:rFonts w:hint="eastAsia" w:ascii="仿宋_GB2312" w:hAnsi="仿宋_GB2312" w:eastAsia="仿宋_GB2312" w:cs="仿宋_GB2312"/>
          <w:b w:val="0"/>
          <w:bCs w:val="0"/>
          <w:color w:val="auto"/>
          <w:sz w:val="32"/>
          <w:szCs w:val="32"/>
        </w:rPr>
        <w:t>政府性基金预算财政拨款收入：指本级财政当年拨付的政府性基金预算资金。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五、</w:t>
      </w:r>
      <w:r>
        <w:rPr>
          <w:rFonts w:hint="eastAsia" w:ascii="仿宋_GB2312" w:hAnsi="仿宋_GB2312" w:eastAsia="仿宋_GB2312" w:cs="仿宋_GB2312"/>
          <w:b w:val="0"/>
          <w:bCs w:val="0"/>
          <w:color w:val="auto"/>
          <w:sz w:val="32"/>
          <w:szCs w:val="32"/>
        </w:rPr>
        <w:t>其他收入：指除上述“财政拨款收入”、“上级补助收入”、“事业收入”、“经营收入”、“附属单位上缴收入”等以外的收入。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六、</w:t>
      </w:r>
      <w:r>
        <w:rPr>
          <w:rFonts w:hint="eastAsia" w:ascii="仿宋_GB2312" w:hAnsi="仿宋_GB2312" w:eastAsia="仿宋_GB2312" w:cs="仿宋_GB2312"/>
          <w:b w:val="0"/>
          <w:bCs w:val="0"/>
          <w:color w:val="auto"/>
          <w:sz w:val="32"/>
          <w:szCs w:val="32"/>
        </w:rPr>
        <w:t>上年结转和结余：指以前年度尚未完成、结转到本年按有关规定继续使用的资金。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七、</w:t>
      </w:r>
      <w:r>
        <w:rPr>
          <w:rFonts w:hint="eastAsia" w:ascii="仿宋_GB2312" w:hAnsi="仿宋_GB2312" w:eastAsia="仿宋_GB2312" w:cs="仿宋_GB2312"/>
          <w:b w:val="0"/>
          <w:bCs w:val="0"/>
          <w:color w:val="auto"/>
          <w:sz w:val="32"/>
          <w:szCs w:val="32"/>
        </w:rPr>
        <w:t>年末结转和结余资金：指本年度或以前年度预算安排、因客观条件发生变化无法按原计划实施，需要延迟到以后年度按有关规定继续使用的资金。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八、</w:t>
      </w:r>
      <w:r>
        <w:rPr>
          <w:rFonts w:hint="eastAsia" w:ascii="仿宋_GB2312" w:hAnsi="仿宋_GB2312" w:eastAsia="仿宋_GB2312" w:cs="仿宋_GB2312"/>
          <w:b w:val="0"/>
          <w:bCs w:val="0"/>
          <w:color w:val="auto"/>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九、</w:t>
      </w:r>
      <w:r>
        <w:rPr>
          <w:rFonts w:hint="eastAsia" w:ascii="仿宋_GB2312" w:hAnsi="仿宋_GB2312" w:eastAsia="仿宋_GB2312" w:cs="仿宋_GB2312"/>
          <w:b w:val="0"/>
          <w:bCs w:val="0"/>
          <w:color w:val="auto"/>
          <w:sz w:val="32"/>
          <w:szCs w:val="32"/>
        </w:rPr>
        <w:t>卫生健康支出（类）：是指用于医疗卫生与计划生育方面的支出，包括保障机构正常运转、完成日常和特定的工作任务或事业发展目标的支出。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w:t>
      </w:r>
      <w:r>
        <w:rPr>
          <w:rFonts w:hint="eastAsia" w:ascii="仿宋_GB2312" w:hAnsi="仿宋_GB2312" w:eastAsia="仿宋_GB2312" w:cs="仿宋_GB2312"/>
          <w:b w:val="0"/>
          <w:bCs w:val="0"/>
          <w:color w:val="auto"/>
          <w:sz w:val="32"/>
          <w:szCs w:val="32"/>
        </w:rPr>
        <w:t>其他支出（类）：是指用于反映除上述项目以外其他不能划分到具体功能科目中的支出项目，包括保障机构正常运转、完成日常和特定的工作任务或事业发展目标的支出。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十一、</w:t>
      </w:r>
      <w:r>
        <w:rPr>
          <w:rFonts w:hint="eastAsia" w:ascii="仿宋_GB2312" w:hAnsi="仿宋_GB2312" w:eastAsia="仿宋_GB2312" w:cs="仿宋_GB2312"/>
          <w:b w:val="0"/>
          <w:bCs w:val="0"/>
          <w:color w:val="auto"/>
          <w:sz w:val="32"/>
          <w:szCs w:val="32"/>
        </w:rPr>
        <w:t>基本支出：指保障机构正常运转、完成支日常工作任务而发生的人员支出和公用支出。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十二、</w:t>
      </w:r>
      <w:r>
        <w:rPr>
          <w:rFonts w:hint="eastAsia" w:ascii="仿宋_GB2312" w:hAnsi="仿宋_GB2312" w:eastAsia="仿宋_GB2312" w:cs="仿宋_GB2312"/>
          <w:b w:val="0"/>
          <w:bCs w:val="0"/>
          <w:color w:val="auto"/>
          <w:sz w:val="32"/>
          <w:szCs w:val="32"/>
        </w:rPr>
        <w:t>项目支出：指在基本支出之外为完成特定行政任务和事业发展目标所发生的支出。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十三、</w:t>
      </w:r>
      <w:r>
        <w:rPr>
          <w:rFonts w:hint="eastAsia" w:ascii="仿宋_GB2312" w:hAnsi="仿宋_GB2312" w:eastAsia="仿宋_GB2312" w:cs="仿宋_GB2312"/>
          <w:b w:val="0"/>
          <w:bCs w:val="0"/>
          <w:color w:val="auto"/>
          <w:sz w:val="32"/>
          <w:szCs w:val="32"/>
        </w:rPr>
        <w:t>工资福利支出：反映单位开支的在职职工和编制外长期聘用人员的各类劳动报酬，以及为上述人员缴纳的各项社会保险费等。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十四、</w:t>
      </w:r>
      <w:r>
        <w:rPr>
          <w:rFonts w:hint="eastAsia" w:ascii="仿宋_GB2312" w:hAnsi="仿宋_GB2312" w:eastAsia="仿宋_GB2312" w:cs="仿宋_GB2312"/>
          <w:b w:val="0"/>
          <w:bCs w:val="0"/>
          <w:color w:val="auto"/>
          <w:sz w:val="32"/>
          <w:szCs w:val="32"/>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十五、</w:t>
      </w:r>
      <w:r>
        <w:rPr>
          <w:rFonts w:hint="eastAsia" w:ascii="仿宋_GB2312" w:hAnsi="仿宋_GB2312" w:eastAsia="仿宋_GB2312" w:cs="仿宋_GB2312"/>
          <w:b w:val="0"/>
          <w:bCs w:val="0"/>
          <w:color w:val="auto"/>
          <w:sz w:val="32"/>
          <w:szCs w:val="32"/>
        </w:rPr>
        <w:t>奖金：反映机关工作人员年终一次性奖金。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十六、</w:t>
      </w:r>
      <w:r>
        <w:rPr>
          <w:rFonts w:hint="eastAsia" w:ascii="仿宋_GB2312" w:hAnsi="仿宋_GB2312" w:eastAsia="仿宋_GB2312" w:cs="仿宋_GB2312"/>
          <w:b w:val="0"/>
          <w:bCs w:val="0"/>
          <w:color w:val="auto"/>
          <w:sz w:val="32"/>
          <w:szCs w:val="32"/>
        </w:rPr>
        <w:t>伙食补助费：反映单位发给职工的伙食补助费，如误餐补助等。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十七、</w:t>
      </w:r>
      <w:r>
        <w:rPr>
          <w:rFonts w:hint="eastAsia" w:ascii="仿宋_GB2312" w:hAnsi="仿宋_GB2312" w:eastAsia="仿宋_GB2312" w:cs="仿宋_GB2312"/>
          <w:b w:val="0"/>
          <w:bCs w:val="0"/>
          <w:color w:val="auto"/>
          <w:sz w:val="32"/>
          <w:szCs w:val="32"/>
        </w:rPr>
        <w:t>机关事业单位基本养老保险缴费：反映机关事业单位缴纳的基本养老保险费。由单位代扣的工作人员基本养老保险缴费，不在此科目反映。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十八、</w:t>
      </w:r>
      <w:r>
        <w:rPr>
          <w:rFonts w:hint="eastAsia" w:ascii="仿宋_GB2312" w:hAnsi="仿宋_GB2312" w:eastAsia="仿宋_GB2312" w:cs="仿宋_GB2312"/>
          <w:b w:val="0"/>
          <w:bCs w:val="0"/>
          <w:color w:val="auto"/>
          <w:sz w:val="32"/>
          <w:szCs w:val="32"/>
        </w:rPr>
        <w:t>职工基本医疗保险缴费：反映单位为职工缴纳的基本医疗保险费。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十九、</w:t>
      </w:r>
      <w:r>
        <w:rPr>
          <w:rFonts w:hint="eastAsia" w:ascii="仿宋_GB2312" w:hAnsi="仿宋_GB2312" w:eastAsia="仿宋_GB2312" w:cs="仿宋_GB2312"/>
          <w:b w:val="0"/>
          <w:bCs w:val="0"/>
          <w:color w:val="auto"/>
          <w:sz w:val="32"/>
          <w:szCs w:val="32"/>
        </w:rPr>
        <w:t>其他社会保障缴费：反映单位为职工缴纳的基本医疗、失业、工伤、生育等社会保险费，残疾人就业保障金，军队（含武警）为军人缴纳的伤亡、退役医疗等社会保险费。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w:t>
      </w:r>
      <w:r>
        <w:rPr>
          <w:rFonts w:hint="eastAsia" w:ascii="仿宋_GB2312" w:hAnsi="仿宋_GB2312" w:eastAsia="仿宋_GB2312" w:cs="仿宋_GB2312"/>
          <w:b w:val="0"/>
          <w:bCs w:val="0"/>
          <w:color w:val="auto"/>
          <w:sz w:val="32"/>
          <w:szCs w:val="32"/>
        </w:rPr>
        <w:t>住房公积金：反映行政事业单位按人力资源和社会保障部、财政部规定的基本工资和津贴补贴以及规定比例为职工缴纳的住房公积金。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二十一、</w:t>
      </w:r>
      <w:r>
        <w:rPr>
          <w:rFonts w:hint="eastAsia" w:ascii="仿宋_GB2312" w:hAnsi="仿宋_GB2312" w:eastAsia="仿宋_GB2312" w:cs="仿宋_GB2312"/>
          <w:b w:val="0"/>
          <w:bCs w:val="0"/>
          <w:color w:val="auto"/>
          <w:sz w:val="32"/>
          <w:szCs w:val="32"/>
        </w:rPr>
        <w:t>商品和服务支出：反映单位购买商品和服务的支出（不包括用于购置固定资产的支出、战略性和应急储备支出）。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二十二、</w:t>
      </w:r>
      <w:r>
        <w:rPr>
          <w:rFonts w:hint="eastAsia" w:ascii="仿宋_GB2312" w:hAnsi="仿宋_GB2312" w:eastAsia="仿宋_GB2312" w:cs="仿宋_GB2312"/>
          <w:b w:val="0"/>
          <w:bCs w:val="0"/>
          <w:color w:val="auto"/>
          <w:sz w:val="32"/>
          <w:szCs w:val="32"/>
        </w:rPr>
        <w:t>办公费：反映单位购买按财务会计制度规定不符合固定资产确认标准的日常办公用品、书报杂志等支出。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二十三、</w:t>
      </w:r>
      <w:r>
        <w:rPr>
          <w:rFonts w:hint="eastAsia" w:ascii="仿宋_GB2312" w:hAnsi="仿宋_GB2312" w:eastAsia="仿宋_GB2312" w:cs="仿宋_GB2312"/>
          <w:b w:val="0"/>
          <w:bCs w:val="0"/>
          <w:color w:val="auto"/>
          <w:sz w:val="32"/>
          <w:szCs w:val="32"/>
        </w:rPr>
        <w:t>电费：反映单位的电费支出。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二十四、</w:t>
      </w:r>
      <w:r>
        <w:rPr>
          <w:rFonts w:hint="eastAsia" w:ascii="仿宋_GB2312" w:hAnsi="仿宋_GB2312" w:eastAsia="仿宋_GB2312" w:cs="仿宋_GB2312"/>
          <w:b w:val="0"/>
          <w:bCs w:val="0"/>
          <w:color w:val="auto"/>
          <w:sz w:val="32"/>
          <w:szCs w:val="32"/>
        </w:rPr>
        <w:t>差旅费：反映单位工作人员出差发生的城市间交通费、住宿费、伙食补贴费和市内交通费。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二十五、</w:t>
      </w:r>
      <w:r>
        <w:rPr>
          <w:rFonts w:hint="eastAsia" w:ascii="仿宋_GB2312" w:hAnsi="仿宋_GB2312" w:eastAsia="仿宋_GB2312" w:cs="仿宋_GB2312"/>
          <w:b w:val="0"/>
          <w:bCs w:val="0"/>
          <w:color w:val="auto"/>
          <w:sz w:val="32"/>
          <w:szCs w:val="32"/>
        </w:rPr>
        <w:t>维修(护)费：反映单位日常开支的固定资产（不包括车船等交通工具）修理和维护费用，网络信息系统运行与维护费用，以及按规定提取的修购基金。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二十六、</w:t>
      </w:r>
      <w:r>
        <w:rPr>
          <w:rFonts w:hint="eastAsia" w:ascii="仿宋_GB2312" w:hAnsi="仿宋_GB2312" w:eastAsia="仿宋_GB2312" w:cs="仿宋_GB2312"/>
          <w:b w:val="0"/>
          <w:bCs w:val="0"/>
          <w:color w:val="auto"/>
          <w:sz w:val="32"/>
          <w:szCs w:val="32"/>
        </w:rPr>
        <w:t>培训费：反映除因公出国（境）培训费以外的各类培训支出。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二十七、</w:t>
      </w:r>
      <w:r>
        <w:rPr>
          <w:rFonts w:hint="eastAsia" w:ascii="仿宋_GB2312" w:hAnsi="仿宋_GB2312" w:eastAsia="仿宋_GB2312" w:cs="仿宋_GB2312"/>
          <w:b w:val="0"/>
          <w:bCs w:val="0"/>
          <w:color w:val="auto"/>
          <w:sz w:val="32"/>
          <w:szCs w:val="32"/>
        </w:rPr>
        <w:t>工会经费：反映单位按规定提取的工会经费。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二十八、</w:t>
      </w:r>
      <w:r>
        <w:rPr>
          <w:rFonts w:hint="eastAsia" w:ascii="仿宋_GB2312" w:hAnsi="仿宋_GB2312" w:eastAsia="仿宋_GB2312" w:cs="仿宋_GB2312"/>
          <w:b w:val="0"/>
          <w:bCs w:val="0"/>
          <w:color w:val="auto"/>
          <w:sz w:val="32"/>
          <w:szCs w:val="32"/>
        </w:rPr>
        <w:t>公务用车运行维护费：反映单位按规定保留的公务用车燃料费、维修费、过桥过路费、保险费、安全奖励费用等支出。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二十九、</w:t>
      </w:r>
      <w:r>
        <w:rPr>
          <w:rFonts w:hint="eastAsia" w:ascii="仿宋_GB2312" w:hAnsi="仿宋_GB2312" w:eastAsia="仿宋_GB2312" w:cs="仿宋_GB2312"/>
          <w:b w:val="0"/>
          <w:bCs w:val="0"/>
          <w:color w:val="auto"/>
          <w:sz w:val="32"/>
          <w:szCs w:val="32"/>
        </w:rPr>
        <w:t>其他交通费用：反映单位除公务用车运行维护费以外的其他交通费用。如公务交通补贴，租车费用、出租车费用，飞机、船舶等的燃料费、维修费、保险费等。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三十、</w:t>
      </w:r>
      <w:r>
        <w:rPr>
          <w:rFonts w:hint="eastAsia" w:ascii="仿宋_GB2312" w:hAnsi="仿宋_GB2312" w:eastAsia="仿宋_GB2312" w:cs="仿宋_GB2312"/>
          <w:b w:val="0"/>
          <w:bCs w:val="0"/>
          <w:color w:val="auto"/>
          <w:sz w:val="32"/>
          <w:szCs w:val="32"/>
        </w:rPr>
        <w:t>其他商品和服务支出：反映上述科目未包括的日常公用支出。如行政赔偿费和诉讼费、国内组织的会员费、来访费、广告宣传、其他劳务费及离休人员特需费、公用经费等。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三十一、</w:t>
      </w:r>
      <w:r>
        <w:rPr>
          <w:rFonts w:hint="eastAsia" w:ascii="仿宋_GB2312" w:hAnsi="仿宋_GB2312" w:eastAsia="仿宋_GB2312" w:cs="仿宋_GB2312"/>
          <w:b w:val="0"/>
          <w:bCs w:val="0"/>
          <w:color w:val="auto"/>
          <w:sz w:val="32"/>
          <w:szCs w:val="32"/>
        </w:rPr>
        <w:t>对个人和家庭的补助：反映政府用于对个人和家庭的补助支出。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三十二、</w:t>
      </w:r>
      <w:r>
        <w:rPr>
          <w:rFonts w:hint="eastAsia" w:ascii="仿宋_GB2312" w:hAnsi="仿宋_GB2312" w:eastAsia="仿宋_GB2312" w:cs="仿宋_GB2312"/>
          <w:b w:val="0"/>
          <w:bCs w:val="0"/>
          <w:color w:val="auto"/>
          <w:sz w:val="32"/>
          <w:szCs w:val="32"/>
        </w:rPr>
        <w:t>退休费：反映行政事业单位和军队移交政府安置的退休人员的退休费和其他补贴。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三十三、</w:t>
      </w:r>
      <w:r>
        <w:rPr>
          <w:rFonts w:hint="eastAsia" w:ascii="仿宋_GB2312" w:hAnsi="仿宋_GB2312" w:eastAsia="仿宋_GB2312" w:cs="仿宋_GB2312"/>
          <w:b w:val="0"/>
          <w:bCs w:val="0"/>
          <w:color w:val="auto"/>
          <w:sz w:val="32"/>
          <w:szCs w:val="32"/>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三十四、</w:t>
      </w:r>
      <w:r>
        <w:rPr>
          <w:rFonts w:hint="eastAsia" w:ascii="仿宋_GB2312" w:hAnsi="仿宋_GB2312" w:eastAsia="仿宋_GB2312" w:cs="仿宋_GB2312"/>
          <w:b w:val="0"/>
          <w:bCs w:val="0"/>
          <w:color w:val="auto"/>
          <w:sz w:val="32"/>
          <w:szCs w:val="32"/>
        </w:rPr>
        <w:t>救济费：反映按规定开支的城乡贫困人员、灾民、归侨、外侨及其他人员的生活救济费，包括城市居民的最低生活保障费，随同资源枯竭矿山破产但未参加养老保险统筹的矿山所属集体企业退休人员按最低生活保障标准发放的生活费，农村五保供养对象、贫困户、麻风病人的生活救济费，精简退职老弱残职工救济费，福利、救助机构发生的收养费以及救助支出等。实物形式的救济也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三十五、</w:t>
      </w:r>
      <w:r>
        <w:rPr>
          <w:rFonts w:hint="eastAsia" w:ascii="仿宋_GB2312" w:hAnsi="仿宋_GB2312" w:eastAsia="仿宋_GB2312" w:cs="仿宋_GB2312"/>
          <w:b w:val="0"/>
          <w:bCs w:val="0"/>
          <w:color w:val="auto"/>
          <w:sz w:val="32"/>
          <w:szCs w:val="32"/>
        </w:rPr>
        <w:t>办公设备购置：反映用于购置并按财务会计制度规定纳入固定资产核算范围的办公家具和办公设备的支出，以及按规定提取的修购基金。</w:t>
      </w:r>
    </w:p>
    <w:p>
      <w:pPr>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br w:type="page"/>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第五部分</w:t>
      </w:r>
    </w:p>
    <w:p>
      <w:pPr>
        <w:pStyle w:val="10"/>
        <w:jc w:val="center"/>
        <w:rPr>
          <w:rFonts w:hint="eastAsia"/>
          <w:kern w:val="0"/>
          <w:sz w:val="72"/>
          <w:szCs w:val="72"/>
        </w:rPr>
      </w:pPr>
    </w:p>
    <w:p>
      <w:pPr>
        <w:pStyle w:val="10"/>
        <w:jc w:val="center"/>
        <w:rPr>
          <w:rFonts w:hint="eastAsia"/>
          <w:kern w:val="0"/>
          <w:sz w:val="72"/>
          <w:szCs w:val="72"/>
        </w:rPr>
      </w:pPr>
      <w:r>
        <w:rPr>
          <w:rFonts w:hint="eastAsia"/>
          <w:kern w:val="0"/>
          <w:sz w:val="72"/>
          <w:szCs w:val="72"/>
        </w:rPr>
        <w:t>附件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p>
    <w:p>
      <w:pPr>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br w:type="page"/>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1、2021年部门决算公开表格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2021年度部门整体支出绩效评价报告</w:t>
      </w:r>
    </w:p>
    <w:p>
      <w:pPr>
        <w:keepNext w:val="0"/>
        <w:keepLines w:val="0"/>
        <w:pageBreakBefore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b w:val="0"/>
          <w:bCs w:val="0"/>
          <w:color w:val="auto"/>
          <w:kern w:val="0"/>
          <w:sz w:val="32"/>
          <w:szCs w:val="32"/>
        </w:rPr>
      </w:pPr>
      <w:r>
        <w:rPr>
          <w:rFonts w:hint="eastAsia" w:ascii="仿宋" w:hAnsi="仿宋" w:eastAsia="仿宋" w:cs="仿宋"/>
          <w:b w:val="0"/>
          <w:bCs w:val="0"/>
          <w:color w:val="auto"/>
          <w:kern w:val="0"/>
          <w:sz w:val="32"/>
          <w:szCs w:val="32"/>
        </w:rPr>
        <w:t>………</w:t>
      </w:r>
    </w:p>
    <w:p>
      <w:pPr>
        <w:ind w:firstLine="640" w:firstLineChars="200"/>
        <w:jc w:val="left"/>
        <w:rPr>
          <w:rFonts w:cs="黑体" w:asciiTheme="minorEastAsia" w:hAnsiTheme="minorEastAsia"/>
          <w:color w:val="000000"/>
          <w:kern w:val="0"/>
          <w:sz w:val="32"/>
          <w:szCs w:val="32"/>
        </w:rPr>
      </w:pPr>
    </w:p>
    <w:sectPr>
      <w:pgSz w:w="11906" w:h="16838"/>
      <w:pgMar w:top="2098" w:right="1531" w:bottom="1984" w:left="153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YzBkNzgwZTc4YmNlMGYyZGY3MGE5OGUxMjI5ZDQ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5633A58"/>
    <w:rsid w:val="06B411F0"/>
    <w:rsid w:val="087403E0"/>
    <w:rsid w:val="08B22C1C"/>
    <w:rsid w:val="0BE56081"/>
    <w:rsid w:val="0D7C727B"/>
    <w:rsid w:val="10637F5A"/>
    <w:rsid w:val="116F09BF"/>
    <w:rsid w:val="13BE003E"/>
    <w:rsid w:val="14304675"/>
    <w:rsid w:val="154B46EF"/>
    <w:rsid w:val="1686420D"/>
    <w:rsid w:val="16DA6AD9"/>
    <w:rsid w:val="170D3079"/>
    <w:rsid w:val="17A87124"/>
    <w:rsid w:val="1F84368B"/>
    <w:rsid w:val="22656243"/>
    <w:rsid w:val="27DB542D"/>
    <w:rsid w:val="2C5757BA"/>
    <w:rsid w:val="2FD870A3"/>
    <w:rsid w:val="32C808AF"/>
    <w:rsid w:val="366364DD"/>
    <w:rsid w:val="370B6762"/>
    <w:rsid w:val="38C402C4"/>
    <w:rsid w:val="3A185821"/>
    <w:rsid w:val="43920AEE"/>
    <w:rsid w:val="43E86B81"/>
    <w:rsid w:val="45E21EF8"/>
    <w:rsid w:val="45F9639D"/>
    <w:rsid w:val="46EF29CC"/>
    <w:rsid w:val="489C608A"/>
    <w:rsid w:val="48ED43E7"/>
    <w:rsid w:val="4CB82EDE"/>
    <w:rsid w:val="4E700877"/>
    <w:rsid w:val="53CB3333"/>
    <w:rsid w:val="543F7A7D"/>
    <w:rsid w:val="60A907EA"/>
    <w:rsid w:val="6145544E"/>
    <w:rsid w:val="63BE016C"/>
    <w:rsid w:val="6B3E7FD6"/>
    <w:rsid w:val="71161FC3"/>
    <w:rsid w:val="71D54679"/>
    <w:rsid w:val="74B33E4D"/>
    <w:rsid w:val="7E86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7314</Words>
  <Characters>7779</Characters>
  <Lines>69</Lines>
  <Paragraphs>19</Paragraphs>
  <TotalTime>33</TotalTime>
  <ScaleCrop>false</ScaleCrop>
  <LinksUpToDate>false</LinksUpToDate>
  <CharactersWithSpaces>7816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文印室</cp:lastModifiedBy>
  <cp:lastPrinted>2022-07-27T12:55:00Z</cp:lastPrinted>
  <dcterms:modified xsi:type="dcterms:W3CDTF">2022-09-26T08:00:06Z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C02081F76A1C414C807C3137DC2EA958</vt:lpwstr>
  </property>
</Properties>
</file>