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48" w:lineRule="auto"/>
        <w:rPr>
          <w:rFonts w:ascii="黑体" w:hAnsi="黑体" w:eastAsia="黑体" w:cs="黑体"/>
          <w:bCs/>
          <w:sz w:val="32"/>
          <w:szCs w:val="32"/>
        </w:rPr>
      </w:pPr>
      <w:r>
        <w:rPr>
          <w:rFonts w:hint="eastAsia" w:ascii="黑体" w:hAnsi="黑体" w:eastAsia="黑体" w:cs="黑体"/>
          <w:bCs/>
          <w:sz w:val="32"/>
          <w:szCs w:val="32"/>
        </w:rPr>
        <w:t>附件</w:t>
      </w:r>
      <w:r>
        <w:rPr>
          <w:rFonts w:ascii="黑体" w:hAnsi="黑体" w:eastAsia="黑体" w:cs="黑体"/>
          <w:bCs/>
          <w:sz w:val="32"/>
          <w:szCs w:val="32"/>
        </w:rPr>
        <w:t>2-1</w:t>
      </w:r>
    </w:p>
    <w:p>
      <w:pPr>
        <w:spacing w:line="348" w:lineRule="auto"/>
        <w:jc w:val="center"/>
        <w:rPr>
          <w:rFonts w:eastAsia="方正小标宋简体"/>
          <w:bCs/>
          <w:sz w:val="42"/>
          <w:szCs w:val="42"/>
        </w:rPr>
      </w:pPr>
    </w:p>
    <w:p>
      <w:pPr>
        <w:spacing w:line="800" w:lineRule="exact"/>
        <w:jc w:val="center"/>
        <w:rPr>
          <w:rFonts w:eastAsia="方正小标宋简体"/>
          <w:bCs/>
          <w:sz w:val="46"/>
          <w:szCs w:val="46"/>
        </w:rPr>
      </w:pPr>
      <w:r>
        <w:rPr>
          <w:rFonts w:hint="eastAsia" w:eastAsia="方正小标宋简体"/>
          <w:bCs/>
          <w:sz w:val="46"/>
          <w:szCs w:val="46"/>
        </w:rPr>
        <w:t>岳阳市</w:t>
      </w:r>
      <w:r>
        <w:rPr>
          <w:rFonts w:eastAsia="方正小标宋简体"/>
          <w:bCs/>
          <w:sz w:val="46"/>
          <w:szCs w:val="46"/>
        </w:rPr>
        <w:t>20</w:t>
      </w:r>
      <w:r>
        <w:rPr>
          <w:rFonts w:hint="eastAsia" w:eastAsia="方正小标宋简体"/>
          <w:bCs/>
          <w:sz w:val="46"/>
          <w:szCs w:val="46"/>
          <w:lang w:val="en-US" w:eastAsia="zh-CN"/>
        </w:rPr>
        <w:t>21</w:t>
      </w:r>
      <w:r>
        <w:rPr>
          <w:rFonts w:hint="eastAsia" w:eastAsia="方正小标宋简体"/>
          <w:bCs/>
          <w:sz w:val="46"/>
          <w:szCs w:val="46"/>
        </w:rPr>
        <w:t>年度部门整体支出</w:t>
      </w:r>
    </w:p>
    <w:p>
      <w:pPr>
        <w:spacing w:line="800" w:lineRule="exact"/>
        <w:jc w:val="center"/>
        <w:rPr>
          <w:rFonts w:eastAsia="方正小标宋简体"/>
          <w:bCs/>
          <w:sz w:val="46"/>
          <w:szCs w:val="46"/>
        </w:rPr>
      </w:pPr>
      <w:r>
        <w:rPr>
          <w:rFonts w:hint="eastAsia" w:eastAsia="方正小标宋简体"/>
          <w:bCs/>
          <w:sz w:val="46"/>
          <w:szCs w:val="46"/>
        </w:rPr>
        <w:t>绩效评价自评报告</w:t>
      </w:r>
    </w:p>
    <w:p>
      <w:pPr>
        <w:rPr>
          <w:rFonts w:eastAsia="仿宋_GB2312"/>
          <w:b/>
          <w:sz w:val="32"/>
        </w:rPr>
      </w:pPr>
    </w:p>
    <w:p>
      <w:pPr>
        <w:rPr>
          <w:rFonts w:eastAsia="仿宋_GB2312"/>
          <w:b/>
          <w:sz w:val="32"/>
        </w:rPr>
      </w:pPr>
    </w:p>
    <w:p>
      <w:pPr>
        <w:rPr>
          <w:rFonts w:eastAsia="仿宋_GB2312"/>
          <w:b/>
          <w:sz w:val="32"/>
        </w:rPr>
      </w:pPr>
    </w:p>
    <w:p>
      <w:pPr>
        <w:spacing w:beforeLines="50" w:line="348" w:lineRule="auto"/>
        <w:ind w:firstLine="476" w:firstLineChars="150"/>
        <w:rPr>
          <w:rFonts w:eastAsia="仿宋_GB2312"/>
          <w:sz w:val="32"/>
          <w:szCs w:val="32"/>
          <w:u w:val="single"/>
        </w:rPr>
      </w:pPr>
      <w:r>
        <w:rPr>
          <w:rFonts w:hint="eastAsia" w:eastAsia="仿宋_GB2312"/>
          <w:sz w:val="32"/>
          <w:szCs w:val="32"/>
        </w:rPr>
        <w:t>部门</w:t>
      </w:r>
      <w:r>
        <w:rPr>
          <w:rFonts w:eastAsia="仿宋_GB2312"/>
          <w:sz w:val="32"/>
          <w:szCs w:val="32"/>
        </w:rPr>
        <w:t>(</w:t>
      </w:r>
      <w:r>
        <w:rPr>
          <w:rFonts w:hint="eastAsia" w:eastAsia="仿宋_GB2312"/>
          <w:sz w:val="32"/>
          <w:szCs w:val="32"/>
        </w:rPr>
        <w:t>单位</w:t>
      </w:r>
      <w:r>
        <w:rPr>
          <w:rFonts w:eastAsia="仿宋_GB2312"/>
          <w:sz w:val="32"/>
          <w:szCs w:val="32"/>
        </w:rPr>
        <w:t>)</w:t>
      </w:r>
      <w:r>
        <w:rPr>
          <w:rFonts w:hint="eastAsia" w:eastAsia="仿宋_GB2312"/>
          <w:sz w:val="32"/>
          <w:szCs w:val="32"/>
        </w:rPr>
        <w:t>名称：</w:t>
      </w:r>
      <w:r>
        <w:rPr>
          <w:rFonts w:eastAsia="仿宋_GB2312"/>
          <w:sz w:val="32"/>
          <w:szCs w:val="32"/>
          <w:u w:val="single"/>
        </w:rPr>
        <w:t xml:space="preserve">       </w:t>
      </w:r>
      <w:r>
        <w:rPr>
          <w:rFonts w:hint="eastAsia" w:eastAsia="仿宋_GB2312"/>
          <w:sz w:val="32"/>
          <w:szCs w:val="32"/>
          <w:u w:val="single"/>
        </w:rPr>
        <w:t>岳阳市殡葬执法支队</w:t>
      </w:r>
      <w:r>
        <w:rPr>
          <w:rFonts w:eastAsia="仿宋_GB2312"/>
          <w:sz w:val="32"/>
          <w:szCs w:val="32"/>
          <w:u w:val="single"/>
        </w:rPr>
        <w:t xml:space="preserve">                            </w:t>
      </w:r>
    </w:p>
    <w:p>
      <w:pPr>
        <w:spacing w:beforeLines="50" w:line="348" w:lineRule="auto"/>
        <w:ind w:firstLine="476" w:firstLineChars="150"/>
        <w:rPr>
          <w:rFonts w:eastAsia="仿宋_GB2312"/>
          <w:spacing w:val="20"/>
          <w:sz w:val="32"/>
          <w:szCs w:val="32"/>
        </w:rPr>
      </w:pPr>
      <w:r>
        <w:rPr>
          <w:rFonts w:hint="eastAsia" w:eastAsia="仿宋_GB2312"/>
          <w:sz w:val="32"/>
          <w:szCs w:val="32"/>
        </w:rPr>
        <w:t>预</w:t>
      </w:r>
      <w:r>
        <w:rPr>
          <w:rFonts w:eastAsia="仿宋_GB2312"/>
          <w:spacing w:val="30"/>
          <w:sz w:val="32"/>
          <w:szCs w:val="32"/>
        </w:rPr>
        <w:t xml:space="preserve"> </w:t>
      </w:r>
      <w:r>
        <w:rPr>
          <w:rFonts w:hint="eastAsia" w:eastAsia="仿宋_GB2312"/>
          <w:spacing w:val="30"/>
          <w:sz w:val="32"/>
          <w:szCs w:val="32"/>
        </w:rPr>
        <w:t>算</w:t>
      </w:r>
      <w:r>
        <w:rPr>
          <w:rFonts w:eastAsia="仿宋_GB2312"/>
          <w:spacing w:val="30"/>
          <w:sz w:val="32"/>
          <w:szCs w:val="32"/>
        </w:rPr>
        <w:t xml:space="preserve"> </w:t>
      </w:r>
      <w:r>
        <w:rPr>
          <w:rFonts w:hint="eastAsia" w:eastAsia="仿宋_GB2312"/>
          <w:spacing w:val="30"/>
          <w:sz w:val="32"/>
          <w:szCs w:val="32"/>
        </w:rPr>
        <w:t>编</w:t>
      </w:r>
      <w:r>
        <w:rPr>
          <w:rFonts w:eastAsia="仿宋_GB2312"/>
          <w:spacing w:val="30"/>
          <w:sz w:val="32"/>
          <w:szCs w:val="32"/>
        </w:rPr>
        <w:t xml:space="preserve"> </w:t>
      </w:r>
      <w:r>
        <w:rPr>
          <w:rFonts w:hint="eastAsia" w:eastAsia="仿宋_GB2312"/>
          <w:spacing w:val="30"/>
          <w:sz w:val="32"/>
          <w:szCs w:val="32"/>
        </w:rPr>
        <w:t>码：</w:t>
      </w:r>
      <w:r>
        <w:rPr>
          <w:rFonts w:eastAsia="仿宋_GB2312"/>
          <w:spacing w:val="20"/>
          <w:sz w:val="32"/>
          <w:szCs w:val="32"/>
          <w:u w:val="single"/>
        </w:rPr>
        <w:t xml:space="preserve">         </w:t>
      </w:r>
      <w:r>
        <w:rPr>
          <w:rFonts w:hint="eastAsia" w:eastAsia="仿宋_GB2312"/>
          <w:spacing w:val="20"/>
          <w:sz w:val="32"/>
          <w:szCs w:val="32"/>
          <w:u w:val="single"/>
          <w:lang w:val="en-US" w:eastAsia="zh-CN"/>
        </w:rPr>
        <w:t>403003</w:t>
      </w:r>
      <w:r>
        <w:rPr>
          <w:rFonts w:eastAsia="仿宋_GB2312"/>
          <w:spacing w:val="20"/>
          <w:sz w:val="32"/>
          <w:szCs w:val="32"/>
          <w:u w:val="single"/>
        </w:rPr>
        <w:t xml:space="preserve">                  </w:t>
      </w:r>
    </w:p>
    <w:p>
      <w:pPr>
        <w:spacing w:beforeLines="50" w:line="348" w:lineRule="auto"/>
        <w:ind w:firstLine="476" w:firstLineChars="150"/>
        <w:rPr>
          <w:rFonts w:eastAsia="仿宋_GB2312"/>
          <w:sz w:val="32"/>
          <w:szCs w:val="32"/>
        </w:rPr>
      </w:pPr>
      <w:r>
        <w:rPr>
          <w:rFonts w:hint="eastAsia" w:eastAsia="仿宋_GB2312"/>
          <w:sz w:val="32"/>
          <w:szCs w:val="32"/>
        </w:rPr>
        <w:t>评价方式：部门（单位）绩效自评</w:t>
      </w:r>
    </w:p>
    <w:p>
      <w:pPr>
        <w:spacing w:beforeLines="50" w:line="348" w:lineRule="auto"/>
        <w:ind w:firstLine="476" w:firstLineChars="150"/>
        <w:rPr>
          <w:rFonts w:eastAsia="仿宋_GB2312"/>
          <w:sz w:val="32"/>
          <w:szCs w:val="32"/>
        </w:rPr>
      </w:pPr>
      <w:r>
        <w:rPr>
          <w:rFonts w:hint="eastAsia" w:eastAsia="仿宋_GB2312"/>
          <w:sz w:val="32"/>
          <w:szCs w:val="32"/>
        </w:rPr>
        <w:t>评价机构：部门（单位）评价组</w:t>
      </w:r>
      <w:r>
        <w:rPr>
          <w:rFonts w:eastAsia="仿宋_GB2312"/>
          <w:sz w:val="32"/>
          <w:szCs w:val="32"/>
        </w:rPr>
        <w:t xml:space="preserve">   </w:t>
      </w: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720" w:lineRule="exact"/>
        <w:ind w:firstLine="2188" w:firstLineChars="690"/>
        <w:rPr>
          <w:rFonts w:eastAsia="仿宋_GB2312"/>
          <w:sz w:val="32"/>
        </w:rPr>
      </w:pPr>
    </w:p>
    <w:p>
      <w:pPr>
        <w:spacing w:line="348" w:lineRule="auto"/>
        <w:jc w:val="center"/>
        <w:rPr>
          <w:rFonts w:eastAsia="仿宋_GB2312"/>
          <w:sz w:val="32"/>
        </w:rPr>
      </w:pPr>
      <w:r>
        <w:rPr>
          <w:rFonts w:hint="eastAsia" w:eastAsia="仿宋_GB2312"/>
          <w:sz w:val="32"/>
        </w:rPr>
        <w:t>报告日期：</w:t>
      </w:r>
      <w:r>
        <w:rPr>
          <w:rFonts w:eastAsia="仿宋_GB2312"/>
          <w:sz w:val="32"/>
        </w:rPr>
        <w:t xml:space="preserve"> 202</w:t>
      </w:r>
      <w:r>
        <w:rPr>
          <w:rFonts w:hint="eastAsia" w:eastAsia="仿宋_GB2312"/>
          <w:sz w:val="32"/>
          <w:lang w:val="en-US" w:eastAsia="zh-CN"/>
        </w:rPr>
        <w:t>2</w:t>
      </w:r>
      <w:r>
        <w:rPr>
          <w:rFonts w:hint="eastAsia" w:eastAsia="仿宋_GB2312"/>
          <w:sz w:val="32"/>
        </w:rPr>
        <w:t>年</w:t>
      </w:r>
      <w:r>
        <w:rPr>
          <w:rFonts w:eastAsia="仿宋_GB2312"/>
          <w:sz w:val="32"/>
        </w:rPr>
        <w:t xml:space="preserve"> 6 </w:t>
      </w:r>
      <w:r>
        <w:rPr>
          <w:rFonts w:hint="eastAsia" w:eastAsia="仿宋_GB2312"/>
          <w:sz w:val="32"/>
        </w:rPr>
        <w:t>月</w:t>
      </w:r>
      <w:r>
        <w:rPr>
          <w:rFonts w:eastAsia="仿宋_GB2312"/>
          <w:sz w:val="32"/>
        </w:rPr>
        <w:t xml:space="preserve"> </w:t>
      </w:r>
      <w:r>
        <w:rPr>
          <w:rFonts w:hint="eastAsia" w:eastAsia="仿宋_GB2312"/>
          <w:sz w:val="32"/>
          <w:lang w:val="en-US" w:eastAsia="zh-CN"/>
        </w:rPr>
        <w:t>10</w:t>
      </w:r>
      <w:r>
        <w:rPr>
          <w:rFonts w:hint="eastAsia" w:eastAsia="仿宋_GB2312"/>
          <w:sz w:val="32"/>
        </w:rPr>
        <w:t>日</w:t>
      </w:r>
    </w:p>
    <w:p>
      <w:pPr>
        <w:autoSpaceDN w:val="0"/>
        <w:jc w:val="center"/>
        <w:textAlignment w:val="center"/>
        <w:rPr>
          <w:rFonts w:eastAsia="仿宋_GB2312"/>
          <w:sz w:val="32"/>
          <w:szCs w:val="32"/>
        </w:rPr>
        <w:sectPr>
          <w:footerReference r:id="rId3" w:type="default"/>
          <w:footerReference r:id="rId4" w:type="even"/>
          <w:pgSz w:w="11906" w:h="16838"/>
          <w:pgMar w:top="1588" w:right="1588" w:bottom="1588" w:left="1588" w:header="851" w:footer="992" w:gutter="0"/>
          <w:pgNumType w:start="1"/>
          <w:cols w:space="720" w:num="1"/>
          <w:docGrid w:type="linesAndChars" w:linePitch="602" w:charSpace="-782"/>
        </w:sectPr>
      </w:pPr>
      <w:r>
        <w:rPr>
          <w:rFonts w:hint="eastAsia" w:eastAsia="仿宋_GB2312"/>
          <w:sz w:val="32"/>
        </w:rPr>
        <w:t>岳阳市财政</w:t>
      </w:r>
      <w:r>
        <w:rPr>
          <w:rFonts w:hint="eastAsia" w:eastAsia="仿宋_GB2312"/>
          <w:sz w:val="32"/>
          <w:szCs w:val="32"/>
        </w:rPr>
        <w:t>局（制）</w:t>
      </w:r>
    </w:p>
    <w:tbl>
      <w:tblPr>
        <w:tblStyle w:val="4"/>
        <w:tblW w:w="9800"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5" w:type="dxa"/>
          <w:bottom w:w="0" w:type="dxa"/>
          <w:right w:w="15" w:type="dxa"/>
        </w:tblCellMar>
      </w:tblPr>
      <w:tblGrid>
        <w:gridCol w:w="1441"/>
        <w:gridCol w:w="213"/>
        <w:gridCol w:w="46"/>
        <w:gridCol w:w="1080"/>
        <w:gridCol w:w="210"/>
        <w:gridCol w:w="1145"/>
        <w:gridCol w:w="272"/>
        <w:gridCol w:w="593"/>
        <w:gridCol w:w="1869"/>
        <w:gridCol w:w="51"/>
        <w:gridCol w:w="196"/>
        <w:gridCol w:w="259"/>
        <w:gridCol w:w="1080"/>
        <w:gridCol w:w="404"/>
        <w:gridCol w:w="278"/>
        <w:gridCol w:w="66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一、部门（单位）基本概况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联系人</w:t>
            </w:r>
          </w:p>
        </w:tc>
        <w:tc>
          <w:tcPr>
            <w:tcW w:w="334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彭必芸</w:t>
            </w:r>
          </w:p>
        </w:tc>
        <w:tc>
          <w:tcPr>
            <w:tcW w:w="186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联络电话</w:t>
            </w:r>
          </w:p>
        </w:tc>
        <w:tc>
          <w:tcPr>
            <w:tcW w:w="2931"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13467306962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人员编制</w:t>
            </w:r>
          </w:p>
        </w:tc>
        <w:tc>
          <w:tcPr>
            <w:tcW w:w="334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24</w:t>
            </w:r>
          </w:p>
        </w:tc>
        <w:tc>
          <w:tcPr>
            <w:tcW w:w="186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实有人数</w:t>
            </w:r>
          </w:p>
        </w:tc>
        <w:tc>
          <w:tcPr>
            <w:tcW w:w="2931" w:type="dxa"/>
            <w:gridSpan w:val="7"/>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60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职能职责概述</w:t>
            </w:r>
          </w:p>
        </w:tc>
        <w:tc>
          <w:tcPr>
            <w:tcW w:w="8146" w:type="dxa"/>
            <w:gridSpan w:val="14"/>
            <w:vAlign w:val="center"/>
          </w:tcPr>
          <w:p>
            <w:pPr>
              <w:autoSpaceDN w:val="0"/>
              <w:spacing w:line="320" w:lineRule="exact"/>
              <w:jc w:val="both"/>
              <w:textAlignment w:val="cente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宣传贯彻殡葬改革法规、政策；制定全市殡葬执法的规章、规定和规程等政策性工作，积极推进殡葬改革；负责惠民殡葬和生态殡葬政策的监督、落实；殡葬执法检、督查、培训、考核；丧葬用品市场督查和协调执法。其他市本级殡葬服务工作、龙头山公墓维护管理工作等。</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374"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年度主要</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工作内容</w:t>
            </w:r>
          </w:p>
        </w:tc>
        <w:tc>
          <w:tcPr>
            <w:tcW w:w="8146" w:type="dxa"/>
            <w:gridSpan w:val="1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：中心城区执法巡查全覆盖</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：对全市经营性公墓执法检查全覆盖</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惠民殡葬、</w:t>
            </w:r>
            <w:r>
              <w:rPr>
                <w:rFonts w:hint="eastAsia" w:ascii="仿宋_GB2312" w:hAnsi="仿宋_GB2312" w:eastAsia="仿宋_GB2312" w:cs="仿宋_GB2312"/>
                <w:color w:val="000000"/>
                <w:sz w:val="24"/>
              </w:rPr>
              <w:t>生态安葬</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文明祭扫</w:t>
            </w:r>
            <w:r>
              <w:rPr>
                <w:rFonts w:hint="eastAsia" w:ascii="仿宋_GB2312" w:hAnsi="仿宋_GB2312" w:eastAsia="仿宋_GB2312" w:cs="仿宋_GB2312"/>
                <w:color w:val="000000"/>
                <w:sz w:val="24"/>
                <w:lang w:val="en-US" w:eastAsia="zh-CN"/>
              </w:rPr>
              <w:t>政策推行、督查、落实</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4</w:t>
            </w:r>
            <w:r>
              <w:rPr>
                <w:rFonts w:hint="eastAsia" w:ascii="仿宋_GB2312" w:hAnsi="仿宋_GB2312" w:eastAsia="仿宋_GB2312" w:cs="仿宋_GB2312"/>
                <w:color w:val="000000"/>
                <w:sz w:val="24"/>
              </w:rPr>
              <w:t>：牵头处理殡葬</w:t>
            </w:r>
            <w:r>
              <w:rPr>
                <w:rFonts w:hint="eastAsia" w:ascii="仿宋_GB2312" w:hAnsi="仿宋_GB2312" w:eastAsia="仿宋_GB2312" w:cs="仿宋_GB2312"/>
                <w:color w:val="000000"/>
                <w:sz w:val="24"/>
                <w:lang w:val="en-US" w:eastAsia="zh-CN"/>
              </w:rPr>
              <w:t>服务</w:t>
            </w:r>
            <w:r>
              <w:rPr>
                <w:rFonts w:hint="eastAsia" w:ascii="仿宋_GB2312" w:hAnsi="仿宋_GB2312" w:eastAsia="仿宋_GB2312" w:cs="仿宋_GB2312"/>
                <w:color w:val="000000"/>
                <w:sz w:val="24"/>
              </w:rPr>
              <w:t>单位违规</w:t>
            </w:r>
            <w:r>
              <w:rPr>
                <w:rFonts w:hint="eastAsia" w:ascii="仿宋_GB2312" w:hAnsi="仿宋_GB2312" w:eastAsia="仿宋_GB2312" w:cs="仿宋_GB2312"/>
                <w:color w:val="000000"/>
                <w:sz w:val="24"/>
                <w:lang w:val="en-US" w:eastAsia="zh-CN"/>
              </w:rPr>
              <w:t>建设、</w:t>
            </w:r>
            <w:r>
              <w:rPr>
                <w:rFonts w:hint="eastAsia" w:ascii="仿宋_GB2312" w:hAnsi="仿宋_GB2312" w:eastAsia="仿宋_GB2312" w:cs="仿宋_GB2312"/>
                <w:color w:val="000000"/>
                <w:sz w:val="24"/>
              </w:rPr>
              <w:t>经营</w:t>
            </w:r>
            <w:r>
              <w:rPr>
                <w:rFonts w:hint="eastAsia" w:ascii="仿宋_GB2312" w:hAnsi="仿宋_GB2312" w:eastAsia="仿宋_GB2312" w:cs="仿宋_GB2312"/>
                <w:color w:val="000000"/>
                <w:sz w:val="24"/>
                <w:lang w:val="en-US" w:eastAsia="zh-CN"/>
              </w:rPr>
              <w:t>等行为</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5</w:t>
            </w:r>
            <w:r>
              <w:rPr>
                <w:rFonts w:hint="eastAsia" w:ascii="仿宋_GB2312" w:hAnsi="仿宋_GB2312" w:eastAsia="仿宋_GB2312" w:cs="仿宋_GB2312"/>
                <w:color w:val="000000"/>
                <w:sz w:val="24"/>
              </w:rPr>
              <w:t>：督查、指导全市殡葬执法工作</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查处重大违法殡葬案件</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6</w:t>
            </w:r>
            <w:r>
              <w:rPr>
                <w:rFonts w:hint="eastAsia" w:ascii="仿宋_GB2312" w:hAnsi="仿宋_GB2312" w:eastAsia="仿宋_GB2312" w:cs="仿宋_GB2312"/>
                <w:color w:val="000000"/>
                <w:sz w:val="24"/>
              </w:rPr>
              <w:t>：开展殡葬执法培训</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考核</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67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pacing w:val="-6"/>
                <w:sz w:val="24"/>
              </w:rPr>
            </w:pPr>
            <w:r>
              <w:rPr>
                <w:rFonts w:hint="eastAsia" w:ascii="仿宋_GB2312" w:hAnsi="仿宋_GB2312" w:eastAsia="仿宋_GB2312" w:cs="仿宋_GB2312"/>
                <w:color w:val="000000"/>
                <w:spacing w:val="-6"/>
                <w:sz w:val="24"/>
              </w:rPr>
              <w:t>年度部门（单位）总体运行情况及取得的成绩</w:t>
            </w:r>
          </w:p>
        </w:tc>
        <w:tc>
          <w:tcPr>
            <w:tcW w:w="8146" w:type="dxa"/>
            <w:gridSpan w:val="1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单位总体运行情况良好</w:t>
            </w:r>
          </w:p>
          <w:p>
            <w:pPr>
              <w:pStyle w:val="10"/>
              <w:numPr>
                <w:ilvl w:val="0"/>
                <w:numId w:val="1"/>
              </w:numPr>
              <w:autoSpaceDN w:val="0"/>
              <w:spacing w:line="320" w:lineRule="exact"/>
              <w:ind w:firstLineChars="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殡葬执法工作有序推进，实现了本市地域</w:t>
            </w:r>
            <w:r>
              <w:rPr>
                <w:rFonts w:hint="eastAsia" w:ascii="仿宋_GB2312" w:hAnsi="仿宋_GB2312" w:eastAsia="仿宋_GB2312" w:cs="仿宋_GB2312"/>
                <w:color w:val="000000"/>
                <w:sz w:val="24"/>
                <w:lang w:val="en-US" w:eastAsia="zh-CN"/>
              </w:rPr>
              <w:t>深度推进</w:t>
            </w:r>
          </w:p>
          <w:p>
            <w:pPr>
              <w:pStyle w:val="10"/>
              <w:numPr>
                <w:ilvl w:val="0"/>
                <w:numId w:val="1"/>
              </w:numPr>
              <w:autoSpaceDN w:val="0"/>
              <w:spacing w:line="320" w:lineRule="exact"/>
              <w:ind w:firstLineChars="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殡葬改革宣传更务实，推广了宣传进社区、进单位、进田间地头，老百姓知法、守法、用法的更多</w:t>
            </w:r>
          </w:p>
          <w:p>
            <w:pPr>
              <w:pStyle w:val="10"/>
              <w:numPr>
                <w:ilvl w:val="0"/>
                <w:numId w:val="1"/>
              </w:numPr>
              <w:autoSpaceDN w:val="0"/>
              <w:spacing w:line="320" w:lineRule="exact"/>
              <w:ind w:firstLineChars="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生态殡葬已走进全省先进行列</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惠民殡葬、生态殡葬政策督促落实效果好</w:t>
            </w:r>
          </w:p>
          <w:p>
            <w:pPr>
              <w:pStyle w:val="10"/>
              <w:numPr>
                <w:ilvl w:val="0"/>
                <w:numId w:val="1"/>
              </w:numPr>
              <w:autoSpaceDN w:val="0"/>
              <w:spacing w:line="320" w:lineRule="exact"/>
              <w:ind w:firstLineChars="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殡葬联合执法力度加大，</w:t>
            </w:r>
            <w:r>
              <w:rPr>
                <w:rFonts w:hint="eastAsia" w:ascii="仿宋_GB2312" w:hAnsi="仿宋_GB2312" w:eastAsia="仿宋_GB2312" w:cs="仿宋_GB2312"/>
                <w:color w:val="000000"/>
                <w:sz w:val="24"/>
              </w:rPr>
              <w:t>丧事简办、文明治丧逐步推广，</w:t>
            </w:r>
            <w:r>
              <w:rPr>
                <w:rFonts w:hint="eastAsia" w:ascii="仿宋_GB2312" w:hAnsi="仿宋_GB2312" w:eastAsia="仿宋_GB2312" w:cs="仿宋_GB2312"/>
                <w:color w:val="000000"/>
                <w:sz w:val="24"/>
                <w:lang w:val="en-US" w:eastAsia="zh-CN"/>
              </w:rPr>
              <w:t>老百姓丧葬负担逐步减轻，</w:t>
            </w:r>
            <w:r>
              <w:rPr>
                <w:rFonts w:hint="eastAsia" w:ascii="仿宋_GB2312" w:hAnsi="仿宋_GB2312" w:eastAsia="仿宋_GB2312" w:cs="仿宋_GB2312"/>
                <w:color w:val="000000"/>
                <w:sz w:val="24"/>
              </w:rPr>
              <w:t>得到了中央省市三级肯定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47" w:hRule="atLeast"/>
          <w:jc w:val="center"/>
        </w:trPr>
        <w:tc>
          <w:tcPr>
            <w:tcW w:w="9800" w:type="dxa"/>
            <w:gridSpan w:val="1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二、部门（单位）收支情况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12" w:hRule="atLeast"/>
          <w:jc w:val="center"/>
        </w:trPr>
        <w:tc>
          <w:tcPr>
            <w:tcW w:w="9800" w:type="dxa"/>
            <w:gridSpan w:val="1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年度收入情况（万元）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32" w:hRule="atLeast"/>
          <w:jc w:val="center"/>
        </w:trPr>
        <w:tc>
          <w:tcPr>
            <w:tcW w:w="1700" w:type="dxa"/>
            <w:gridSpan w:val="3"/>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收入合计</w:t>
            </w:r>
          </w:p>
        </w:tc>
        <w:tc>
          <w:tcPr>
            <w:tcW w:w="7020" w:type="dxa"/>
            <w:gridSpan w:val="1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90" w:hRule="atLeast"/>
          <w:jc w:val="center"/>
        </w:trPr>
        <w:tc>
          <w:tcPr>
            <w:tcW w:w="1700" w:type="dxa"/>
            <w:gridSpan w:val="3"/>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上年结转</w:t>
            </w:r>
          </w:p>
        </w:tc>
        <w:tc>
          <w:tcPr>
            <w:tcW w:w="865"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公共财</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政拨款</w:t>
            </w:r>
          </w:p>
        </w:tc>
        <w:tc>
          <w:tcPr>
            <w:tcW w:w="1920"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政府基金拨款</w:t>
            </w:r>
          </w:p>
        </w:tc>
        <w:tc>
          <w:tcPr>
            <w:tcW w:w="1535"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纳入专户管理的非税收入拨款</w:t>
            </w:r>
          </w:p>
        </w:tc>
        <w:tc>
          <w:tcPr>
            <w:tcW w:w="1345"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收入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700" w:type="dxa"/>
            <w:gridSpan w:val="3"/>
            <w:vAlign w:val="center"/>
          </w:tcPr>
          <w:p>
            <w:pPr>
              <w:spacing w:line="320" w:lineRule="exact"/>
              <w:rPr>
                <w:rFonts w:ascii="仿宋_GB2312" w:hAnsi="仿宋_GB2312" w:eastAsia="仿宋_GB2312" w:cs="仿宋_GB2312"/>
                <w:sz w:val="24"/>
              </w:rPr>
            </w:pPr>
            <w:r>
              <w:rPr>
                <w:rFonts w:ascii="仿宋_GB2312" w:hAnsi="仿宋_GB2312" w:eastAsia="仿宋_GB2312" w:cs="仿宋_GB2312"/>
                <w:sz w:val="24"/>
              </w:rPr>
              <w:t>2</w:t>
            </w:r>
            <w:r>
              <w:rPr>
                <w:rFonts w:hint="eastAsia" w:ascii="仿宋_GB2312" w:hAnsi="仿宋_GB2312" w:eastAsia="仿宋_GB2312" w:cs="仿宋_GB2312"/>
                <w:sz w:val="24"/>
              </w:rPr>
              <w:t>、岳阳市殡葬执法支队</w:t>
            </w:r>
          </w:p>
        </w:tc>
        <w:tc>
          <w:tcPr>
            <w:tcW w:w="1080" w:type="dxa"/>
            <w:tcBorders>
              <w:righ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460.56</w:t>
            </w:r>
          </w:p>
        </w:tc>
        <w:tc>
          <w:tcPr>
            <w:tcW w:w="1355" w:type="dxa"/>
            <w:gridSpan w:val="2"/>
            <w:tcBorders>
              <w:left w:val="single" w:color="auto" w:sz="4" w:space="0"/>
            </w:tcBorders>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10.98</w:t>
            </w:r>
          </w:p>
        </w:tc>
        <w:tc>
          <w:tcPr>
            <w:tcW w:w="865"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448.12</w:t>
            </w:r>
          </w:p>
        </w:tc>
        <w:tc>
          <w:tcPr>
            <w:tcW w:w="1920" w:type="dxa"/>
            <w:gridSpan w:val="2"/>
            <w:vAlign w:val="center"/>
          </w:tcPr>
          <w:p>
            <w:pPr>
              <w:autoSpaceDN w:val="0"/>
              <w:spacing w:line="320" w:lineRule="exact"/>
              <w:jc w:val="left"/>
              <w:textAlignment w:val="center"/>
              <w:rPr>
                <w:rFonts w:hint="default" w:ascii="仿宋_GB2312" w:hAnsi="仿宋_GB2312" w:eastAsia="仿宋_GB2312" w:cs="仿宋_GB2312"/>
                <w:color w:val="000000"/>
                <w:sz w:val="24"/>
                <w:lang w:val="en-US" w:eastAsia="zh-CN"/>
              </w:rPr>
            </w:pPr>
          </w:p>
        </w:tc>
        <w:tc>
          <w:tcPr>
            <w:tcW w:w="1535" w:type="dxa"/>
            <w:gridSpan w:val="3"/>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45" w:type="dxa"/>
            <w:gridSpan w:val="3"/>
            <w:vAlign w:val="center"/>
          </w:tcPr>
          <w:p>
            <w:pPr>
              <w:autoSpaceDN w:val="0"/>
              <w:spacing w:line="320" w:lineRule="exact"/>
              <w:jc w:val="lef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6" w:hRule="atLeast"/>
          <w:jc w:val="center"/>
        </w:trPr>
        <w:tc>
          <w:tcPr>
            <w:tcW w:w="9800" w:type="dxa"/>
            <w:gridSpan w:val="1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部门（单位）年度支出和结余情况（万元）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restart"/>
            <w:vAlign w:val="center"/>
          </w:tcPr>
          <w:p>
            <w:pPr>
              <w:snapToGrid w:val="0"/>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支出合计</w:t>
            </w:r>
          </w:p>
        </w:tc>
        <w:tc>
          <w:tcPr>
            <w:tcW w:w="5675" w:type="dxa"/>
            <w:gridSpan w:val="9"/>
            <w:tcBorders>
              <w:left w:val="single" w:color="auto" w:sz="4" w:space="0"/>
              <w:bottom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345" w:type="dxa"/>
            <w:gridSpan w:val="3"/>
            <w:tcBorders>
              <w:left w:val="single" w:color="auto" w:sz="4" w:space="0"/>
              <w:bottom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基本支出</w:t>
            </w:r>
          </w:p>
        </w:tc>
        <w:tc>
          <w:tcPr>
            <w:tcW w:w="3240" w:type="dxa"/>
            <w:gridSpan w:val="6"/>
            <w:tcBorders>
              <w:top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1080" w:type="dxa"/>
            <w:vMerge w:val="restart"/>
            <w:tcBorders>
              <w:top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项目支出</w:t>
            </w:r>
          </w:p>
        </w:tc>
        <w:tc>
          <w:tcPr>
            <w:tcW w:w="682" w:type="dxa"/>
            <w:gridSpan w:val="2"/>
            <w:vMerge w:val="restart"/>
            <w:tcBorders>
              <w:top w:val="single" w:color="auto" w:sz="4" w:space="0"/>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当年结余</w:t>
            </w:r>
          </w:p>
        </w:tc>
        <w:tc>
          <w:tcPr>
            <w:tcW w:w="663" w:type="dxa"/>
            <w:vMerge w:val="restart"/>
            <w:tcBorders>
              <w:top w:val="single" w:color="auto" w:sz="4" w:space="0"/>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累计结余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865"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人员支出</w:t>
            </w:r>
          </w:p>
        </w:tc>
        <w:tc>
          <w:tcPr>
            <w:tcW w:w="2375"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公用支出</w:t>
            </w: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82" w:type="dxa"/>
            <w:gridSpan w:val="2"/>
            <w:vMerge w:val="continue"/>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663" w:type="dxa"/>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color w:val="000000"/>
                <w:sz w:val="24"/>
              </w:rPr>
            </w:pPr>
            <w:r>
              <w:rPr>
                <w:rFonts w:ascii="仿宋_GB2312" w:hAnsi="仿宋_GB2312" w:eastAsia="仿宋_GB2312" w:cs="仿宋_GB2312"/>
                <w:sz w:val="24"/>
              </w:rPr>
              <w:t>2</w:t>
            </w:r>
            <w:r>
              <w:rPr>
                <w:rFonts w:hint="eastAsia" w:ascii="仿宋_GB2312" w:hAnsi="仿宋_GB2312" w:eastAsia="仿宋_GB2312" w:cs="仿宋_GB2312"/>
                <w:sz w:val="24"/>
              </w:rPr>
              <w:t>、岳阳市殡葬执法支队</w:t>
            </w:r>
          </w:p>
        </w:tc>
        <w:tc>
          <w:tcPr>
            <w:tcW w:w="1080" w:type="dxa"/>
            <w:tcBorders>
              <w:right w:val="single" w:color="auto" w:sz="4" w:space="0"/>
            </w:tcBorders>
            <w:vAlign w:val="center"/>
          </w:tcPr>
          <w:p>
            <w:pPr>
              <w:autoSpaceDN w:val="0"/>
              <w:spacing w:line="320" w:lineRule="exact"/>
              <w:jc w:val="both"/>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460.56</w:t>
            </w:r>
          </w:p>
        </w:tc>
        <w:tc>
          <w:tcPr>
            <w:tcW w:w="1355" w:type="dxa"/>
            <w:gridSpan w:val="2"/>
            <w:tcBorders>
              <w:left w:val="single" w:color="auto" w:sz="4" w:space="0"/>
            </w:tcBorders>
            <w:vAlign w:val="center"/>
          </w:tcPr>
          <w:p>
            <w:pPr>
              <w:autoSpaceDN w:val="0"/>
              <w:spacing w:line="320" w:lineRule="exac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344.95</w:t>
            </w:r>
          </w:p>
        </w:tc>
        <w:tc>
          <w:tcPr>
            <w:tcW w:w="865" w:type="dxa"/>
            <w:gridSpan w:val="2"/>
            <w:vAlign w:val="center"/>
          </w:tcPr>
          <w:p>
            <w:pPr>
              <w:autoSpaceDN w:val="0"/>
              <w:spacing w:line="320" w:lineRule="exac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295.88</w:t>
            </w:r>
          </w:p>
        </w:tc>
        <w:tc>
          <w:tcPr>
            <w:tcW w:w="2375" w:type="dxa"/>
            <w:gridSpan w:val="4"/>
            <w:vAlign w:val="center"/>
          </w:tcPr>
          <w:p>
            <w:pPr>
              <w:autoSpaceDN w:val="0"/>
              <w:spacing w:line="320" w:lineRule="exact"/>
              <w:jc w:val="both"/>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49.07</w:t>
            </w:r>
          </w:p>
        </w:tc>
        <w:tc>
          <w:tcPr>
            <w:tcW w:w="1080" w:type="dxa"/>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115.61</w:t>
            </w:r>
          </w:p>
        </w:tc>
        <w:tc>
          <w:tcPr>
            <w:tcW w:w="682" w:type="dxa"/>
            <w:gridSpan w:val="2"/>
            <w:tcBorders>
              <w:right w:val="single" w:color="auto" w:sz="4" w:space="0"/>
            </w:tcBorders>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p>
        </w:tc>
        <w:tc>
          <w:tcPr>
            <w:tcW w:w="663" w:type="dxa"/>
            <w:tcBorders>
              <w:left w:val="single" w:color="auto" w:sz="4" w:space="0"/>
            </w:tcBorders>
            <w:vAlign w:val="center"/>
          </w:tcPr>
          <w:p>
            <w:pPr>
              <w:autoSpaceDN w:val="0"/>
              <w:spacing w:line="320" w:lineRule="exact"/>
              <w:jc w:val="both"/>
              <w:textAlignment w:val="center"/>
              <w:rPr>
                <w:rFonts w:hint="default" w:ascii="仿宋_GB2312" w:hAnsi="仿宋_GB2312" w:eastAsia="仿宋_GB2312" w:cs="仿宋_GB2312"/>
                <w:color w:val="000000"/>
                <w:sz w:val="24"/>
                <w:lang w:val="en-US" w:eastAsia="zh-CN"/>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94"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三公经费</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7020" w:type="dxa"/>
            <w:gridSpan w:val="1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355" w:type="dxa"/>
            <w:gridSpan w:val="2"/>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公务接待费</w:t>
            </w:r>
          </w:p>
        </w:tc>
        <w:tc>
          <w:tcPr>
            <w:tcW w:w="865"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公务用车运维费</w:t>
            </w:r>
          </w:p>
        </w:tc>
        <w:tc>
          <w:tcPr>
            <w:tcW w:w="2375"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公务用车购置费</w:t>
            </w:r>
          </w:p>
        </w:tc>
        <w:tc>
          <w:tcPr>
            <w:tcW w:w="2425"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因公出国费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24"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ascii="仿宋_GB2312" w:hAnsi="仿宋_GB2312" w:eastAsia="仿宋_GB2312" w:cs="仿宋_GB2312"/>
                <w:sz w:val="24"/>
              </w:rPr>
              <w:t>2</w:t>
            </w:r>
            <w:r>
              <w:rPr>
                <w:rFonts w:hint="eastAsia" w:ascii="仿宋_GB2312" w:hAnsi="仿宋_GB2312" w:eastAsia="仿宋_GB2312" w:cs="仿宋_GB2312"/>
                <w:sz w:val="24"/>
              </w:rPr>
              <w:t>、岳阳市殡葬执法支队</w:t>
            </w:r>
          </w:p>
        </w:tc>
        <w:tc>
          <w:tcPr>
            <w:tcW w:w="1080" w:type="dxa"/>
            <w:tcBorders>
              <w:right w:val="single" w:color="auto" w:sz="4" w:space="0"/>
            </w:tcBorders>
            <w:vAlign w:val="center"/>
          </w:tcPr>
          <w:p>
            <w:pPr>
              <w:autoSpaceDN w:val="0"/>
              <w:spacing w:line="320" w:lineRule="exact"/>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4.05</w:t>
            </w:r>
          </w:p>
        </w:tc>
        <w:tc>
          <w:tcPr>
            <w:tcW w:w="1355" w:type="dxa"/>
            <w:gridSpan w:val="2"/>
            <w:tcBorders>
              <w:left w:val="single" w:color="auto" w:sz="4" w:space="0"/>
            </w:tcBorders>
            <w:vAlign w:val="center"/>
          </w:tcPr>
          <w:p>
            <w:pPr>
              <w:autoSpaceDN w:val="0"/>
              <w:spacing w:line="320" w:lineRule="exact"/>
              <w:jc w:val="both"/>
              <w:textAlignment w:val="center"/>
              <w:rPr>
                <w:rFonts w:ascii="仿宋_GB2312" w:hAnsi="仿宋_GB2312" w:eastAsia="仿宋_GB2312" w:cs="仿宋_GB2312"/>
                <w:color w:val="000000"/>
                <w:sz w:val="24"/>
              </w:rPr>
            </w:pPr>
          </w:p>
        </w:tc>
        <w:tc>
          <w:tcPr>
            <w:tcW w:w="865" w:type="dxa"/>
            <w:gridSpan w:val="2"/>
            <w:vAlign w:val="center"/>
          </w:tcPr>
          <w:p>
            <w:pPr>
              <w:autoSpaceDN w:val="0"/>
              <w:spacing w:line="320" w:lineRule="exact"/>
              <w:jc w:val="both"/>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4.05</w:t>
            </w:r>
          </w:p>
        </w:tc>
        <w:tc>
          <w:tcPr>
            <w:tcW w:w="2375" w:type="dxa"/>
            <w:gridSpan w:val="4"/>
            <w:vAlign w:val="center"/>
          </w:tcPr>
          <w:p>
            <w:pPr>
              <w:autoSpaceDN w:val="0"/>
              <w:spacing w:line="320" w:lineRule="exact"/>
              <w:textAlignment w:val="center"/>
              <w:rPr>
                <w:rFonts w:ascii="仿宋_GB2312" w:hAnsi="仿宋_GB2312" w:eastAsia="仿宋_GB2312" w:cs="仿宋_GB2312"/>
                <w:color w:val="000000"/>
                <w:sz w:val="24"/>
              </w:rPr>
            </w:pPr>
          </w:p>
        </w:tc>
        <w:tc>
          <w:tcPr>
            <w:tcW w:w="2425"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24" w:hRule="atLeast"/>
          <w:jc w:val="center"/>
        </w:trPr>
        <w:tc>
          <w:tcPr>
            <w:tcW w:w="1700" w:type="dxa"/>
            <w:gridSpan w:val="3"/>
            <w:vMerge w:val="restart"/>
            <w:vAlign w:val="center"/>
          </w:tcPr>
          <w:p>
            <w:pPr>
              <w:spacing w:line="320" w:lineRule="exact"/>
              <w:jc w:val="center"/>
              <w:rPr>
                <w:rFonts w:ascii="仿宋_GB2312" w:hAnsi="仿宋_GB2312" w:eastAsia="仿宋_GB2312" w:cs="仿宋_GB2312"/>
                <w:sz w:val="24"/>
              </w:rPr>
            </w:pPr>
            <w:r>
              <w:rPr>
                <w:rFonts w:hint="eastAsia" w:ascii="仿宋_GB2312" w:hAnsi="仿宋_GB2312" w:eastAsia="仿宋_GB2312" w:cs="仿宋_GB2312"/>
                <w:sz w:val="24"/>
              </w:rPr>
              <w:t>机构名称</w:t>
            </w:r>
          </w:p>
        </w:tc>
        <w:tc>
          <w:tcPr>
            <w:tcW w:w="1080" w:type="dxa"/>
            <w:vMerge w:val="restart"/>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固定资产</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合计</w:t>
            </w:r>
          </w:p>
        </w:tc>
        <w:tc>
          <w:tcPr>
            <w:tcW w:w="6079" w:type="dxa"/>
            <w:gridSpan w:val="10"/>
            <w:tcBorders>
              <w:left w:val="single" w:color="auto" w:sz="4" w:space="0"/>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其中：</w:t>
            </w:r>
          </w:p>
        </w:tc>
        <w:tc>
          <w:tcPr>
            <w:tcW w:w="941" w:type="dxa"/>
            <w:gridSpan w:val="2"/>
            <w:vMerge w:val="restart"/>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其他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64" w:hRule="atLeast"/>
          <w:jc w:val="center"/>
        </w:trPr>
        <w:tc>
          <w:tcPr>
            <w:tcW w:w="1700" w:type="dxa"/>
            <w:gridSpan w:val="3"/>
            <w:vMerge w:val="continue"/>
            <w:vAlign w:val="center"/>
          </w:tcPr>
          <w:p>
            <w:pPr>
              <w:spacing w:line="320" w:lineRule="exact"/>
              <w:jc w:val="center"/>
              <w:rPr>
                <w:rFonts w:ascii="仿宋_GB2312" w:hAnsi="仿宋_GB2312" w:eastAsia="仿宋_GB2312" w:cs="仿宋_GB2312"/>
                <w:sz w:val="24"/>
              </w:rPr>
            </w:pPr>
          </w:p>
        </w:tc>
        <w:tc>
          <w:tcPr>
            <w:tcW w:w="1080" w:type="dxa"/>
            <w:vMerge w:val="continue"/>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220" w:type="dxa"/>
            <w:gridSpan w:val="4"/>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在用固定资产</w:t>
            </w:r>
          </w:p>
        </w:tc>
        <w:tc>
          <w:tcPr>
            <w:tcW w:w="3859" w:type="dxa"/>
            <w:gridSpan w:val="6"/>
            <w:tcBorders>
              <w:righ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出租固定资产</w:t>
            </w:r>
          </w:p>
        </w:tc>
        <w:tc>
          <w:tcPr>
            <w:tcW w:w="941" w:type="dxa"/>
            <w:gridSpan w:val="2"/>
            <w:vMerge w:val="continue"/>
            <w:tcBorders>
              <w:left w:val="single" w:color="auto" w:sz="4" w:space="0"/>
            </w:tcBorders>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795" w:hRule="atLeast"/>
          <w:jc w:val="center"/>
        </w:trPr>
        <w:tc>
          <w:tcPr>
            <w:tcW w:w="1700" w:type="dxa"/>
            <w:gridSpan w:val="3"/>
            <w:vAlign w:val="center"/>
          </w:tcPr>
          <w:p>
            <w:pPr>
              <w:spacing w:line="320" w:lineRule="exact"/>
              <w:jc w:val="left"/>
              <w:rPr>
                <w:rFonts w:ascii="仿宋_GB2312" w:hAnsi="仿宋_GB2312" w:eastAsia="仿宋_GB2312" w:cs="仿宋_GB2312"/>
                <w:sz w:val="24"/>
              </w:rPr>
            </w:pPr>
            <w:r>
              <w:rPr>
                <w:rFonts w:ascii="仿宋_GB2312" w:hAnsi="仿宋_GB2312" w:eastAsia="仿宋_GB2312" w:cs="仿宋_GB2312"/>
                <w:sz w:val="24"/>
              </w:rPr>
              <w:t>2</w:t>
            </w:r>
            <w:r>
              <w:rPr>
                <w:rFonts w:hint="eastAsia" w:ascii="仿宋_GB2312" w:hAnsi="仿宋_GB2312" w:eastAsia="仿宋_GB2312" w:cs="仿宋_GB2312"/>
                <w:sz w:val="24"/>
              </w:rPr>
              <w:t>、岳阳市殡葬执法支队</w:t>
            </w:r>
          </w:p>
        </w:tc>
        <w:tc>
          <w:tcPr>
            <w:tcW w:w="1080" w:type="dxa"/>
            <w:tcBorders>
              <w:right w:val="single" w:color="auto" w:sz="4" w:space="0"/>
            </w:tcBorders>
            <w:vAlign w:val="center"/>
          </w:tcPr>
          <w:p>
            <w:pPr>
              <w:autoSpaceDN w:val="0"/>
              <w:spacing w:line="320" w:lineRule="exact"/>
              <w:jc w:val="both"/>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1148.51</w:t>
            </w:r>
          </w:p>
        </w:tc>
        <w:tc>
          <w:tcPr>
            <w:tcW w:w="2220" w:type="dxa"/>
            <w:gridSpan w:val="4"/>
            <w:tcBorders>
              <w:left w:val="single" w:color="auto" w:sz="4" w:space="0"/>
            </w:tcBorders>
            <w:vAlign w:val="center"/>
          </w:tcPr>
          <w:p>
            <w:pPr>
              <w:autoSpaceDN w:val="0"/>
              <w:spacing w:line="320" w:lineRule="exact"/>
              <w:jc w:val="both"/>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1148.51</w:t>
            </w:r>
          </w:p>
        </w:tc>
        <w:tc>
          <w:tcPr>
            <w:tcW w:w="3859"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941"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9800" w:type="dxa"/>
            <w:gridSpan w:val="1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三、部门（单位）整体支出绩效自评情况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整体支出绩效定性目标及实施计划完成情况</w:t>
            </w:r>
          </w:p>
        </w:tc>
        <w:tc>
          <w:tcPr>
            <w:tcW w:w="3559"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预期目标</w:t>
            </w:r>
          </w:p>
        </w:tc>
        <w:tc>
          <w:tcPr>
            <w:tcW w:w="4800" w:type="dxa"/>
            <w:gridSpan w:val="8"/>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实际完成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52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3559" w:type="dxa"/>
            <w:gridSpan w:val="7"/>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：中心城区执法巡查全覆盖</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：对全市经营性公墓执法检查全覆盖</w:t>
            </w:r>
          </w:p>
          <w:p>
            <w:pPr>
              <w:autoSpaceDN w:val="0"/>
              <w:spacing w:line="320" w:lineRule="exact"/>
              <w:jc w:val="left"/>
              <w:textAlignment w:val="center"/>
              <w:rPr>
                <w:rFonts w:hint="eastAsia" w:ascii="仿宋_GB2312" w:hAnsi="仿宋_GB2312" w:eastAsia="仿宋_GB2312" w:cs="仿宋_GB2312"/>
                <w:color w:val="000000"/>
                <w:sz w:val="24"/>
                <w:lang w:eastAsia="zh-CN"/>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w:t>
            </w:r>
            <w:r>
              <w:rPr>
                <w:rFonts w:hint="eastAsia" w:ascii="仿宋_GB2312" w:hAnsi="仿宋_GB2312" w:eastAsia="仿宋_GB2312" w:cs="仿宋_GB2312"/>
                <w:color w:val="000000"/>
                <w:sz w:val="24"/>
                <w:lang w:val="en-US" w:eastAsia="zh-CN"/>
              </w:rPr>
              <w:t>惠民殡葬、</w:t>
            </w:r>
            <w:r>
              <w:rPr>
                <w:rFonts w:hint="eastAsia" w:ascii="仿宋_GB2312" w:hAnsi="仿宋_GB2312" w:eastAsia="仿宋_GB2312" w:cs="仿宋_GB2312"/>
                <w:color w:val="000000"/>
                <w:sz w:val="24"/>
              </w:rPr>
              <w:t>生态安葬</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文明祭扫</w:t>
            </w:r>
            <w:r>
              <w:rPr>
                <w:rFonts w:hint="eastAsia" w:ascii="仿宋_GB2312" w:hAnsi="仿宋_GB2312" w:eastAsia="仿宋_GB2312" w:cs="仿宋_GB2312"/>
                <w:color w:val="000000"/>
                <w:sz w:val="24"/>
                <w:lang w:val="en-US" w:eastAsia="zh-CN"/>
              </w:rPr>
              <w:t>政策推行、督查、落实</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4</w:t>
            </w:r>
            <w:r>
              <w:rPr>
                <w:rFonts w:hint="eastAsia" w:ascii="仿宋_GB2312" w:hAnsi="仿宋_GB2312" w:eastAsia="仿宋_GB2312" w:cs="仿宋_GB2312"/>
                <w:color w:val="000000"/>
                <w:sz w:val="24"/>
              </w:rPr>
              <w:t>：牵头处理殡葬</w:t>
            </w:r>
            <w:r>
              <w:rPr>
                <w:rFonts w:hint="eastAsia" w:ascii="仿宋_GB2312" w:hAnsi="仿宋_GB2312" w:eastAsia="仿宋_GB2312" w:cs="仿宋_GB2312"/>
                <w:color w:val="000000"/>
                <w:sz w:val="24"/>
                <w:lang w:val="en-US" w:eastAsia="zh-CN"/>
              </w:rPr>
              <w:t>服务</w:t>
            </w:r>
            <w:r>
              <w:rPr>
                <w:rFonts w:hint="eastAsia" w:ascii="仿宋_GB2312" w:hAnsi="仿宋_GB2312" w:eastAsia="仿宋_GB2312" w:cs="仿宋_GB2312"/>
                <w:color w:val="000000"/>
                <w:sz w:val="24"/>
              </w:rPr>
              <w:t>单位违规</w:t>
            </w:r>
            <w:r>
              <w:rPr>
                <w:rFonts w:hint="eastAsia" w:ascii="仿宋_GB2312" w:hAnsi="仿宋_GB2312" w:eastAsia="仿宋_GB2312" w:cs="仿宋_GB2312"/>
                <w:color w:val="000000"/>
                <w:sz w:val="24"/>
                <w:lang w:val="en-US" w:eastAsia="zh-CN"/>
              </w:rPr>
              <w:t>建设、</w:t>
            </w:r>
            <w:r>
              <w:rPr>
                <w:rFonts w:hint="eastAsia" w:ascii="仿宋_GB2312" w:hAnsi="仿宋_GB2312" w:eastAsia="仿宋_GB2312" w:cs="仿宋_GB2312"/>
                <w:color w:val="000000"/>
                <w:sz w:val="24"/>
              </w:rPr>
              <w:t>经营</w:t>
            </w:r>
            <w:r>
              <w:rPr>
                <w:rFonts w:hint="eastAsia" w:ascii="仿宋_GB2312" w:hAnsi="仿宋_GB2312" w:eastAsia="仿宋_GB2312" w:cs="仿宋_GB2312"/>
                <w:color w:val="000000"/>
                <w:sz w:val="24"/>
                <w:lang w:val="en-US" w:eastAsia="zh-CN"/>
              </w:rPr>
              <w:t>等行为</w:t>
            </w:r>
          </w:p>
          <w:p>
            <w:pPr>
              <w:autoSpaceDN w:val="0"/>
              <w:spacing w:line="320" w:lineRule="exact"/>
              <w:jc w:val="left"/>
              <w:textAlignment w:val="center"/>
              <w:rPr>
                <w:rFonts w:hint="default"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5</w:t>
            </w:r>
            <w:r>
              <w:rPr>
                <w:rFonts w:hint="eastAsia" w:ascii="仿宋_GB2312" w:hAnsi="仿宋_GB2312" w:eastAsia="仿宋_GB2312" w:cs="仿宋_GB2312"/>
                <w:color w:val="000000"/>
                <w:sz w:val="24"/>
              </w:rPr>
              <w:t>：督查、指导全市殡葬执法工作</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查处重大违法殡葬案件</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任务</w:t>
            </w:r>
            <w:r>
              <w:rPr>
                <w:rFonts w:ascii="仿宋_GB2312" w:hAnsi="仿宋_GB2312" w:eastAsia="仿宋_GB2312" w:cs="仿宋_GB2312"/>
                <w:color w:val="000000"/>
                <w:sz w:val="24"/>
              </w:rPr>
              <w:t>6</w:t>
            </w:r>
            <w:r>
              <w:rPr>
                <w:rFonts w:hint="eastAsia" w:ascii="仿宋_GB2312" w:hAnsi="仿宋_GB2312" w:eastAsia="仿宋_GB2312" w:cs="仿宋_GB2312"/>
                <w:color w:val="000000"/>
                <w:sz w:val="24"/>
              </w:rPr>
              <w:t>：开展殡葬执法培训</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考核</w:t>
            </w:r>
          </w:p>
        </w:tc>
        <w:tc>
          <w:tcPr>
            <w:tcW w:w="4800" w:type="dxa"/>
            <w:gridSpan w:val="8"/>
            <w:vAlign w:val="center"/>
          </w:tcPr>
          <w:p>
            <w:pPr>
              <w:pStyle w:val="10"/>
              <w:numPr>
                <w:ilvl w:val="0"/>
                <w:numId w:val="2"/>
              </w:numPr>
              <w:autoSpaceDN w:val="0"/>
              <w:spacing w:line="320" w:lineRule="exact"/>
              <w:ind w:firstLineChars="0"/>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中心城区执法巡查已成常态化工作，接警处置率达</w:t>
            </w:r>
            <w:r>
              <w:rPr>
                <w:rFonts w:ascii="仿宋_GB2312" w:hAnsi="仿宋_GB2312" w:eastAsia="仿宋_GB2312" w:cs="仿宋_GB2312"/>
                <w:color w:val="000000"/>
                <w:sz w:val="24"/>
              </w:rPr>
              <w:t>100%</w:t>
            </w:r>
            <w:r>
              <w:rPr>
                <w:rFonts w:hint="eastAsia" w:ascii="仿宋_GB2312" w:hAnsi="仿宋_GB2312" w:eastAsia="仿宋_GB2312" w:cs="仿宋_GB2312"/>
                <w:color w:val="000000"/>
                <w:sz w:val="24"/>
              </w:rPr>
              <w:t>。全年累计巡查</w:t>
            </w:r>
            <w:r>
              <w:rPr>
                <w:rFonts w:hint="eastAsia" w:ascii="仿宋_GB2312" w:hAnsi="仿宋_GB2312" w:eastAsia="仿宋_GB2312" w:cs="仿宋_GB2312"/>
                <w:color w:val="000000"/>
                <w:sz w:val="24"/>
                <w:lang w:val="en-US" w:eastAsia="zh-CN"/>
              </w:rPr>
              <w:t>2195人</w:t>
            </w:r>
            <w:r>
              <w:rPr>
                <w:rFonts w:hint="eastAsia" w:ascii="仿宋_GB2312" w:hAnsi="仿宋_GB2312" w:eastAsia="仿宋_GB2312" w:cs="仿宋_GB2312"/>
                <w:color w:val="000000"/>
                <w:sz w:val="24"/>
              </w:rPr>
              <w:t>次，拆除违规搭棚治丧</w:t>
            </w:r>
            <w:r>
              <w:rPr>
                <w:rFonts w:hint="eastAsia" w:ascii="仿宋_GB2312" w:hAnsi="仿宋_GB2312" w:eastAsia="仿宋_GB2312" w:cs="仿宋_GB2312"/>
                <w:color w:val="000000"/>
                <w:sz w:val="24"/>
                <w:lang w:val="en-US" w:eastAsia="zh-CN"/>
              </w:rPr>
              <w:t xml:space="preserve">3 </w:t>
            </w:r>
            <w:r>
              <w:rPr>
                <w:rFonts w:hint="eastAsia" w:ascii="仿宋_GB2312" w:hAnsi="仿宋_GB2312" w:eastAsia="仿宋_GB2312" w:cs="仿宋_GB2312"/>
                <w:color w:val="000000"/>
                <w:sz w:val="24"/>
              </w:rPr>
              <w:t>起，劝导、制止丧事扰民行为</w:t>
            </w:r>
            <w:r>
              <w:rPr>
                <w:rFonts w:hint="eastAsia" w:ascii="仿宋_GB2312" w:hAnsi="仿宋_GB2312" w:eastAsia="仿宋_GB2312" w:cs="仿宋_GB2312"/>
                <w:color w:val="000000"/>
                <w:sz w:val="24"/>
                <w:lang w:val="en-US" w:eastAsia="zh-CN"/>
              </w:rPr>
              <w:t>131</w:t>
            </w:r>
            <w:r>
              <w:rPr>
                <w:rFonts w:hint="eastAsia" w:ascii="仿宋_GB2312" w:hAnsi="仿宋_GB2312" w:eastAsia="仿宋_GB2312" w:cs="仿宋_GB2312"/>
                <w:color w:val="000000"/>
                <w:sz w:val="24"/>
              </w:rPr>
              <w:t>起</w:t>
            </w:r>
            <w:r>
              <w:rPr>
                <w:rFonts w:ascii="仿宋_GB2312" w:hAnsi="仿宋_GB2312" w:eastAsia="仿宋_GB2312" w:cs="仿宋_GB2312"/>
                <w:color w:val="000000"/>
                <w:sz w:val="24"/>
              </w:rPr>
              <w:t xml:space="preserve"> </w:t>
            </w:r>
          </w:p>
          <w:p>
            <w:pPr>
              <w:autoSpaceDN w:val="0"/>
              <w:spacing w:line="320" w:lineRule="exact"/>
              <w:ind w:firstLine="120" w:firstLineChars="50"/>
              <w:textAlignment w:val="center"/>
              <w:rPr>
                <w:rFonts w:hint="default" w:ascii="仿宋_GB2312" w:hAnsi="仿宋_GB2312" w:eastAsia="仿宋_GB2312" w:cs="仿宋_GB2312"/>
                <w:color w:val="000000"/>
                <w:sz w:val="24"/>
                <w:lang w:val="en-US" w:eastAsia="zh-CN"/>
              </w:rPr>
            </w:pP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对全市经营性公墓每年进行一次执法检查，对违规超标公墓责令整改</w:t>
            </w:r>
            <w:r>
              <w:rPr>
                <w:rFonts w:hint="eastAsia" w:ascii="仿宋_GB2312" w:hAnsi="仿宋_GB2312" w:eastAsia="仿宋_GB2312" w:cs="仿宋_GB2312"/>
                <w:color w:val="000000"/>
                <w:sz w:val="24"/>
                <w:lang w:val="en-US" w:eastAsia="zh-CN"/>
              </w:rPr>
              <w:t>并依法处理</w:t>
            </w:r>
          </w:p>
          <w:p>
            <w:pPr>
              <w:autoSpaceDN w:val="0"/>
              <w:spacing w:line="320" w:lineRule="exact"/>
              <w:ind w:firstLine="120" w:firstLineChars="50"/>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lang w:val="en-US" w:eastAsia="zh-CN"/>
              </w:rPr>
              <w:t>惠民殡葬、</w:t>
            </w:r>
            <w:r>
              <w:rPr>
                <w:rFonts w:hint="eastAsia" w:ascii="仿宋_GB2312" w:hAnsi="仿宋_GB2312" w:eastAsia="仿宋_GB2312" w:cs="仿宋_GB2312"/>
                <w:color w:val="000000"/>
                <w:sz w:val="24"/>
              </w:rPr>
              <w:t>生态安葬，文明祭扫</w:t>
            </w:r>
            <w:r>
              <w:rPr>
                <w:rFonts w:hint="eastAsia" w:ascii="仿宋_GB2312" w:hAnsi="仿宋_GB2312" w:eastAsia="仿宋_GB2312" w:cs="仿宋_GB2312"/>
                <w:color w:val="000000"/>
                <w:sz w:val="24"/>
                <w:lang w:val="en-US" w:eastAsia="zh-CN"/>
              </w:rPr>
              <w:t>等执法性督查</w:t>
            </w:r>
            <w:r>
              <w:rPr>
                <w:rFonts w:hint="eastAsia" w:ascii="仿宋_GB2312" w:hAnsi="仿宋_GB2312" w:eastAsia="仿宋_GB2312" w:cs="仿宋_GB2312"/>
                <w:color w:val="000000"/>
                <w:sz w:val="24"/>
              </w:rPr>
              <w:t>进一步</w:t>
            </w:r>
            <w:r>
              <w:rPr>
                <w:rFonts w:hint="eastAsia" w:ascii="仿宋_GB2312" w:hAnsi="仿宋_GB2312" w:eastAsia="仿宋_GB2312" w:cs="仿宋_GB2312"/>
                <w:color w:val="000000"/>
                <w:sz w:val="24"/>
                <w:lang w:val="en-US" w:eastAsia="zh-CN"/>
              </w:rPr>
              <w:t>落实</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rPr>
              <w:t>文明治丧人数</w:t>
            </w:r>
            <w:r>
              <w:rPr>
                <w:rFonts w:hint="eastAsia" w:ascii="仿宋_GB2312" w:hAnsi="仿宋_GB2312" w:eastAsia="仿宋_GB2312" w:cs="仿宋_GB2312"/>
                <w:color w:val="000000"/>
                <w:sz w:val="24"/>
                <w:lang w:val="en-US" w:eastAsia="zh-CN"/>
              </w:rPr>
              <w:t>101</w:t>
            </w:r>
            <w:r>
              <w:rPr>
                <w:rFonts w:hint="eastAsia" w:ascii="仿宋_GB2312" w:hAnsi="仿宋_GB2312" w:eastAsia="仿宋_GB2312" w:cs="仿宋_GB2312"/>
                <w:color w:val="000000"/>
                <w:sz w:val="24"/>
              </w:rPr>
              <w:t>人，奖励</w:t>
            </w:r>
            <w:r>
              <w:rPr>
                <w:rFonts w:hint="eastAsia" w:ascii="仿宋_GB2312" w:hAnsi="仿宋_GB2312" w:eastAsia="仿宋_GB2312" w:cs="仿宋_GB2312"/>
                <w:color w:val="000000"/>
                <w:sz w:val="24"/>
                <w:lang w:val="en-US" w:eastAsia="zh-CN"/>
              </w:rPr>
              <w:t>30.5</w:t>
            </w:r>
            <w:r>
              <w:rPr>
                <w:rFonts w:hint="eastAsia" w:ascii="仿宋_GB2312" w:hAnsi="仿宋_GB2312" w:eastAsia="仿宋_GB2312" w:cs="仿宋_GB2312"/>
                <w:color w:val="000000"/>
                <w:sz w:val="24"/>
              </w:rPr>
              <w:t>万元；集中治丧人数</w:t>
            </w:r>
            <w:r>
              <w:rPr>
                <w:rFonts w:hint="eastAsia" w:ascii="仿宋_GB2312" w:hAnsi="仿宋_GB2312" w:eastAsia="仿宋_GB2312" w:cs="仿宋_GB2312"/>
                <w:color w:val="000000"/>
                <w:sz w:val="24"/>
                <w:lang w:val="en-US" w:eastAsia="zh-CN"/>
              </w:rPr>
              <w:t>135</w:t>
            </w:r>
            <w:r>
              <w:rPr>
                <w:rFonts w:hint="eastAsia" w:ascii="仿宋_GB2312" w:hAnsi="仿宋_GB2312" w:eastAsia="仿宋_GB2312" w:cs="仿宋_GB2312"/>
                <w:color w:val="000000"/>
                <w:sz w:val="24"/>
              </w:rPr>
              <w:t>人，奖励</w:t>
            </w:r>
            <w:r>
              <w:rPr>
                <w:rFonts w:hint="eastAsia" w:ascii="仿宋_GB2312" w:hAnsi="仿宋_GB2312" w:eastAsia="仿宋_GB2312" w:cs="仿宋_GB2312"/>
                <w:color w:val="000000"/>
                <w:sz w:val="24"/>
                <w:lang w:val="en-US" w:eastAsia="zh-CN"/>
              </w:rPr>
              <w:t>40.5</w:t>
            </w:r>
            <w:r>
              <w:rPr>
                <w:rFonts w:hint="eastAsia" w:ascii="仿宋_GB2312" w:hAnsi="仿宋_GB2312" w:eastAsia="仿宋_GB2312" w:cs="仿宋_GB2312"/>
                <w:color w:val="000000"/>
                <w:sz w:val="24"/>
              </w:rPr>
              <w:t>万元。</w:t>
            </w:r>
            <w:r>
              <w:rPr>
                <w:rFonts w:ascii="仿宋_GB2312" w:hAnsi="仿宋_GB2312" w:eastAsia="仿宋_GB2312" w:cs="仿宋_GB2312"/>
                <w:color w:val="000000"/>
                <w:sz w:val="24"/>
              </w:rPr>
              <w:t xml:space="preserve"> </w:t>
            </w:r>
          </w:p>
          <w:p>
            <w:pPr>
              <w:autoSpaceDN w:val="0"/>
              <w:spacing w:line="320" w:lineRule="exact"/>
              <w:ind w:firstLine="120" w:firstLineChars="50"/>
              <w:textAlignment w:val="center"/>
              <w:rPr>
                <w:rFonts w:hint="default" w:ascii="仿宋_GB2312" w:hAnsi="仿宋_GB2312" w:eastAsia="仿宋_GB2312" w:cs="仿宋_GB2312"/>
                <w:color w:val="000000"/>
                <w:sz w:val="24"/>
                <w:lang w:val="en-US" w:eastAsia="zh-CN"/>
              </w:rPr>
            </w:pPr>
            <w:r>
              <w:rPr>
                <w:rFonts w:ascii="仿宋_GB2312" w:hAnsi="仿宋_GB2312" w:eastAsia="仿宋_GB2312" w:cs="仿宋_GB2312"/>
                <w:color w:val="000000"/>
                <w:sz w:val="24"/>
              </w:rPr>
              <w:t>4.</w:t>
            </w:r>
            <w:r>
              <w:rPr>
                <w:rFonts w:hint="eastAsia" w:ascii="仿宋_GB2312" w:hAnsi="仿宋_GB2312" w:eastAsia="仿宋_GB2312" w:cs="仿宋_GB2312"/>
                <w:color w:val="000000"/>
                <w:sz w:val="24"/>
              </w:rPr>
              <w:t>对殡葬</w:t>
            </w:r>
            <w:r>
              <w:rPr>
                <w:rFonts w:hint="eastAsia" w:ascii="仿宋_GB2312" w:hAnsi="仿宋_GB2312" w:eastAsia="仿宋_GB2312" w:cs="仿宋_GB2312"/>
                <w:color w:val="000000"/>
                <w:sz w:val="24"/>
                <w:lang w:val="en-US" w:eastAsia="zh-CN"/>
              </w:rPr>
              <w:t>服务</w:t>
            </w:r>
            <w:r>
              <w:rPr>
                <w:rFonts w:hint="eastAsia" w:ascii="仿宋_GB2312" w:hAnsi="仿宋_GB2312" w:eastAsia="仿宋_GB2312" w:cs="仿宋_GB2312"/>
                <w:color w:val="000000"/>
                <w:sz w:val="24"/>
              </w:rPr>
              <w:t>单位违规</w:t>
            </w:r>
            <w:r>
              <w:rPr>
                <w:rFonts w:hint="eastAsia" w:ascii="仿宋_GB2312" w:hAnsi="仿宋_GB2312" w:eastAsia="仿宋_GB2312" w:cs="仿宋_GB2312"/>
                <w:color w:val="000000"/>
                <w:sz w:val="24"/>
                <w:lang w:val="en-US" w:eastAsia="zh-CN"/>
              </w:rPr>
              <w:t>建设、</w:t>
            </w:r>
            <w:r>
              <w:rPr>
                <w:rFonts w:hint="eastAsia" w:ascii="仿宋_GB2312" w:hAnsi="仿宋_GB2312" w:eastAsia="仿宋_GB2312" w:cs="仿宋_GB2312"/>
                <w:color w:val="000000"/>
                <w:sz w:val="24"/>
              </w:rPr>
              <w:t>经营行为进行处理</w:t>
            </w:r>
            <w:r>
              <w:rPr>
                <w:rFonts w:hint="eastAsia" w:ascii="仿宋_GB2312" w:hAnsi="仿宋_GB2312" w:eastAsia="仿宋_GB2312" w:cs="仿宋_GB2312"/>
                <w:color w:val="000000"/>
                <w:sz w:val="24"/>
                <w:lang w:eastAsia="zh-CN"/>
              </w:rPr>
              <w:t>，</w:t>
            </w:r>
            <w:r>
              <w:rPr>
                <w:rFonts w:hint="eastAsia" w:ascii="仿宋_GB2312" w:hAnsi="仿宋_GB2312" w:eastAsia="仿宋_GB2312" w:cs="仿宋_GB2312"/>
                <w:color w:val="000000"/>
                <w:sz w:val="24"/>
                <w:lang w:val="en-US" w:eastAsia="zh-CN"/>
              </w:rPr>
              <w:t>执法效果好，群众反映佳</w:t>
            </w:r>
          </w:p>
          <w:p>
            <w:pPr>
              <w:autoSpaceDN w:val="0"/>
              <w:spacing w:line="320" w:lineRule="exact"/>
              <w:ind w:firstLine="120" w:firstLineChars="50"/>
              <w:textAlignment w:val="center"/>
              <w:rPr>
                <w:rFonts w:hint="default" w:ascii="仿宋_GB2312" w:hAnsi="仿宋_GB2312" w:eastAsia="仿宋_GB2312" w:cs="仿宋_GB2312"/>
                <w:color w:val="000000"/>
                <w:sz w:val="24"/>
                <w:lang w:val="en-US" w:eastAsia="zh-CN"/>
              </w:rPr>
            </w:pPr>
            <w:r>
              <w:rPr>
                <w:rFonts w:ascii="仿宋_GB2312" w:hAnsi="仿宋_GB2312" w:eastAsia="仿宋_GB2312" w:cs="仿宋_GB2312"/>
                <w:color w:val="000000"/>
                <w:sz w:val="24"/>
              </w:rPr>
              <w:t>5.</w:t>
            </w:r>
            <w:r>
              <w:rPr>
                <w:rFonts w:hint="eastAsia" w:ascii="仿宋_GB2312" w:hAnsi="仿宋_GB2312" w:eastAsia="仿宋_GB2312" w:cs="仿宋_GB2312"/>
                <w:color w:val="000000"/>
                <w:sz w:val="24"/>
              </w:rPr>
              <w:t>对</w:t>
            </w:r>
            <w:r>
              <w:rPr>
                <w:rFonts w:hint="eastAsia" w:ascii="仿宋_GB2312" w:hAnsi="仿宋_GB2312" w:eastAsia="仿宋_GB2312" w:cs="仿宋_GB2312"/>
                <w:color w:val="000000"/>
                <w:sz w:val="24"/>
                <w:lang w:val="en-US" w:eastAsia="zh-CN"/>
              </w:rPr>
              <w:t>全市</w:t>
            </w:r>
            <w:r>
              <w:rPr>
                <w:rFonts w:hint="eastAsia" w:ascii="仿宋_GB2312" w:hAnsi="仿宋_GB2312" w:eastAsia="仿宋_GB2312" w:cs="仿宋_GB2312"/>
                <w:color w:val="000000"/>
                <w:sz w:val="24"/>
              </w:rPr>
              <w:t>殡葬执法工作进行督查，指导</w:t>
            </w:r>
            <w:r>
              <w:rPr>
                <w:rFonts w:hint="eastAsia" w:ascii="仿宋_GB2312" w:hAnsi="仿宋_GB2312" w:eastAsia="仿宋_GB2312" w:cs="仿宋_GB2312"/>
                <w:color w:val="000000"/>
                <w:sz w:val="24"/>
                <w:lang w:val="en-US" w:eastAsia="zh-CN"/>
              </w:rPr>
              <w:t>查处重大违法殡葬案件</w:t>
            </w:r>
          </w:p>
          <w:p>
            <w:pPr>
              <w:autoSpaceDN w:val="0"/>
              <w:spacing w:line="320" w:lineRule="exact"/>
              <w:ind w:firstLine="120" w:firstLineChars="50"/>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6.</w:t>
            </w:r>
            <w:r>
              <w:rPr>
                <w:rFonts w:hint="eastAsia" w:ascii="仿宋_GB2312" w:hAnsi="仿宋_GB2312" w:eastAsia="仿宋_GB2312" w:cs="仿宋_GB2312"/>
                <w:color w:val="000000"/>
                <w:sz w:val="24"/>
              </w:rPr>
              <w:t>开展殡葬执法</w:t>
            </w:r>
            <w:r>
              <w:rPr>
                <w:rFonts w:hint="eastAsia" w:ascii="仿宋_GB2312" w:hAnsi="仿宋_GB2312" w:eastAsia="仿宋_GB2312" w:cs="仿宋_GB2312"/>
                <w:color w:val="000000"/>
                <w:sz w:val="24"/>
                <w:lang w:val="en-US" w:eastAsia="zh-CN"/>
              </w:rPr>
              <w:t>和落实惠民</w:t>
            </w:r>
            <w:r>
              <w:rPr>
                <w:rFonts w:hint="eastAsia" w:ascii="仿宋_GB2312" w:hAnsi="仿宋_GB2312" w:eastAsia="仿宋_GB2312" w:cs="仿宋_GB2312"/>
                <w:color w:val="000000"/>
                <w:sz w:val="24"/>
              </w:rPr>
              <w:t>殡葬培训各一次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441" w:type="dxa"/>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整体支出</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绩效定量目标及实施计划完成情况</w:t>
            </w:r>
          </w:p>
        </w:tc>
        <w:tc>
          <w:tcPr>
            <w:tcW w:w="296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评价内容</w:t>
            </w:r>
          </w:p>
        </w:tc>
        <w:tc>
          <w:tcPr>
            <w:tcW w:w="2709" w:type="dxa"/>
            <w:gridSpan w:val="4"/>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绩效目标</w:t>
            </w:r>
          </w:p>
        </w:tc>
        <w:tc>
          <w:tcPr>
            <w:tcW w:w="2684"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完成情况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1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产出目标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（部门工作实绩，包含上级部门和市委市政府布置的重点工作、实事任务等，根据部门实际进行调整细化）</w:t>
            </w: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质量指标</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：殡葬改革宣传工作务实，老百姓接受先进殡葬理念程度进一步增强</w:t>
            </w:r>
          </w:p>
        </w:tc>
        <w:tc>
          <w:tcPr>
            <w:tcW w:w="2684"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遵守殡葬法规，接受先进殡葬方式的群体正在扩大</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1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spacing w:line="320" w:lineRule="exact"/>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：殡葬执法环境进一步优化</w:t>
            </w:r>
          </w:p>
        </w:tc>
        <w:tc>
          <w:tcPr>
            <w:tcW w:w="2684"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违规殡葬行为逐步减少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13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spacing w:line="320" w:lineRule="exact"/>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积极引导生态安葬，生态安葬率逐步提高</w:t>
            </w:r>
          </w:p>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4.</w:t>
            </w:r>
            <w:r>
              <w:rPr>
                <w:rFonts w:hint="eastAsia" w:ascii="仿宋_GB2312" w:hAnsi="仿宋_GB2312" w:eastAsia="仿宋_GB2312" w:cs="仿宋_GB2312"/>
                <w:color w:val="000000"/>
                <w:sz w:val="24"/>
              </w:rPr>
              <w:t>积极落实中心城区惠民殡葬政策，按照规定和要求审核、发放惠民政策资金</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乱埋乱葬行为减少，</w:t>
            </w:r>
            <w:r>
              <w:rPr>
                <w:rFonts w:hint="eastAsia" w:ascii="仿宋_GB2312" w:hAnsi="仿宋_GB2312" w:eastAsia="仿宋_GB2312" w:cs="仿宋_GB2312"/>
                <w:color w:val="000000"/>
                <w:sz w:val="24"/>
              </w:rPr>
              <w:t>实行生态安葬人数不断增多</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殡葬服务设施、生态设施实现全覆盖</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lang w:val="en-US" w:eastAsia="zh-CN"/>
              </w:rPr>
              <w:t>执法监督到位，</w:t>
            </w:r>
            <w:r>
              <w:rPr>
                <w:rFonts w:hint="eastAsia" w:ascii="仿宋_GB2312" w:hAnsi="仿宋_GB2312" w:eastAsia="仿宋_GB2312" w:cs="仿宋_GB2312"/>
                <w:color w:val="000000"/>
                <w:sz w:val="24"/>
              </w:rPr>
              <w:t>惠民奖补资金发放规范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2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数量指标</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：开展殡葬改革宣传一次</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进社区，进单位效果明显</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1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：开展</w:t>
            </w:r>
            <w:r>
              <w:rPr>
                <w:rFonts w:hint="eastAsia" w:ascii="仿宋_GB2312" w:hAnsi="仿宋_GB2312" w:eastAsia="仿宋_GB2312" w:cs="仿宋_GB2312"/>
                <w:color w:val="000000"/>
                <w:sz w:val="24"/>
                <w:lang w:eastAsia="zh-CN"/>
              </w:rPr>
              <w:t>不定期</w:t>
            </w:r>
            <w:r>
              <w:rPr>
                <w:rFonts w:hint="eastAsia" w:ascii="仿宋_GB2312" w:hAnsi="仿宋_GB2312" w:eastAsia="仿宋_GB2312" w:cs="仿宋_GB2312"/>
                <w:color w:val="000000"/>
                <w:sz w:val="24"/>
              </w:rPr>
              <w:t>生态安葬殡葬服务</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影响深远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75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主动开展殡葬执法巡查、督查</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lang w:val="en-US" w:eastAsia="zh-CN"/>
              </w:rPr>
              <w:t>2195人</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次，违规殡葬举报处置率达到</w:t>
            </w:r>
            <w:r>
              <w:rPr>
                <w:rFonts w:ascii="仿宋_GB2312" w:hAnsi="仿宋_GB2312" w:eastAsia="仿宋_GB2312" w:cs="仿宋_GB2312"/>
                <w:color w:val="000000"/>
                <w:sz w:val="24"/>
              </w:rPr>
              <w:t>100%</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执法工作按要求全面完成年度目标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09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时效指标</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：即时受理违规殡葬行为举报、办理惠民殡葬政策奖补资金发放手续</w:t>
            </w:r>
          </w:p>
        </w:tc>
        <w:tc>
          <w:tcPr>
            <w:tcW w:w="2684" w:type="dxa"/>
            <w:gridSpan w:val="5"/>
            <w:vAlign w:val="center"/>
          </w:tcPr>
          <w:p>
            <w:pPr>
              <w:autoSpaceDN w:val="0"/>
              <w:spacing w:line="320" w:lineRule="exac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实行了</w:t>
            </w:r>
            <w:r>
              <w:rPr>
                <w:rFonts w:ascii="仿宋_GB2312" w:hAnsi="仿宋_GB2312" w:eastAsia="仿宋_GB2312" w:cs="仿宋_GB2312"/>
                <w:color w:val="000000"/>
                <w:sz w:val="24"/>
              </w:rPr>
              <w:t>24</w:t>
            </w:r>
            <w:r>
              <w:rPr>
                <w:rFonts w:hint="eastAsia" w:ascii="仿宋_GB2312" w:hAnsi="仿宋_GB2312" w:eastAsia="仿宋_GB2312" w:cs="仿宋_GB2312"/>
                <w:color w:val="000000"/>
                <w:sz w:val="24"/>
              </w:rPr>
              <w:t>小时值班制</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及时办理手续，老百姓满意度提高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42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：一小时内到达中心城区违规殡葬现场进行处置，没有因处置不及时而出现投诉情况</w:t>
            </w:r>
          </w:p>
        </w:tc>
        <w:tc>
          <w:tcPr>
            <w:tcW w:w="2684"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全面完成，无投诉举报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3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按照法定时间规定完成其他县市区违规殡葬行为处置程序</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已完成，群众满意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7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成本指标</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：殡葬改革宣传</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lang w:val="en-US" w:eastAsia="zh-CN"/>
              </w:rPr>
              <w:t>2</w:t>
            </w:r>
            <w:r>
              <w:rPr>
                <w:rFonts w:hint="eastAsia" w:ascii="仿宋_GB2312" w:hAnsi="仿宋_GB2312" w:eastAsia="仿宋_GB2312" w:cs="仿宋_GB2312"/>
                <w:color w:val="000000"/>
                <w:sz w:val="24"/>
              </w:rPr>
              <w:t>万元</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已完成，效果好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81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：殡葬执法巡查、督查</w:t>
            </w:r>
            <w:r>
              <w:rPr>
                <w:rFonts w:ascii="仿宋_GB2312" w:hAnsi="仿宋_GB2312" w:eastAsia="仿宋_GB2312" w:cs="仿宋_GB2312"/>
                <w:color w:val="000000"/>
                <w:sz w:val="24"/>
              </w:rPr>
              <w:t>20</w:t>
            </w:r>
            <w:r>
              <w:rPr>
                <w:rFonts w:hint="eastAsia" w:ascii="仿宋_GB2312" w:hAnsi="仿宋_GB2312" w:eastAsia="仿宋_GB2312" w:cs="仿宋_GB2312"/>
                <w:color w:val="000000"/>
                <w:sz w:val="24"/>
              </w:rPr>
              <w:t>万元</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已完成，受到群众好评</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79"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Merge w:val="continue"/>
            <w:vAlign w:val="center"/>
          </w:tcPr>
          <w:p>
            <w:pPr>
              <w:autoSpaceDN w:val="0"/>
              <w:spacing w:line="320" w:lineRule="exact"/>
              <w:jc w:val="center"/>
              <w:textAlignment w:val="center"/>
              <w:rPr>
                <w:rFonts w:ascii="仿宋_GB2312" w:hAnsi="仿宋_GB2312" w:eastAsia="仿宋_GB2312" w:cs="仿宋_GB2312"/>
                <w:sz w:val="24"/>
              </w:rPr>
            </w:pP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其他服务</w:t>
            </w:r>
            <w:r>
              <w:rPr>
                <w:rFonts w:hint="eastAsia" w:ascii="仿宋_GB2312" w:hAnsi="仿宋_GB2312" w:eastAsia="仿宋_GB2312" w:cs="仿宋_GB2312"/>
                <w:color w:val="000000"/>
                <w:sz w:val="24"/>
                <w:lang w:val="en-US" w:eastAsia="zh-CN"/>
              </w:rPr>
              <w:t>4</w:t>
            </w:r>
            <w:r>
              <w:rPr>
                <w:rFonts w:hint="eastAsia" w:ascii="仿宋_GB2312" w:hAnsi="仿宋_GB2312" w:eastAsia="仿宋_GB2312" w:cs="仿宋_GB2312"/>
                <w:color w:val="000000"/>
                <w:sz w:val="24"/>
              </w:rPr>
              <w:t>万元</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已完成，群众满意</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43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restart"/>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效益目标</w:t>
            </w:r>
          </w:p>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（预期实现的效益）</w:t>
            </w: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社会效益</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：社会各阶层了解殡葬法规、殡葬政策的人逐步增多</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：殡葬服务规范程度进一步提高</w:t>
            </w:r>
          </w:p>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老百姓对殡葬执法、殡葬服务的满意度不断提高</w:t>
            </w: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已完成，越来越多的人理解、支持殡葬工作</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老百姓对殡葬服务质量投诉率低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114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经济效益</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w:t>
            </w:r>
          </w:p>
        </w:tc>
        <w:tc>
          <w:tcPr>
            <w:tcW w:w="2684" w:type="dxa"/>
            <w:gridSpan w:val="5"/>
            <w:vAlign w:val="center"/>
          </w:tcPr>
          <w:p>
            <w:pPr>
              <w:autoSpaceDN w:val="0"/>
              <w:spacing w:line="320" w:lineRule="exact"/>
              <w:jc w:val="center"/>
              <w:textAlignment w:val="center"/>
              <w:rPr>
                <w:rFonts w:ascii="仿宋_GB2312" w:hAnsi="仿宋_GB2312" w:eastAsia="仿宋_GB2312" w:cs="仿宋_GB2312"/>
                <w:b/>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4740"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生态效益</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：殡葬服务单位生态安葬持续开展，生态环境进一步改善</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：采纳文明祭扫、生态祭扫方式的比例逐年增加，公墓（含农村公益性公墓）内祭扫环境进一步优化</w:t>
            </w:r>
          </w:p>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3.</w:t>
            </w:r>
            <w:r>
              <w:rPr>
                <w:rFonts w:hint="eastAsia" w:ascii="仿宋_GB2312" w:hAnsi="仿宋_GB2312" w:eastAsia="仿宋_GB2312" w:cs="仿宋_GB2312"/>
                <w:color w:val="000000"/>
                <w:sz w:val="24"/>
              </w:rPr>
              <w:t>殡葬活动扰民情况得到有效制止</w:t>
            </w:r>
          </w:p>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4.</w:t>
            </w:r>
            <w:r>
              <w:rPr>
                <w:rFonts w:hint="eastAsia" w:ascii="仿宋_GB2312" w:hAnsi="仿宋_GB2312" w:eastAsia="仿宋_GB2312" w:cs="仿宋_GB2312"/>
                <w:color w:val="000000"/>
                <w:sz w:val="24"/>
              </w:rPr>
              <w:t>积极引导公墓（含农村公益性公墓）实行生态安葬，可持续利用土地</w:t>
            </w:r>
          </w:p>
          <w:p>
            <w:pPr>
              <w:autoSpaceDN w:val="0"/>
              <w:spacing w:line="320" w:lineRule="exact"/>
              <w:jc w:val="left"/>
              <w:textAlignment w:val="center"/>
              <w:rPr>
                <w:rFonts w:ascii="仿宋_GB2312" w:hAnsi="仿宋_GB2312" w:eastAsia="仿宋_GB2312" w:cs="仿宋_GB2312"/>
                <w:color w:val="000000"/>
                <w:sz w:val="24"/>
              </w:rPr>
            </w:pPr>
          </w:p>
        </w:tc>
        <w:tc>
          <w:tcPr>
            <w:tcW w:w="2684" w:type="dxa"/>
            <w:gridSpan w:val="5"/>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生态设施建设实现了在殡葬服务单位全覆盖</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文明祭扫率逐年提高</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殡葬活动扰民情况逐步减少，移风易俗正在成为风尚</w:t>
            </w:r>
          </w:p>
          <w:p>
            <w:pPr>
              <w:autoSpaceDN w:val="0"/>
              <w:spacing w:line="320" w:lineRule="exact"/>
              <w:jc w:val="left"/>
              <w:textAlignment w:val="center"/>
              <w:rPr>
                <w:rFonts w:ascii="仿宋_GB2312" w:hAnsi="仿宋_GB2312" w:eastAsia="仿宋_GB2312" w:cs="仿宋_GB2312"/>
                <w:b/>
                <w:color w:val="000000"/>
                <w:sz w:val="24"/>
              </w:rPr>
            </w:pPr>
            <w:r>
              <w:rPr>
                <w:rFonts w:hint="eastAsia" w:ascii="仿宋_GB2312" w:hAnsi="仿宋_GB2312" w:eastAsia="仿宋_GB2312" w:cs="仿宋_GB2312"/>
                <w:color w:val="000000"/>
                <w:sz w:val="24"/>
              </w:rPr>
              <w:t>传统型公墓正逐步向生态安葬转型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135" w:hRule="atLeast"/>
          <w:jc w:val="center"/>
        </w:trPr>
        <w:tc>
          <w:tcPr>
            <w:tcW w:w="1441" w:type="dxa"/>
            <w:vMerge w:val="continue"/>
            <w:vAlign w:val="center"/>
          </w:tcPr>
          <w:p>
            <w:pPr>
              <w:spacing w:line="320" w:lineRule="exact"/>
              <w:rPr>
                <w:rFonts w:ascii="仿宋_GB2312" w:hAnsi="仿宋_GB2312" w:eastAsia="仿宋_GB2312" w:cs="仿宋_GB2312"/>
                <w:sz w:val="24"/>
              </w:rPr>
            </w:pPr>
          </w:p>
        </w:tc>
        <w:tc>
          <w:tcPr>
            <w:tcW w:w="1549" w:type="dxa"/>
            <w:gridSpan w:val="4"/>
            <w:vMerge w:val="continue"/>
            <w:vAlign w:val="center"/>
          </w:tcPr>
          <w:p>
            <w:pPr>
              <w:autoSpaceDN w:val="0"/>
              <w:spacing w:line="320" w:lineRule="exact"/>
              <w:rPr>
                <w:rFonts w:ascii="仿宋_GB2312" w:hAnsi="仿宋_GB2312" w:eastAsia="仿宋_GB2312" w:cs="仿宋_GB2312"/>
                <w:sz w:val="24"/>
              </w:rPr>
            </w:pPr>
          </w:p>
        </w:tc>
        <w:tc>
          <w:tcPr>
            <w:tcW w:w="1417"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社会公众或服务对象满意度</w:t>
            </w:r>
          </w:p>
        </w:tc>
        <w:tc>
          <w:tcPr>
            <w:tcW w:w="2709" w:type="dxa"/>
            <w:gridSpan w:val="4"/>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1</w:t>
            </w:r>
            <w:r>
              <w:rPr>
                <w:rFonts w:hint="eastAsia" w:ascii="仿宋_GB2312" w:hAnsi="仿宋_GB2312" w:eastAsia="仿宋_GB2312" w:cs="仿宋_GB2312"/>
                <w:color w:val="000000"/>
                <w:sz w:val="24"/>
              </w:rPr>
              <w:t>：老百姓对殡葬执法满意度达到</w:t>
            </w:r>
            <w:r>
              <w:rPr>
                <w:rFonts w:ascii="仿宋_GB2312" w:hAnsi="仿宋_GB2312" w:eastAsia="仿宋_GB2312" w:cs="仿宋_GB2312"/>
                <w:color w:val="000000"/>
                <w:sz w:val="24"/>
              </w:rPr>
              <w:t>90%</w:t>
            </w:r>
            <w:r>
              <w:rPr>
                <w:rFonts w:hint="eastAsia" w:ascii="仿宋_GB2312" w:hAnsi="仿宋_GB2312" w:eastAsia="仿宋_GB2312" w:cs="仿宋_GB2312"/>
                <w:color w:val="000000"/>
                <w:sz w:val="24"/>
              </w:rPr>
              <w:t>以上</w:t>
            </w:r>
          </w:p>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指标</w:t>
            </w:r>
            <w:r>
              <w:rPr>
                <w:rFonts w:ascii="仿宋_GB2312" w:hAnsi="仿宋_GB2312" w:eastAsia="仿宋_GB2312" w:cs="仿宋_GB2312"/>
                <w:color w:val="000000"/>
                <w:sz w:val="24"/>
              </w:rPr>
              <w:t>2</w:t>
            </w:r>
            <w:r>
              <w:rPr>
                <w:rFonts w:hint="eastAsia" w:ascii="仿宋_GB2312" w:hAnsi="仿宋_GB2312" w:eastAsia="仿宋_GB2312" w:cs="仿宋_GB2312"/>
                <w:color w:val="000000"/>
                <w:sz w:val="24"/>
              </w:rPr>
              <w:t>：殡葬改革宣传工作务实有效</w:t>
            </w:r>
          </w:p>
          <w:p>
            <w:pPr>
              <w:pStyle w:val="10"/>
              <w:numPr>
                <w:ilvl w:val="0"/>
                <w:numId w:val="2"/>
              </w:numPr>
              <w:autoSpaceDN w:val="0"/>
              <w:spacing w:line="320" w:lineRule="exact"/>
              <w:ind w:firstLineChars="0"/>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殡葬服务满意度达到</w:t>
            </w:r>
            <w:r>
              <w:rPr>
                <w:rFonts w:ascii="仿宋_GB2312" w:hAnsi="仿宋_GB2312" w:eastAsia="仿宋_GB2312" w:cs="仿宋_GB2312"/>
                <w:color w:val="000000"/>
                <w:sz w:val="24"/>
              </w:rPr>
              <w:t>90%</w:t>
            </w:r>
            <w:r>
              <w:rPr>
                <w:rFonts w:hint="eastAsia" w:ascii="仿宋_GB2312" w:hAnsi="仿宋_GB2312" w:eastAsia="仿宋_GB2312" w:cs="仿宋_GB2312"/>
                <w:color w:val="000000"/>
                <w:sz w:val="24"/>
              </w:rPr>
              <w:t>以上</w:t>
            </w:r>
          </w:p>
        </w:tc>
        <w:tc>
          <w:tcPr>
            <w:tcW w:w="2684"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已完成</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绩效自评综合得分</w:t>
            </w:r>
          </w:p>
        </w:tc>
        <w:tc>
          <w:tcPr>
            <w:tcW w:w="6810" w:type="dxa"/>
            <w:gridSpan w:val="11"/>
            <w:vAlign w:val="center"/>
          </w:tcPr>
          <w:p>
            <w:pPr>
              <w:autoSpaceDN w:val="0"/>
              <w:spacing w:line="320" w:lineRule="exact"/>
              <w:jc w:val="center"/>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97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2990" w:type="dxa"/>
            <w:gridSpan w:val="5"/>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评价等次</w:t>
            </w:r>
          </w:p>
        </w:tc>
        <w:tc>
          <w:tcPr>
            <w:tcW w:w="6810" w:type="dxa"/>
            <w:gridSpan w:val="11"/>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优秀</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9800" w:type="dxa"/>
            <w:gridSpan w:val="1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黑体" w:hAnsi="黑体" w:eastAsia="黑体" w:cs="黑体"/>
                <w:color w:val="000000"/>
                <w:sz w:val="28"/>
                <w:szCs w:val="28"/>
              </w:rPr>
              <w:t>四、评价人员</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567"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姓</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名</w:t>
            </w:r>
          </w:p>
        </w:tc>
        <w:tc>
          <w:tcPr>
            <w:tcW w:w="334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职务</w:t>
            </w:r>
            <w:r>
              <w:rPr>
                <w:rFonts w:ascii="仿宋_GB2312" w:hAnsi="仿宋_GB2312" w:eastAsia="仿宋_GB2312" w:cs="仿宋_GB2312"/>
                <w:color w:val="000000"/>
                <w:sz w:val="24"/>
              </w:rPr>
              <w:t>/</w:t>
            </w:r>
            <w:r>
              <w:rPr>
                <w:rFonts w:hint="eastAsia" w:ascii="仿宋_GB2312" w:hAnsi="仿宋_GB2312" w:eastAsia="仿宋_GB2312" w:cs="仿宋_GB2312"/>
                <w:color w:val="000000"/>
                <w:sz w:val="24"/>
              </w:rPr>
              <w:t>职称</w:t>
            </w:r>
          </w:p>
        </w:tc>
        <w:tc>
          <w:tcPr>
            <w:tcW w:w="186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单</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位</w:t>
            </w:r>
          </w:p>
        </w:tc>
        <w:tc>
          <w:tcPr>
            <w:tcW w:w="2931"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签</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陈自卫</w:t>
            </w:r>
          </w:p>
        </w:tc>
        <w:tc>
          <w:tcPr>
            <w:tcW w:w="334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支队长、书记</w:t>
            </w:r>
          </w:p>
        </w:tc>
        <w:tc>
          <w:tcPr>
            <w:tcW w:w="1869" w:type="dxa"/>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市殡葬执法支队</w:t>
            </w:r>
          </w:p>
        </w:tc>
        <w:tc>
          <w:tcPr>
            <w:tcW w:w="2931"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hint="eastAsia" w:ascii="仿宋_GB2312" w:hAnsi="仿宋_GB2312" w:eastAsia="仿宋_GB2312" w:cs="仿宋_GB2312"/>
                <w:color w:val="000000"/>
                <w:sz w:val="24"/>
                <w:lang w:val="en-US" w:eastAsia="zh-CN"/>
              </w:rPr>
            </w:pPr>
            <w:r>
              <w:rPr>
                <w:rFonts w:hint="eastAsia" w:ascii="仿宋_GB2312" w:hAnsi="仿宋_GB2312" w:eastAsia="仿宋_GB2312" w:cs="仿宋_GB2312"/>
                <w:color w:val="000000"/>
                <w:sz w:val="24"/>
                <w:lang w:val="en-US" w:eastAsia="zh-CN"/>
              </w:rPr>
              <w:t>佘玉虎</w:t>
            </w:r>
          </w:p>
        </w:tc>
        <w:tc>
          <w:tcPr>
            <w:tcW w:w="334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副支队长</w:t>
            </w:r>
          </w:p>
        </w:tc>
        <w:tc>
          <w:tcPr>
            <w:tcW w:w="1869" w:type="dxa"/>
          </w:tcPr>
          <w:p>
            <w:r>
              <w:rPr>
                <w:rFonts w:hint="eastAsia" w:ascii="仿宋_GB2312" w:hAnsi="仿宋_GB2312" w:eastAsia="仿宋_GB2312" w:cs="仿宋_GB2312"/>
                <w:color w:val="000000"/>
                <w:sz w:val="24"/>
              </w:rPr>
              <w:t>市殡葬执法支队</w:t>
            </w:r>
          </w:p>
        </w:tc>
        <w:tc>
          <w:tcPr>
            <w:tcW w:w="2931"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彭必芸</w:t>
            </w:r>
          </w:p>
        </w:tc>
        <w:tc>
          <w:tcPr>
            <w:tcW w:w="334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会计</w:t>
            </w:r>
          </w:p>
        </w:tc>
        <w:tc>
          <w:tcPr>
            <w:tcW w:w="1869" w:type="dxa"/>
          </w:tcPr>
          <w:p>
            <w:r>
              <w:rPr>
                <w:rFonts w:hint="eastAsia" w:ascii="仿宋_GB2312" w:hAnsi="仿宋_GB2312" w:eastAsia="仿宋_GB2312" w:cs="仿宋_GB2312"/>
                <w:color w:val="000000"/>
                <w:sz w:val="24"/>
              </w:rPr>
              <w:t>市殡葬执法支队</w:t>
            </w:r>
          </w:p>
        </w:tc>
        <w:tc>
          <w:tcPr>
            <w:tcW w:w="2931"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680" w:hRule="atLeast"/>
          <w:jc w:val="center"/>
        </w:trPr>
        <w:tc>
          <w:tcPr>
            <w:tcW w:w="1654" w:type="dxa"/>
            <w:gridSpan w:val="2"/>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3346" w:type="dxa"/>
            <w:gridSpan w:val="6"/>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1869" w:type="dxa"/>
            <w:vAlign w:val="center"/>
          </w:tcPr>
          <w:p>
            <w:pPr>
              <w:autoSpaceDN w:val="0"/>
              <w:spacing w:line="320" w:lineRule="exact"/>
              <w:jc w:val="center"/>
              <w:textAlignment w:val="center"/>
              <w:rPr>
                <w:rFonts w:ascii="仿宋_GB2312" w:hAnsi="仿宋_GB2312" w:eastAsia="仿宋_GB2312" w:cs="仿宋_GB2312"/>
                <w:color w:val="000000"/>
                <w:sz w:val="24"/>
              </w:rPr>
            </w:pPr>
          </w:p>
        </w:tc>
        <w:tc>
          <w:tcPr>
            <w:tcW w:w="2931" w:type="dxa"/>
            <w:gridSpan w:val="7"/>
            <w:vAlign w:val="center"/>
          </w:tcPr>
          <w:p>
            <w:pPr>
              <w:autoSpaceDN w:val="0"/>
              <w:spacing w:line="320" w:lineRule="exact"/>
              <w:jc w:val="center"/>
              <w:textAlignment w:val="center"/>
              <w:rPr>
                <w:rFonts w:ascii="仿宋_GB2312" w:hAnsi="仿宋_GB2312" w:eastAsia="仿宋_GB2312" w:cs="仿宋_GB2312"/>
                <w:color w:val="000000"/>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319" w:hRule="atLeast"/>
          <w:jc w:val="center"/>
        </w:trPr>
        <w:tc>
          <w:tcPr>
            <w:tcW w:w="9800" w:type="dxa"/>
            <w:gridSpan w:val="16"/>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评价组组长（签字）：</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年</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月</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722" w:hRule="atLeast"/>
          <w:jc w:val="center"/>
        </w:trPr>
        <w:tc>
          <w:tcPr>
            <w:tcW w:w="9800" w:type="dxa"/>
            <w:gridSpan w:val="16"/>
            <w:vAlign w:val="center"/>
          </w:tcPr>
          <w:p>
            <w:pPr>
              <w:autoSpaceDN w:val="0"/>
              <w:spacing w:line="320" w:lineRule="exact"/>
              <w:jc w:val="left"/>
              <w:textAlignment w:val="cente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部门（单位）意见：</w:t>
            </w: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p>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部门（单位）负责人（签章）：</w:t>
            </w:r>
          </w:p>
          <w:p>
            <w:pPr>
              <w:autoSpaceDN w:val="0"/>
              <w:spacing w:line="320" w:lineRule="exact"/>
              <w:jc w:val="left"/>
              <w:textAlignment w:val="center"/>
              <w:rPr>
                <w:rFonts w:ascii="仿宋_GB2312" w:hAnsi="仿宋_GB2312" w:eastAsia="仿宋_GB2312" w:cs="仿宋_GB2312"/>
                <w:color w:val="000000"/>
                <w:sz w:val="24"/>
              </w:rPr>
            </w:pP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年</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月</w:t>
            </w:r>
            <w:r>
              <w:rPr>
                <w:rFonts w:ascii="仿宋_GB2312" w:hAnsi="仿宋_GB2312" w:eastAsia="仿宋_GB2312" w:cs="仿宋_GB2312"/>
                <w:color w:val="000000"/>
                <w:sz w:val="24"/>
              </w:rPr>
              <w:t xml:space="preserve">    </w:t>
            </w:r>
            <w:r>
              <w:rPr>
                <w:rFonts w:hint="eastAsia" w:ascii="仿宋_GB2312" w:hAnsi="仿宋_GB2312" w:eastAsia="仿宋_GB2312" w:cs="仿宋_GB2312"/>
                <w:color w:val="000000"/>
                <w:sz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5" w:type="dxa"/>
            <w:bottom w:w="0" w:type="dxa"/>
            <w:right w:w="15" w:type="dxa"/>
          </w:tblCellMar>
        </w:tblPrEx>
        <w:trPr>
          <w:trHeight w:val="2184" w:hRule="atLeast"/>
          <w:jc w:val="center"/>
        </w:trPr>
        <w:tc>
          <w:tcPr>
            <w:tcW w:w="9800" w:type="dxa"/>
            <w:gridSpan w:val="16"/>
            <w:vAlign w:val="center"/>
          </w:tcPr>
          <w:p>
            <w:pPr>
              <w:spacing w:line="320" w:lineRule="exact"/>
              <w:rPr>
                <w:rFonts w:eastAsia="仿宋_GB2312"/>
                <w:sz w:val="24"/>
              </w:rPr>
            </w:pPr>
            <w:r>
              <w:rPr>
                <w:rFonts w:hint="eastAsia" w:eastAsia="仿宋_GB2312"/>
                <w:sz w:val="24"/>
              </w:rPr>
              <w:t>财政部门归口业务科室意见：</w:t>
            </w:r>
          </w:p>
          <w:p>
            <w:pPr>
              <w:spacing w:line="320" w:lineRule="exact"/>
              <w:rPr>
                <w:rFonts w:eastAsia="仿宋_GB2312"/>
                <w:sz w:val="24"/>
              </w:rPr>
            </w:pPr>
          </w:p>
          <w:p>
            <w:pPr>
              <w:spacing w:line="320" w:lineRule="exact"/>
              <w:rPr>
                <w:rFonts w:eastAsia="仿宋_GB2312"/>
                <w:sz w:val="24"/>
              </w:rPr>
            </w:pPr>
            <w:r>
              <w:rPr>
                <w:rFonts w:eastAsia="仿宋_GB2312"/>
                <w:sz w:val="24"/>
              </w:rPr>
              <w:t xml:space="preserve">                                 </w:t>
            </w:r>
            <w:r>
              <w:rPr>
                <w:rFonts w:hint="eastAsia" w:eastAsia="仿宋_GB2312"/>
                <w:sz w:val="24"/>
              </w:rPr>
              <w:t>财政部门归口业务科室负责人（签章）：</w:t>
            </w:r>
          </w:p>
          <w:p>
            <w:pPr>
              <w:autoSpaceDN w:val="0"/>
              <w:spacing w:line="320" w:lineRule="exact"/>
              <w:jc w:val="left"/>
              <w:textAlignment w:val="center"/>
              <w:rPr>
                <w:rFonts w:ascii="仿宋_GB2312" w:hAnsi="仿宋_GB2312" w:eastAsia="仿宋_GB2312" w:cs="仿宋_GB2312"/>
                <w:color w:val="000000"/>
                <w:sz w:val="24"/>
              </w:rPr>
            </w:pPr>
            <w:r>
              <w:rPr>
                <w:rFonts w:eastAsia="仿宋_GB2312"/>
                <w:sz w:val="24"/>
              </w:rPr>
              <w:t xml:space="preserve">                                                                 </w:t>
            </w:r>
            <w:r>
              <w:rPr>
                <w:rFonts w:hint="eastAsia" w:eastAsia="仿宋_GB2312"/>
                <w:sz w:val="24"/>
              </w:rPr>
              <w:t>年</w:t>
            </w:r>
            <w:r>
              <w:rPr>
                <w:rFonts w:eastAsia="仿宋_GB2312"/>
                <w:sz w:val="24"/>
              </w:rPr>
              <w:t xml:space="preserve">    </w:t>
            </w:r>
            <w:r>
              <w:rPr>
                <w:rFonts w:hint="eastAsia" w:eastAsia="仿宋_GB2312"/>
                <w:sz w:val="24"/>
              </w:rPr>
              <w:t>月</w:t>
            </w:r>
            <w:r>
              <w:rPr>
                <w:rFonts w:eastAsia="仿宋_GB2312"/>
                <w:sz w:val="24"/>
              </w:rPr>
              <w:t xml:space="preserve">   </w:t>
            </w:r>
            <w:r>
              <w:rPr>
                <w:rFonts w:hint="eastAsia" w:eastAsia="仿宋_GB2312"/>
                <w:sz w:val="24"/>
              </w:rPr>
              <w:t>日</w:t>
            </w:r>
          </w:p>
        </w:tc>
      </w:tr>
    </w:tbl>
    <w:p>
      <w:pPr>
        <w:rPr>
          <w:rFonts w:eastAsia="仿宋_GB2312" w:cs="仿宋_GB2312"/>
          <w:bCs/>
          <w:sz w:val="28"/>
          <w:szCs w:val="28"/>
        </w:rPr>
      </w:pPr>
      <w:r>
        <w:rPr>
          <w:rFonts w:hint="eastAsia" w:eastAsia="仿宋_GB2312" w:cs="仿宋_GB2312"/>
          <w:bCs/>
          <w:sz w:val="28"/>
          <w:szCs w:val="28"/>
        </w:rPr>
        <w:t>填报人（签名）：</w:t>
      </w:r>
      <w:r>
        <w:rPr>
          <w:rFonts w:eastAsia="仿宋_GB2312" w:cs="仿宋_GB2312"/>
          <w:bCs/>
          <w:sz w:val="28"/>
          <w:szCs w:val="28"/>
        </w:rPr>
        <w:t xml:space="preserve">    </w:t>
      </w:r>
      <w:r>
        <w:rPr>
          <w:rFonts w:hint="eastAsia" w:eastAsia="仿宋_GB2312" w:cs="仿宋_GB2312"/>
          <w:bCs/>
          <w:sz w:val="28"/>
          <w:szCs w:val="28"/>
        </w:rPr>
        <w:t>彭必芸</w:t>
      </w:r>
      <w:r>
        <w:rPr>
          <w:rFonts w:eastAsia="仿宋_GB2312" w:cs="仿宋_GB2312"/>
          <w:bCs/>
          <w:sz w:val="28"/>
          <w:szCs w:val="28"/>
        </w:rPr>
        <w:t xml:space="preserve">           </w:t>
      </w:r>
      <w:r>
        <w:rPr>
          <w:rFonts w:hint="eastAsia" w:eastAsia="仿宋_GB2312" w:cs="仿宋_GB2312"/>
          <w:bCs/>
          <w:sz w:val="28"/>
          <w:szCs w:val="28"/>
        </w:rPr>
        <w:t>联系电话：</w:t>
      </w:r>
      <w:r>
        <w:rPr>
          <w:rFonts w:eastAsia="仿宋_GB2312" w:cs="仿宋_GB2312"/>
          <w:bCs/>
          <w:sz w:val="28"/>
          <w:szCs w:val="28"/>
        </w:rPr>
        <w:t>13467306962</w:t>
      </w:r>
    </w:p>
    <w:tbl>
      <w:tblPr>
        <w:tblStyle w:val="4"/>
        <w:tblW w:w="955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98" w:hRule="atLeast"/>
          <w:jc w:val="center"/>
        </w:trPr>
        <w:tc>
          <w:tcPr>
            <w:tcW w:w="9558" w:type="dxa"/>
          </w:tcPr>
          <w:p>
            <w:pPr>
              <w:jc w:val="center"/>
              <w:rPr>
                <w:rFonts w:ascii="黑体" w:hAnsi="黑体" w:eastAsia="黑体" w:cs="黑体"/>
                <w:bCs/>
                <w:sz w:val="28"/>
                <w:szCs w:val="28"/>
              </w:rPr>
            </w:pPr>
            <w:r>
              <w:rPr>
                <w:rFonts w:hint="eastAsia" w:ascii="黑体" w:hAnsi="黑体" w:eastAsia="黑体" w:cs="黑体"/>
                <w:bCs/>
                <w:sz w:val="28"/>
                <w:szCs w:val="28"/>
              </w:rPr>
              <w:t>五、评价报告综述（文字部分）</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一、部门（单位）概况</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（一）部门（单位）基本情况</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ascii="仿宋_GB2312" w:hAnsi="仿宋_GB2312" w:eastAsia="仿宋_GB2312" w:cs="仿宋_GB2312"/>
                <w:bCs/>
                <w:sz w:val="28"/>
                <w:szCs w:val="28"/>
              </w:rPr>
              <w:t xml:space="preserve"> </w:t>
            </w:r>
            <w:r>
              <w:rPr>
                <w:rFonts w:hint="eastAsia" w:ascii="仿宋_GB2312" w:hAnsi="仿宋_GB2312" w:eastAsia="仿宋_GB2312" w:cs="仿宋_GB2312"/>
                <w:bCs/>
                <w:sz w:val="28"/>
                <w:szCs w:val="28"/>
              </w:rPr>
              <w:t>本单位是民政局二级机构，财政全额拨款参公事业单位。人员编制</w:t>
            </w:r>
            <w:r>
              <w:rPr>
                <w:rFonts w:ascii="仿宋_GB2312" w:hAnsi="仿宋_GB2312" w:eastAsia="仿宋_GB2312" w:cs="仿宋_GB2312"/>
                <w:bCs/>
                <w:sz w:val="28"/>
                <w:szCs w:val="28"/>
              </w:rPr>
              <w:t>24</w:t>
            </w:r>
            <w:r>
              <w:rPr>
                <w:rFonts w:hint="eastAsia" w:ascii="仿宋_GB2312" w:hAnsi="仿宋_GB2312" w:eastAsia="仿宋_GB2312" w:cs="仿宋_GB2312"/>
                <w:bCs/>
                <w:sz w:val="28"/>
                <w:szCs w:val="28"/>
              </w:rPr>
              <w:t>人，实有人数</w:t>
            </w:r>
            <w:r>
              <w:rPr>
                <w:rFonts w:hint="eastAsia" w:ascii="仿宋_GB2312" w:hAnsi="仿宋_GB2312" w:eastAsia="仿宋_GB2312" w:cs="仿宋_GB2312"/>
                <w:bCs/>
                <w:sz w:val="28"/>
                <w:szCs w:val="28"/>
                <w:lang w:val="en-US" w:eastAsia="zh-CN"/>
              </w:rPr>
              <w:t>18</w:t>
            </w:r>
            <w:r>
              <w:rPr>
                <w:rFonts w:hint="eastAsia" w:ascii="仿宋_GB2312" w:hAnsi="仿宋_GB2312" w:eastAsia="仿宋_GB2312" w:cs="仿宋_GB2312"/>
                <w:bCs/>
                <w:sz w:val="28"/>
                <w:szCs w:val="28"/>
              </w:rPr>
              <w:t>人</w:t>
            </w:r>
            <w:r>
              <w:rPr>
                <w:rFonts w:ascii="仿宋_GB2312" w:hAnsi="仿宋_GB2312" w:eastAsia="仿宋_GB2312" w:cs="仿宋_GB2312"/>
                <w:bCs/>
                <w:sz w:val="28"/>
                <w:szCs w:val="28"/>
              </w:rPr>
              <w:t>.</w:t>
            </w:r>
          </w:p>
          <w:p>
            <w:pPr>
              <w:keepNext w:val="0"/>
              <w:keepLines w:val="0"/>
              <w:pageBreakBefore w:val="0"/>
              <w:widowControl w:val="0"/>
              <w:numPr>
                <w:ilvl w:val="0"/>
                <w:numId w:val="3"/>
              </w:numPr>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rPr>
              <w:t>机构职能：</w:t>
            </w:r>
            <w:r>
              <w:rPr>
                <w:rFonts w:hint="eastAsia" w:ascii="仿宋_GB2312" w:hAnsi="仿宋_GB2312" w:eastAsia="仿宋_GB2312" w:cs="仿宋_GB2312"/>
                <w:bCs/>
                <w:sz w:val="28"/>
                <w:szCs w:val="28"/>
                <w:lang w:val="en-US" w:eastAsia="zh-CN"/>
              </w:rPr>
              <w:t>宣传贯彻殡葬改革法规、政策；制定全市殡葬执法的规章、规定和规程等政策性工作，积极推进殡葬改革；负责惠民殡葬和生态殡葬政策的监督、落实；殡葬执法检、督查、培训、考核；丧葬用品市场督查和协调执法。其他市本级殡葬服务工作、龙头山公墓维护管理工作等。</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（二）部门（单位）整体支出规模、使用方向和主要内容、涉及范围等</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整体支出为</w:t>
            </w:r>
            <w:r>
              <w:rPr>
                <w:rFonts w:hint="eastAsia" w:ascii="仿宋_GB2312" w:hAnsi="仿宋_GB2312" w:eastAsia="仿宋_GB2312" w:cs="仿宋_GB2312"/>
                <w:bCs/>
                <w:sz w:val="28"/>
                <w:szCs w:val="28"/>
                <w:lang w:val="en-US" w:eastAsia="zh-CN"/>
              </w:rPr>
              <w:t>460.56</w:t>
            </w:r>
            <w:r>
              <w:rPr>
                <w:rFonts w:hint="eastAsia" w:ascii="仿宋_GB2312" w:hAnsi="仿宋_GB2312" w:eastAsia="仿宋_GB2312" w:cs="仿宋_GB2312"/>
                <w:bCs/>
                <w:sz w:val="28"/>
                <w:szCs w:val="28"/>
              </w:rPr>
              <w:t>万元，其中：基本支出</w:t>
            </w:r>
            <w:r>
              <w:rPr>
                <w:rFonts w:hint="eastAsia" w:ascii="仿宋_GB2312" w:hAnsi="仿宋_GB2312" w:eastAsia="仿宋_GB2312" w:cs="仿宋_GB2312"/>
                <w:bCs/>
                <w:sz w:val="28"/>
                <w:szCs w:val="28"/>
                <w:lang w:val="en-US" w:eastAsia="zh-CN"/>
              </w:rPr>
              <w:t>344.95</w:t>
            </w:r>
            <w:r>
              <w:rPr>
                <w:rFonts w:hint="eastAsia" w:ascii="仿宋_GB2312" w:hAnsi="仿宋_GB2312" w:eastAsia="仿宋_GB2312" w:cs="仿宋_GB2312"/>
                <w:bCs/>
                <w:sz w:val="28"/>
                <w:szCs w:val="28"/>
              </w:rPr>
              <w:t>万元，项目支出</w:t>
            </w:r>
            <w:r>
              <w:rPr>
                <w:rFonts w:hint="eastAsia" w:ascii="仿宋_GB2312" w:hAnsi="仿宋_GB2312" w:eastAsia="仿宋_GB2312" w:cs="仿宋_GB2312"/>
                <w:bCs/>
                <w:sz w:val="28"/>
                <w:szCs w:val="28"/>
                <w:lang w:val="en-US" w:eastAsia="zh-CN"/>
              </w:rPr>
              <w:t>115.61</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涉及困难群众</w:t>
            </w:r>
            <w:r>
              <w:rPr>
                <w:rFonts w:hint="eastAsia" w:ascii="仿宋_GB2312" w:hAnsi="仿宋_GB2312" w:eastAsia="仿宋_GB2312" w:cs="仿宋_GB2312"/>
                <w:bCs/>
                <w:sz w:val="28"/>
                <w:szCs w:val="28"/>
                <w:lang w:eastAsia="zh-CN"/>
              </w:rPr>
              <w:t>惠民</w:t>
            </w:r>
            <w:r>
              <w:rPr>
                <w:rFonts w:hint="eastAsia" w:ascii="仿宋_GB2312" w:hAnsi="仿宋_GB2312" w:eastAsia="仿宋_GB2312" w:cs="仿宋_GB2312"/>
                <w:bCs/>
                <w:sz w:val="28"/>
                <w:szCs w:val="28"/>
              </w:rPr>
              <w:t>殡葬</w:t>
            </w:r>
            <w:r>
              <w:rPr>
                <w:rFonts w:hint="eastAsia" w:ascii="仿宋_GB2312" w:hAnsi="仿宋_GB2312" w:eastAsia="仿宋_GB2312" w:cs="仿宋_GB2312"/>
                <w:bCs/>
                <w:sz w:val="28"/>
                <w:szCs w:val="28"/>
                <w:lang w:eastAsia="zh-CN"/>
              </w:rPr>
              <w:t>奖补专项支出</w:t>
            </w:r>
            <w:r>
              <w:rPr>
                <w:rFonts w:hint="eastAsia" w:ascii="仿宋_GB2312" w:hAnsi="仿宋_GB2312" w:eastAsia="仿宋_GB2312" w:cs="仿宋_GB2312"/>
                <w:bCs/>
                <w:sz w:val="28"/>
                <w:szCs w:val="28"/>
                <w:lang w:val="en-US" w:eastAsia="zh-CN"/>
              </w:rPr>
              <w:t>71万元，殡葬执法专项支出36万元</w:t>
            </w:r>
            <w:r>
              <w:rPr>
                <w:rFonts w:hint="eastAsia" w:ascii="仿宋_GB2312" w:hAnsi="仿宋_GB2312" w:eastAsia="仿宋_GB2312" w:cs="仿宋_GB2312"/>
                <w:bCs/>
                <w:sz w:val="28"/>
                <w:szCs w:val="28"/>
              </w:rPr>
              <w:t>等支出。</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二、部门（单位）整体支出管理及使用情况</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（一）基本支出</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val="en-US" w:eastAsia="zh-CN"/>
              </w:rPr>
            </w:pPr>
            <w:r>
              <w:rPr>
                <w:rFonts w:ascii="仿宋_GB2312" w:hAnsi="仿宋_GB2312" w:eastAsia="仿宋_GB2312" w:cs="仿宋_GB2312"/>
                <w:bCs/>
                <w:sz w:val="28"/>
                <w:szCs w:val="28"/>
              </w:rPr>
              <w:t>20</w:t>
            </w:r>
            <w:r>
              <w:rPr>
                <w:rFonts w:hint="eastAsia" w:ascii="仿宋_GB2312" w:hAnsi="仿宋_GB2312" w:eastAsia="仿宋_GB2312" w:cs="仿宋_GB2312"/>
                <w:bCs/>
                <w:sz w:val="28"/>
                <w:szCs w:val="28"/>
                <w:lang w:val="en-US" w:eastAsia="zh-CN"/>
              </w:rPr>
              <w:t>21</w:t>
            </w:r>
            <w:r>
              <w:rPr>
                <w:rFonts w:hint="eastAsia" w:ascii="仿宋_GB2312" w:hAnsi="仿宋_GB2312" w:eastAsia="仿宋_GB2312" w:cs="仿宋_GB2312"/>
                <w:bCs/>
                <w:sz w:val="28"/>
                <w:szCs w:val="28"/>
              </w:rPr>
              <w:t>年整体支出总额为</w:t>
            </w:r>
            <w:r>
              <w:rPr>
                <w:rFonts w:hint="eastAsia" w:ascii="仿宋_GB2312" w:hAnsi="仿宋_GB2312" w:eastAsia="仿宋_GB2312" w:cs="仿宋_GB2312"/>
                <w:bCs/>
                <w:sz w:val="28"/>
                <w:szCs w:val="28"/>
                <w:lang w:val="en-US" w:eastAsia="zh-CN"/>
              </w:rPr>
              <w:t>460.56</w:t>
            </w:r>
            <w:r>
              <w:rPr>
                <w:rFonts w:hint="eastAsia" w:ascii="仿宋_GB2312" w:hAnsi="仿宋_GB2312" w:eastAsia="仿宋_GB2312" w:cs="仿宋_GB2312"/>
                <w:bCs/>
                <w:sz w:val="28"/>
                <w:szCs w:val="28"/>
              </w:rPr>
              <w:t>万元，基本支出为</w:t>
            </w:r>
            <w:r>
              <w:rPr>
                <w:rFonts w:ascii="仿宋_GB2312" w:hAnsi="仿宋_GB2312" w:eastAsia="仿宋_GB2312" w:cs="仿宋_GB2312"/>
                <w:bCs/>
                <w:sz w:val="28"/>
                <w:szCs w:val="28"/>
              </w:rPr>
              <w:t>3</w:t>
            </w:r>
            <w:r>
              <w:rPr>
                <w:rFonts w:hint="eastAsia" w:ascii="仿宋_GB2312" w:hAnsi="仿宋_GB2312" w:eastAsia="仿宋_GB2312" w:cs="仿宋_GB2312"/>
                <w:bCs/>
                <w:sz w:val="28"/>
                <w:szCs w:val="28"/>
                <w:lang w:val="en-US" w:eastAsia="zh-CN"/>
              </w:rPr>
              <w:t>44.95</w:t>
            </w:r>
            <w:r>
              <w:rPr>
                <w:rFonts w:hint="eastAsia" w:ascii="仿宋_GB2312" w:hAnsi="仿宋_GB2312" w:eastAsia="仿宋_GB2312" w:cs="仿宋_GB2312"/>
                <w:bCs/>
                <w:sz w:val="28"/>
                <w:szCs w:val="28"/>
              </w:rPr>
              <w:t>万元，占本年支出的</w:t>
            </w:r>
            <w:r>
              <w:rPr>
                <w:rFonts w:hint="eastAsia" w:ascii="仿宋_GB2312" w:hAnsi="仿宋_GB2312" w:eastAsia="仿宋_GB2312" w:cs="仿宋_GB2312"/>
                <w:bCs/>
                <w:sz w:val="28"/>
                <w:szCs w:val="28"/>
                <w:lang w:val="en-US" w:eastAsia="zh-CN"/>
              </w:rPr>
              <w:t>74.90</w:t>
            </w:r>
            <w:r>
              <w:rPr>
                <w:rFonts w:ascii="仿宋_GB2312" w:hAnsi="仿宋_GB2312" w:eastAsia="仿宋_GB2312" w:cs="仿宋_GB2312"/>
                <w:bCs/>
                <w:sz w:val="28"/>
                <w:szCs w:val="28"/>
              </w:rPr>
              <w:t>%</w:t>
            </w:r>
            <w:r>
              <w:rPr>
                <w:rFonts w:hint="eastAsia" w:ascii="仿宋_GB2312" w:hAnsi="仿宋_GB2312" w:eastAsia="仿宋_GB2312" w:cs="仿宋_GB2312"/>
                <w:bCs/>
                <w:sz w:val="28"/>
                <w:szCs w:val="28"/>
              </w:rPr>
              <w:t>；主要用于：工资福利支出</w:t>
            </w:r>
            <w:r>
              <w:rPr>
                <w:rFonts w:hint="eastAsia" w:ascii="仿宋_GB2312" w:hAnsi="仿宋_GB2312" w:eastAsia="仿宋_GB2312" w:cs="仿宋_GB2312"/>
                <w:bCs/>
                <w:sz w:val="28"/>
                <w:szCs w:val="28"/>
                <w:lang w:val="en-US" w:eastAsia="zh-CN"/>
              </w:rPr>
              <w:t>218.63</w:t>
            </w:r>
            <w:r>
              <w:rPr>
                <w:rFonts w:hint="eastAsia" w:ascii="仿宋_GB2312" w:hAnsi="仿宋_GB2312" w:eastAsia="仿宋_GB2312" w:cs="仿宋_GB2312"/>
                <w:bCs/>
                <w:sz w:val="28"/>
                <w:szCs w:val="28"/>
              </w:rPr>
              <w:t>万元，占本年支出</w:t>
            </w:r>
            <w:r>
              <w:rPr>
                <w:rFonts w:hint="eastAsia" w:ascii="仿宋_GB2312" w:hAnsi="仿宋_GB2312" w:eastAsia="仿宋_GB2312" w:cs="仿宋_GB2312"/>
                <w:bCs/>
                <w:sz w:val="28"/>
                <w:szCs w:val="28"/>
                <w:lang w:val="en-US" w:eastAsia="zh-CN"/>
              </w:rPr>
              <w:t>47.47</w:t>
            </w:r>
            <w:r>
              <w:rPr>
                <w:rFonts w:ascii="仿宋_GB2312" w:hAnsi="仿宋_GB2312" w:eastAsia="仿宋_GB2312" w:cs="仿宋_GB2312"/>
                <w:bCs/>
                <w:sz w:val="28"/>
                <w:szCs w:val="28"/>
              </w:rPr>
              <w:t>%</w:t>
            </w:r>
            <w:r>
              <w:rPr>
                <w:rFonts w:hint="eastAsia" w:ascii="仿宋_GB2312" w:hAnsi="仿宋_GB2312" w:eastAsia="仿宋_GB2312" w:cs="仿宋_GB2312"/>
                <w:bCs/>
                <w:sz w:val="28"/>
                <w:szCs w:val="28"/>
              </w:rPr>
              <w:t>；商品服务支出为</w:t>
            </w:r>
            <w:r>
              <w:rPr>
                <w:rFonts w:hint="eastAsia" w:ascii="仿宋_GB2312" w:hAnsi="仿宋_GB2312" w:eastAsia="仿宋_GB2312" w:cs="仿宋_GB2312"/>
                <w:bCs/>
                <w:sz w:val="28"/>
                <w:szCs w:val="28"/>
                <w:lang w:val="en-US" w:eastAsia="zh-CN"/>
              </w:rPr>
              <w:t>78.88</w:t>
            </w:r>
            <w:r>
              <w:rPr>
                <w:rFonts w:hint="eastAsia" w:ascii="仿宋_GB2312" w:hAnsi="仿宋_GB2312" w:eastAsia="仿宋_GB2312" w:cs="仿宋_GB2312"/>
                <w:bCs/>
                <w:sz w:val="28"/>
                <w:szCs w:val="28"/>
              </w:rPr>
              <w:t>万元，占本年支出</w:t>
            </w:r>
            <w:r>
              <w:rPr>
                <w:rFonts w:hint="eastAsia" w:ascii="仿宋_GB2312" w:hAnsi="仿宋_GB2312" w:eastAsia="仿宋_GB2312" w:cs="仿宋_GB2312"/>
                <w:bCs/>
                <w:sz w:val="28"/>
                <w:szCs w:val="28"/>
                <w:lang w:val="en-US" w:eastAsia="zh-CN"/>
              </w:rPr>
              <w:t>17.13</w:t>
            </w:r>
            <w:r>
              <w:rPr>
                <w:rFonts w:ascii="仿宋_GB2312" w:hAnsi="仿宋_GB2312" w:eastAsia="仿宋_GB2312" w:cs="仿宋_GB2312"/>
                <w:bCs/>
                <w:sz w:val="28"/>
                <w:szCs w:val="28"/>
              </w:rPr>
              <w:t>%</w:t>
            </w:r>
            <w:r>
              <w:rPr>
                <w:rFonts w:hint="eastAsia" w:ascii="仿宋_GB2312" w:hAnsi="仿宋_GB2312" w:eastAsia="仿宋_GB2312" w:cs="仿宋_GB2312"/>
                <w:bCs/>
                <w:sz w:val="28"/>
                <w:szCs w:val="28"/>
              </w:rPr>
              <w:t>；对个人和家庭的补助支出为</w:t>
            </w:r>
            <w:r>
              <w:rPr>
                <w:rFonts w:hint="eastAsia" w:ascii="仿宋_GB2312" w:hAnsi="仿宋_GB2312" w:eastAsia="仿宋_GB2312" w:cs="仿宋_GB2312"/>
                <w:bCs/>
                <w:sz w:val="28"/>
                <w:szCs w:val="28"/>
                <w:lang w:val="en-US" w:eastAsia="zh-CN"/>
              </w:rPr>
              <w:t>155.86</w:t>
            </w:r>
            <w:r>
              <w:rPr>
                <w:rFonts w:hint="eastAsia" w:ascii="仿宋_GB2312" w:hAnsi="仿宋_GB2312" w:eastAsia="仿宋_GB2312" w:cs="仿宋_GB2312"/>
                <w:bCs/>
                <w:sz w:val="28"/>
                <w:szCs w:val="28"/>
              </w:rPr>
              <w:t>万元，占本年支出的</w:t>
            </w:r>
            <w:r>
              <w:rPr>
                <w:rFonts w:hint="eastAsia" w:ascii="仿宋_GB2312" w:hAnsi="仿宋_GB2312" w:eastAsia="仿宋_GB2312" w:cs="仿宋_GB2312"/>
                <w:bCs/>
                <w:sz w:val="28"/>
                <w:szCs w:val="28"/>
                <w:lang w:val="en-US" w:eastAsia="zh-CN"/>
              </w:rPr>
              <w:t>33.84</w:t>
            </w:r>
            <w:r>
              <w:rPr>
                <w:rFonts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。资本性支出</w:t>
            </w:r>
            <w:r>
              <w:rPr>
                <w:rFonts w:hint="eastAsia" w:ascii="仿宋_GB2312" w:hAnsi="仿宋_GB2312" w:eastAsia="仿宋_GB2312" w:cs="仿宋_GB2312"/>
                <w:bCs/>
                <w:sz w:val="28"/>
                <w:szCs w:val="28"/>
                <w:lang w:val="en-US" w:eastAsia="zh-CN"/>
              </w:rPr>
              <w:t>7.19万元，占本年支出1.56%。</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lang w:eastAsia="zh-CN"/>
              </w:rPr>
              <w:t>（二）项目支出</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惠民殡葬奖补资金共计</w:t>
            </w:r>
            <w:r>
              <w:rPr>
                <w:rFonts w:hint="eastAsia" w:ascii="仿宋_GB2312" w:hAnsi="仿宋_GB2312" w:eastAsia="仿宋_GB2312" w:cs="仿宋_GB2312"/>
                <w:bCs/>
                <w:sz w:val="28"/>
                <w:szCs w:val="28"/>
                <w:lang w:val="en-US" w:eastAsia="zh-CN"/>
              </w:rPr>
              <w:t>71</w:t>
            </w:r>
            <w:r>
              <w:rPr>
                <w:rFonts w:hint="eastAsia" w:ascii="仿宋_GB2312" w:hAnsi="仿宋_GB2312" w:eastAsia="仿宋_GB2312" w:cs="仿宋_GB2312"/>
                <w:bCs/>
                <w:sz w:val="28"/>
                <w:szCs w:val="28"/>
              </w:rPr>
              <w:t>万元，其中用于集中治丧奖</w:t>
            </w:r>
            <w:r>
              <w:rPr>
                <w:rFonts w:hint="eastAsia" w:ascii="仿宋_GB2312" w:hAnsi="仿宋_GB2312" w:eastAsia="仿宋_GB2312" w:cs="仿宋_GB2312"/>
                <w:bCs/>
                <w:sz w:val="28"/>
                <w:szCs w:val="28"/>
                <w:lang w:eastAsia="zh-CN"/>
              </w:rPr>
              <w:t>补</w:t>
            </w:r>
            <w:r>
              <w:rPr>
                <w:rFonts w:hint="eastAsia" w:ascii="仿宋_GB2312" w:hAnsi="仿宋_GB2312" w:eastAsia="仿宋_GB2312" w:cs="仿宋_GB2312"/>
                <w:bCs/>
                <w:sz w:val="28"/>
                <w:szCs w:val="28"/>
                <w:lang w:val="en-US" w:eastAsia="zh-CN"/>
              </w:rPr>
              <w:t>135</w:t>
            </w:r>
            <w:r>
              <w:rPr>
                <w:rFonts w:hint="eastAsia" w:ascii="仿宋_GB2312" w:hAnsi="仿宋_GB2312" w:eastAsia="仿宋_GB2312" w:cs="仿宋_GB2312"/>
                <w:bCs/>
                <w:sz w:val="28"/>
                <w:szCs w:val="28"/>
              </w:rPr>
              <w:t>人，奖补资金</w:t>
            </w:r>
            <w:r>
              <w:rPr>
                <w:rFonts w:hint="eastAsia" w:ascii="仿宋_GB2312" w:hAnsi="仿宋_GB2312" w:eastAsia="仿宋_GB2312" w:cs="仿宋_GB2312"/>
                <w:bCs/>
                <w:sz w:val="28"/>
                <w:szCs w:val="28"/>
                <w:lang w:val="en-US" w:eastAsia="zh-CN"/>
              </w:rPr>
              <w:t>40.5</w:t>
            </w:r>
            <w:r>
              <w:rPr>
                <w:rFonts w:hint="eastAsia" w:ascii="仿宋_GB2312" w:hAnsi="仿宋_GB2312" w:eastAsia="仿宋_GB2312" w:cs="仿宋_GB2312"/>
                <w:bCs/>
                <w:sz w:val="28"/>
                <w:szCs w:val="28"/>
              </w:rPr>
              <w:t>万元；文明治丧奖补</w:t>
            </w:r>
            <w:r>
              <w:rPr>
                <w:rFonts w:hint="eastAsia" w:ascii="仿宋_GB2312" w:hAnsi="仿宋_GB2312" w:eastAsia="仿宋_GB2312" w:cs="仿宋_GB2312"/>
                <w:bCs/>
                <w:sz w:val="28"/>
                <w:szCs w:val="28"/>
                <w:lang w:val="en-US" w:eastAsia="zh-CN"/>
              </w:rPr>
              <w:t>101</w:t>
            </w:r>
            <w:r>
              <w:rPr>
                <w:rFonts w:hint="eastAsia" w:ascii="仿宋_GB2312" w:hAnsi="仿宋_GB2312" w:eastAsia="仿宋_GB2312" w:cs="仿宋_GB2312"/>
                <w:bCs/>
                <w:sz w:val="28"/>
                <w:szCs w:val="28"/>
              </w:rPr>
              <w:t>人，奖补资金</w:t>
            </w:r>
            <w:r>
              <w:rPr>
                <w:rFonts w:hint="eastAsia" w:ascii="仿宋_GB2312" w:hAnsi="仿宋_GB2312" w:eastAsia="仿宋_GB2312" w:cs="仿宋_GB2312"/>
                <w:bCs/>
                <w:sz w:val="28"/>
                <w:szCs w:val="28"/>
                <w:lang w:val="en-US" w:eastAsia="zh-CN"/>
              </w:rPr>
              <w:t>30.5</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w:t>
            </w:r>
            <w:r>
              <w:rPr>
                <w:rFonts w:hint="eastAsia" w:ascii="仿宋_GB2312" w:hAnsi="仿宋_GB2312" w:eastAsia="仿宋_GB2312" w:cs="仿宋_GB2312"/>
                <w:bCs/>
                <w:sz w:val="28"/>
                <w:szCs w:val="28"/>
                <w:lang w:eastAsia="zh-CN"/>
              </w:rPr>
              <w:t>三</w:t>
            </w:r>
            <w:r>
              <w:rPr>
                <w:rFonts w:hint="eastAsia" w:ascii="仿宋_GB2312" w:hAnsi="仿宋_GB2312" w:eastAsia="仿宋_GB2312" w:cs="仿宋_GB2312"/>
                <w:bCs/>
                <w:sz w:val="28"/>
                <w:szCs w:val="28"/>
              </w:rPr>
              <w:t>）专项支出</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eastAsia="zh-CN"/>
              </w:rPr>
            </w:pPr>
            <w:r>
              <w:rPr>
                <w:rFonts w:hint="eastAsia" w:ascii="仿宋_GB2312" w:hAnsi="仿宋_GB2312" w:eastAsia="仿宋_GB2312" w:cs="仿宋_GB2312"/>
                <w:bCs/>
                <w:sz w:val="28"/>
                <w:szCs w:val="28"/>
              </w:rPr>
              <w:t>专项资金安排落实到位，</w:t>
            </w:r>
            <w:r>
              <w:rPr>
                <w:rFonts w:hint="eastAsia" w:ascii="仿宋_GB2312" w:hAnsi="仿宋_GB2312" w:eastAsia="仿宋_GB2312" w:cs="仿宋_GB2312"/>
                <w:bCs/>
                <w:sz w:val="28"/>
                <w:szCs w:val="28"/>
                <w:lang w:eastAsia="zh-CN"/>
              </w:rPr>
              <w:t>其中：殡葬执法专项经费</w:t>
            </w:r>
            <w:r>
              <w:rPr>
                <w:rFonts w:ascii="仿宋_GB2312" w:hAnsi="仿宋_GB2312" w:eastAsia="仿宋_GB2312" w:cs="仿宋_GB2312"/>
                <w:bCs/>
                <w:sz w:val="28"/>
                <w:szCs w:val="28"/>
              </w:rPr>
              <w:t>36</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主要用于殡葬执法、巡查，殡葬改革宣传</w:t>
            </w:r>
            <w:r>
              <w:rPr>
                <w:rFonts w:hint="eastAsia" w:ascii="仿宋_GB2312" w:hAnsi="仿宋_GB2312" w:eastAsia="仿宋_GB2312" w:cs="仿宋_GB2312"/>
                <w:bCs/>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黑体" w:hAnsi="黑体" w:eastAsia="黑体" w:cs="黑体"/>
                <w:bCs/>
                <w:sz w:val="28"/>
                <w:szCs w:val="28"/>
              </w:rPr>
            </w:pPr>
            <w:r>
              <w:rPr>
                <w:rFonts w:hint="eastAsia" w:ascii="黑体" w:hAnsi="黑体" w:eastAsia="黑体" w:cs="黑体"/>
                <w:bCs/>
                <w:sz w:val="28"/>
                <w:szCs w:val="28"/>
              </w:rPr>
              <w:t>三、部门（单位）专项组织实施情况</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（一）专项组织情况分析</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      无</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lang w:eastAsia="zh-CN"/>
              </w:rPr>
              <w:t>（二）</w:t>
            </w:r>
            <w:r>
              <w:rPr>
                <w:rFonts w:hint="eastAsia" w:ascii="仿宋_GB2312" w:hAnsi="仿宋_GB2312" w:eastAsia="仿宋_GB2312" w:cs="仿宋_GB2312"/>
                <w:bCs/>
                <w:sz w:val="28"/>
                <w:szCs w:val="28"/>
              </w:rPr>
              <w:t>专项管理情况分析</w:t>
            </w:r>
          </w:p>
          <w:p>
            <w:pPr>
              <w:keepNext w:val="0"/>
              <w:keepLines w:val="0"/>
              <w:pageBreakBefore w:val="0"/>
              <w:widowControl w:val="0"/>
              <w:numPr>
                <w:ilvl w:val="0"/>
                <w:numId w:val="0"/>
              </w:numPr>
              <w:kinsoku/>
              <w:wordWrap/>
              <w:overflowPunct/>
              <w:topLinePunct w:val="0"/>
              <w:autoSpaceDE/>
              <w:autoSpaceDN/>
              <w:bidi w:val="0"/>
              <w:adjustRightInd/>
              <w:snapToGrid w:val="0"/>
              <w:spacing w:line="540" w:lineRule="exact"/>
              <w:ind w:leftChars="200"/>
              <w:textAlignment w:val="auto"/>
              <w:rPr>
                <w:rFonts w:hint="eastAsia" w:ascii="仿宋_GB2312" w:hAnsi="仿宋_GB2312" w:eastAsia="仿宋_GB2312" w:cs="仿宋_GB2312"/>
                <w:bCs/>
                <w:sz w:val="28"/>
                <w:szCs w:val="28"/>
                <w:lang w:val="en-US" w:eastAsia="zh-CN"/>
              </w:rPr>
            </w:pPr>
            <w:r>
              <w:rPr>
                <w:rFonts w:hint="eastAsia" w:ascii="仿宋_GB2312" w:hAnsi="仿宋_GB2312" w:eastAsia="仿宋_GB2312" w:cs="仿宋_GB2312"/>
                <w:bCs/>
                <w:sz w:val="28"/>
                <w:szCs w:val="28"/>
                <w:lang w:val="en-US" w:eastAsia="zh-CN"/>
              </w:rPr>
              <w:t xml:space="preserve">       无</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line="540" w:lineRule="exact"/>
              <w:ind w:firstLineChars="0"/>
              <w:textAlignment w:val="auto"/>
              <w:rPr>
                <w:rFonts w:ascii="黑体" w:hAnsi="黑体" w:eastAsia="黑体" w:cs="黑体"/>
                <w:bCs/>
                <w:sz w:val="28"/>
                <w:szCs w:val="28"/>
              </w:rPr>
            </w:pPr>
            <w:r>
              <w:rPr>
                <w:rFonts w:hint="eastAsia" w:ascii="黑体" w:hAnsi="黑体" w:eastAsia="黑体" w:cs="黑体"/>
                <w:bCs/>
                <w:sz w:val="28"/>
                <w:szCs w:val="28"/>
              </w:rPr>
              <w:t>部门（单位）整体支出绩效情况</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val="en-US" w:eastAsia="zh-CN"/>
              </w:rPr>
            </w:pPr>
            <w:r>
              <w:rPr>
                <w:rFonts w:ascii="仿宋_GB2312" w:hAnsi="仿宋_GB2312" w:eastAsia="仿宋_GB2312" w:cs="仿宋_GB2312"/>
                <w:bCs/>
                <w:sz w:val="28"/>
                <w:szCs w:val="28"/>
              </w:rPr>
              <w:t>1.</w:t>
            </w:r>
            <w:r>
              <w:rPr>
                <w:rFonts w:hint="eastAsia" w:ascii="仿宋_GB2312" w:hAnsi="仿宋_GB2312" w:eastAsia="仿宋_GB2312" w:cs="仿宋_GB2312"/>
                <w:bCs/>
                <w:sz w:val="28"/>
                <w:szCs w:val="28"/>
              </w:rPr>
              <w:t>中心城区执法巡查已成常态化工作，接警处置率达</w:t>
            </w:r>
            <w:r>
              <w:rPr>
                <w:rFonts w:ascii="仿宋_GB2312" w:hAnsi="仿宋_GB2312" w:eastAsia="仿宋_GB2312" w:cs="仿宋_GB2312"/>
                <w:bCs/>
                <w:sz w:val="28"/>
                <w:szCs w:val="28"/>
              </w:rPr>
              <w:t>100%</w:t>
            </w:r>
            <w:r>
              <w:rPr>
                <w:rFonts w:hint="eastAsia" w:ascii="仿宋_GB2312" w:hAnsi="仿宋_GB2312" w:eastAsia="仿宋_GB2312" w:cs="仿宋_GB2312"/>
                <w:bCs/>
                <w:sz w:val="28"/>
                <w:szCs w:val="28"/>
              </w:rPr>
              <w:t>。全年累计巡查</w:t>
            </w:r>
            <w:r>
              <w:rPr>
                <w:rFonts w:hint="eastAsia" w:ascii="仿宋_GB2312" w:hAnsi="仿宋_GB2312" w:eastAsia="仿宋_GB2312" w:cs="仿宋_GB2312"/>
                <w:bCs/>
                <w:sz w:val="28"/>
                <w:szCs w:val="28"/>
                <w:lang w:val="en-US" w:eastAsia="zh-CN"/>
              </w:rPr>
              <w:t>2195人</w:t>
            </w:r>
            <w:r>
              <w:rPr>
                <w:rFonts w:hint="eastAsia" w:ascii="仿宋_GB2312" w:hAnsi="仿宋_GB2312" w:eastAsia="仿宋_GB2312" w:cs="仿宋_GB2312"/>
                <w:bCs/>
                <w:sz w:val="28"/>
                <w:szCs w:val="28"/>
              </w:rPr>
              <w:t>次，查处违规搭棚治丧行为</w:t>
            </w:r>
            <w:r>
              <w:rPr>
                <w:rFonts w:hint="eastAsia" w:ascii="仿宋_GB2312" w:hAnsi="仿宋_GB2312" w:eastAsia="仿宋_GB2312" w:cs="仿宋_GB2312"/>
                <w:bCs/>
                <w:sz w:val="28"/>
                <w:szCs w:val="28"/>
                <w:lang w:val="en-US" w:eastAsia="zh-CN"/>
              </w:rPr>
              <w:t>3</w:t>
            </w:r>
            <w:r>
              <w:rPr>
                <w:rFonts w:hint="eastAsia" w:ascii="仿宋_GB2312" w:hAnsi="仿宋_GB2312" w:eastAsia="仿宋_GB2312" w:cs="仿宋_GB2312"/>
                <w:bCs/>
                <w:sz w:val="28"/>
                <w:szCs w:val="28"/>
              </w:rPr>
              <w:t>起</w:t>
            </w:r>
            <w:r>
              <w:rPr>
                <w:rFonts w:hint="eastAsia" w:ascii="仿宋_GB2312" w:hAnsi="仿宋_GB2312" w:eastAsia="仿宋_GB2312" w:cs="仿宋_GB2312"/>
                <w:bCs/>
                <w:sz w:val="28"/>
                <w:szCs w:val="28"/>
                <w:lang w:eastAsia="zh-CN"/>
              </w:rPr>
              <w:t>，劝导、制止丧事扰民行为</w:t>
            </w:r>
            <w:r>
              <w:rPr>
                <w:rFonts w:hint="eastAsia" w:ascii="仿宋_GB2312" w:hAnsi="仿宋_GB2312" w:eastAsia="仿宋_GB2312" w:cs="仿宋_GB2312"/>
                <w:bCs/>
                <w:sz w:val="28"/>
                <w:szCs w:val="28"/>
                <w:lang w:val="en-US" w:eastAsia="zh-CN"/>
              </w:rPr>
              <w:t>131起。</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eastAsia="zh-CN"/>
              </w:rPr>
            </w:pPr>
            <w:r>
              <w:rPr>
                <w:rFonts w:ascii="仿宋_GB2312" w:hAnsi="仿宋_GB2312" w:eastAsia="仿宋_GB2312" w:cs="仿宋_GB2312"/>
                <w:bCs/>
                <w:sz w:val="28"/>
                <w:szCs w:val="28"/>
              </w:rPr>
              <w:t>2.</w:t>
            </w:r>
            <w:r>
              <w:rPr>
                <w:rFonts w:hint="eastAsia" w:ascii="仿宋_GB2312" w:hAnsi="仿宋_GB2312" w:eastAsia="仿宋_GB2312" w:cs="仿宋_GB2312"/>
                <w:bCs/>
                <w:sz w:val="28"/>
                <w:szCs w:val="28"/>
              </w:rPr>
              <w:t>对全市经营性公墓每年进行一次执法检查，对违规超标公墓责令整改</w:t>
            </w:r>
            <w:r>
              <w:rPr>
                <w:rFonts w:hint="eastAsia" w:ascii="仿宋_GB2312" w:hAnsi="仿宋_GB2312" w:eastAsia="仿宋_GB2312" w:cs="仿宋_GB2312"/>
                <w:bCs/>
                <w:sz w:val="28"/>
                <w:szCs w:val="28"/>
                <w:lang w:eastAsia="zh-CN"/>
              </w:rPr>
              <w:t>并依法处理</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eastAsia="zh-CN"/>
              </w:rPr>
            </w:pPr>
            <w:r>
              <w:rPr>
                <w:rFonts w:ascii="仿宋_GB2312" w:hAnsi="仿宋_GB2312" w:eastAsia="仿宋_GB2312" w:cs="仿宋_GB2312"/>
                <w:bCs/>
                <w:sz w:val="28"/>
                <w:szCs w:val="28"/>
              </w:rPr>
              <w:t>3.</w:t>
            </w:r>
            <w:r>
              <w:rPr>
                <w:rFonts w:hint="eastAsia" w:ascii="仿宋_GB2312" w:hAnsi="仿宋_GB2312" w:eastAsia="仿宋_GB2312" w:cs="仿宋_GB2312"/>
                <w:bCs/>
                <w:sz w:val="28"/>
                <w:szCs w:val="28"/>
                <w:lang w:eastAsia="zh-CN"/>
              </w:rPr>
              <w:t>殡葬执法专项经费</w:t>
            </w:r>
            <w:r>
              <w:rPr>
                <w:rFonts w:ascii="仿宋_GB2312" w:hAnsi="仿宋_GB2312" w:eastAsia="仿宋_GB2312" w:cs="仿宋_GB2312"/>
                <w:bCs/>
                <w:sz w:val="28"/>
                <w:szCs w:val="28"/>
              </w:rPr>
              <w:t>36</w:t>
            </w:r>
            <w:r>
              <w:rPr>
                <w:rFonts w:hint="eastAsia" w:ascii="仿宋_GB2312" w:hAnsi="仿宋_GB2312" w:eastAsia="仿宋_GB2312" w:cs="仿宋_GB2312"/>
                <w:bCs/>
                <w:sz w:val="28"/>
                <w:szCs w:val="28"/>
              </w:rPr>
              <w:t>万元</w:t>
            </w:r>
            <w:r>
              <w:rPr>
                <w:rFonts w:hint="eastAsia" w:ascii="仿宋_GB2312" w:hAnsi="仿宋_GB2312" w:eastAsia="仿宋_GB2312" w:cs="仿宋_GB2312"/>
                <w:bCs/>
                <w:sz w:val="28"/>
                <w:szCs w:val="28"/>
                <w:lang w:eastAsia="zh-CN"/>
              </w:rPr>
              <w:t>，</w:t>
            </w:r>
            <w:r>
              <w:rPr>
                <w:rFonts w:hint="eastAsia" w:ascii="仿宋_GB2312" w:hAnsi="仿宋_GB2312" w:eastAsia="仿宋_GB2312" w:cs="仿宋_GB2312"/>
                <w:bCs/>
                <w:sz w:val="28"/>
                <w:szCs w:val="28"/>
              </w:rPr>
              <w:t>主要用于殡葬执法、巡查，殡葬改革宣传</w:t>
            </w:r>
            <w:r>
              <w:rPr>
                <w:rFonts w:hint="eastAsia" w:ascii="仿宋_GB2312" w:hAnsi="仿宋_GB2312" w:eastAsia="仿宋_GB2312" w:cs="仿宋_GB2312"/>
                <w:bCs/>
                <w:sz w:val="28"/>
                <w:szCs w:val="28"/>
                <w:lang w:eastAsia="zh-CN"/>
              </w:rPr>
              <w:t>。</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eastAsia="zh-CN"/>
              </w:rPr>
            </w:pPr>
            <w:r>
              <w:rPr>
                <w:rFonts w:ascii="仿宋_GB2312" w:hAnsi="仿宋_GB2312" w:eastAsia="仿宋_GB2312" w:cs="仿宋_GB2312"/>
                <w:bCs/>
                <w:sz w:val="28"/>
                <w:szCs w:val="28"/>
              </w:rPr>
              <w:t>4.</w:t>
            </w:r>
            <w:r>
              <w:rPr>
                <w:rFonts w:hint="eastAsia" w:ascii="仿宋_GB2312" w:hAnsi="仿宋_GB2312" w:eastAsia="仿宋_GB2312" w:cs="仿宋_GB2312"/>
                <w:bCs/>
                <w:sz w:val="28"/>
                <w:szCs w:val="28"/>
              </w:rPr>
              <w:t>对殡葬</w:t>
            </w:r>
            <w:r>
              <w:rPr>
                <w:rFonts w:hint="eastAsia" w:ascii="仿宋_GB2312" w:hAnsi="仿宋_GB2312" w:eastAsia="仿宋_GB2312" w:cs="仿宋_GB2312"/>
                <w:bCs/>
                <w:sz w:val="28"/>
                <w:szCs w:val="28"/>
                <w:lang w:eastAsia="zh-CN"/>
              </w:rPr>
              <w:t>服务</w:t>
            </w:r>
            <w:r>
              <w:rPr>
                <w:rFonts w:hint="eastAsia" w:ascii="仿宋_GB2312" w:hAnsi="仿宋_GB2312" w:eastAsia="仿宋_GB2312" w:cs="仿宋_GB2312"/>
                <w:bCs/>
                <w:sz w:val="28"/>
                <w:szCs w:val="28"/>
              </w:rPr>
              <w:t>单位违规</w:t>
            </w:r>
            <w:r>
              <w:rPr>
                <w:rFonts w:hint="eastAsia" w:ascii="仿宋_GB2312" w:hAnsi="仿宋_GB2312" w:eastAsia="仿宋_GB2312" w:cs="仿宋_GB2312"/>
                <w:bCs/>
                <w:sz w:val="28"/>
                <w:szCs w:val="28"/>
                <w:lang w:eastAsia="zh-CN"/>
              </w:rPr>
              <w:t>建设、</w:t>
            </w:r>
            <w:r>
              <w:rPr>
                <w:rFonts w:hint="eastAsia" w:ascii="仿宋_GB2312" w:hAnsi="仿宋_GB2312" w:eastAsia="仿宋_GB2312" w:cs="仿宋_GB2312"/>
                <w:bCs/>
                <w:sz w:val="28"/>
                <w:szCs w:val="28"/>
              </w:rPr>
              <w:t>经营行为进行处理</w:t>
            </w:r>
            <w:r>
              <w:rPr>
                <w:rFonts w:hint="eastAsia" w:ascii="仿宋_GB2312" w:hAnsi="仿宋_GB2312" w:eastAsia="仿宋_GB2312" w:cs="仿宋_GB2312"/>
                <w:bCs/>
                <w:sz w:val="28"/>
                <w:szCs w:val="28"/>
                <w:lang w:eastAsia="zh-CN"/>
              </w:rPr>
              <w:t>，执法效果好，群众反映佳</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hint="eastAsia" w:ascii="仿宋_GB2312" w:hAnsi="仿宋_GB2312" w:eastAsia="仿宋_GB2312" w:cs="仿宋_GB2312"/>
                <w:bCs/>
                <w:sz w:val="28"/>
                <w:szCs w:val="28"/>
                <w:lang w:eastAsia="zh-CN"/>
              </w:rPr>
            </w:pPr>
            <w:r>
              <w:rPr>
                <w:rFonts w:ascii="仿宋_GB2312" w:hAnsi="仿宋_GB2312" w:eastAsia="仿宋_GB2312" w:cs="仿宋_GB2312"/>
                <w:bCs/>
                <w:sz w:val="28"/>
                <w:szCs w:val="28"/>
              </w:rPr>
              <w:t>5.</w:t>
            </w:r>
            <w:r>
              <w:rPr>
                <w:rFonts w:hint="eastAsia" w:ascii="仿宋_GB2312" w:hAnsi="仿宋_GB2312" w:eastAsia="仿宋_GB2312" w:cs="仿宋_GB2312"/>
                <w:bCs/>
                <w:sz w:val="28"/>
                <w:szCs w:val="28"/>
              </w:rPr>
              <w:t>对</w:t>
            </w:r>
            <w:r>
              <w:rPr>
                <w:rFonts w:hint="eastAsia" w:ascii="仿宋_GB2312" w:hAnsi="仿宋_GB2312" w:eastAsia="仿宋_GB2312" w:cs="仿宋_GB2312"/>
                <w:bCs/>
                <w:sz w:val="28"/>
                <w:szCs w:val="28"/>
                <w:lang w:eastAsia="zh-CN"/>
              </w:rPr>
              <w:t>全市</w:t>
            </w:r>
            <w:r>
              <w:rPr>
                <w:rFonts w:hint="eastAsia" w:ascii="仿宋_GB2312" w:hAnsi="仿宋_GB2312" w:eastAsia="仿宋_GB2312" w:cs="仿宋_GB2312"/>
                <w:bCs/>
                <w:sz w:val="28"/>
                <w:szCs w:val="28"/>
              </w:rPr>
              <w:t>殡葬执法工作进行督查，指导</w:t>
            </w:r>
            <w:r>
              <w:rPr>
                <w:rFonts w:hint="eastAsia" w:ascii="仿宋_GB2312" w:hAnsi="仿宋_GB2312" w:eastAsia="仿宋_GB2312" w:cs="仿宋_GB2312"/>
                <w:bCs/>
                <w:sz w:val="28"/>
                <w:szCs w:val="28"/>
                <w:lang w:eastAsia="zh-CN"/>
              </w:rPr>
              <w:t>查处重大违法殡葬案件</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ascii="仿宋_GB2312" w:hAnsi="仿宋_GB2312" w:eastAsia="仿宋_GB2312" w:cs="仿宋_GB2312"/>
                <w:bCs/>
                <w:sz w:val="28"/>
                <w:szCs w:val="28"/>
              </w:rPr>
              <w:t>6.</w:t>
            </w:r>
            <w:r>
              <w:rPr>
                <w:rFonts w:hint="eastAsia" w:ascii="仿宋_GB2312" w:hAnsi="仿宋_GB2312" w:eastAsia="仿宋_GB2312" w:cs="仿宋_GB2312"/>
                <w:bCs/>
                <w:sz w:val="28"/>
                <w:szCs w:val="28"/>
              </w:rPr>
              <w:t>开展殡葬执法</w:t>
            </w:r>
            <w:r>
              <w:rPr>
                <w:rFonts w:hint="eastAsia" w:ascii="仿宋_GB2312" w:hAnsi="仿宋_GB2312" w:eastAsia="仿宋_GB2312" w:cs="仿宋_GB2312"/>
                <w:bCs/>
                <w:sz w:val="28"/>
                <w:szCs w:val="28"/>
                <w:lang w:eastAsia="zh-CN"/>
              </w:rPr>
              <w:t>和落实惠民殡葬</w:t>
            </w:r>
            <w:r>
              <w:rPr>
                <w:rFonts w:hint="eastAsia" w:ascii="仿宋_GB2312" w:hAnsi="仿宋_GB2312" w:eastAsia="仿宋_GB2312" w:cs="仿宋_GB2312"/>
                <w:bCs/>
                <w:sz w:val="28"/>
                <w:szCs w:val="28"/>
              </w:rPr>
              <w:t>培训各一次</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line="540" w:lineRule="exact"/>
              <w:ind w:firstLineChars="0"/>
              <w:textAlignment w:val="auto"/>
              <w:rPr>
                <w:rFonts w:ascii="黑体" w:hAnsi="黑体" w:eastAsia="黑体" w:cs="黑体"/>
                <w:bCs/>
                <w:sz w:val="28"/>
                <w:szCs w:val="28"/>
              </w:rPr>
            </w:pPr>
            <w:r>
              <w:rPr>
                <w:rFonts w:hint="eastAsia" w:ascii="黑体" w:hAnsi="黑体" w:eastAsia="黑体" w:cs="黑体"/>
                <w:bCs/>
                <w:sz w:val="28"/>
                <w:szCs w:val="28"/>
              </w:rPr>
              <w:t>存在的主要问题</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ascii="仿宋_GB2312" w:hAnsi="仿宋_GB2312" w:eastAsia="仿宋_GB2312" w:cs="仿宋_GB2312"/>
                <w:bCs/>
                <w:sz w:val="28"/>
                <w:szCs w:val="28"/>
              </w:rPr>
            </w:pPr>
            <w:r>
              <w:rPr>
                <w:rFonts w:hint="eastAsia" w:ascii="仿宋_GB2312" w:hAnsi="仿宋_GB2312" w:eastAsia="仿宋_GB2312" w:cs="仿宋_GB2312"/>
                <w:bCs/>
                <w:sz w:val="28"/>
                <w:szCs w:val="28"/>
              </w:rPr>
              <w:t>因部门整体支出的预算资金安排和使用上仍有不可预见性，还要加强预算管理。随着移风易俗、生态安葬理念的深入人心，专项资金迫切需要加大投入。</w:t>
            </w:r>
          </w:p>
          <w:p>
            <w:pPr>
              <w:pStyle w:val="10"/>
              <w:keepNext w:val="0"/>
              <w:keepLines w:val="0"/>
              <w:pageBreakBefore w:val="0"/>
              <w:widowControl w:val="0"/>
              <w:numPr>
                <w:ilvl w:val="0"/>
                <w:numId w:val="4"/>
              </w:numPr>
              <w:kinsoku/>
              <w:wordWrap/>
              <w:overflowPunct/>
              <w:topLinePunct w:val="0"/>
              <w:autoSpaceDE/>
              <w:autoSpaceDN/>
              <w:bidi w:val="0"/>
              <w:adjustRightInd/>
              <w:snapToGrid w:val="0"/>
              <w:spacing w:line="540" w:lineRule="exact"/>
              <w:ind w:firstLineChars="0"/>
              <w:textAlignment w:val="auto"/>
              <w:rPr>
                <w:rFonts w:ascii="黑体" w:hAnsi="黑体" w:eastAsia="黑体" w:cs="黑体"/>
                <w:bCs/>
                <w:sz w:val="28"/>
                <w:szCs w:val="28"/>
              </w:rPr>
            </w:pPr>
            <w:r>
              <w:rPr>
                <w:rFonts w:hint="eastAsia" w:ascii="黑体" w:hAnsi="黑体" w:eastAsia="黑体" w:cs="黑体"/>
                <w:bCs/>
                <w:sz w:val="28"/>
                <w:szCs w:val="28"/>
              </w:rPr>
              <w:t>改进措施和有关建议</w:t>
            </w:r>
          </w:p>
          <w:p>
            <w:pPr>
              <w:keepNext w:val="0"/>
              <w:keepLines w:val="0"/>
              <w:pageBreakBefore w:val="0"/>
              <w:widowControl w:val="0"/>
              <w:kinsoku/>
              <w:wordWrap/>
              <w:overflowPunct/>
              <w:topLinePunct w:val="0"/>
              <w:autoSpaceDE/>
              <w:autoSpaceDN/>
              <w:bidi w:val="0"/>
              <w:adjustRightInd/>
              <w:snapToGrid w:val="0"/>
              <w:spacing w:line="540" w:lineRule="exact"/>
              <w:ind w:firstLine="560" w:firstLineChars="200"/>
              <w:textAlignment w:val="auto"/>
              <w:rPr>
                <w:rFonts w:eastAsia="楷体_GB2312"/>
                <w:bCs/>
                <w:sz w:val="28"/>
                <w:szCs w:val="28"/>
              </w:rPr>
            </w:pPr>
            <w:r>
              <w:rPr>
                <w:rFonts w:hint="eastAsia" w:ascii="仿宋_GB2312" w:hAnsi="仿宋_GB2312" w:eastAsia="仿宋_GB2312" w:cs="仿宋_GB2312"/>
                <w:bCs/>
                <w:sz w:val="28"/>
                <w:szCs w:val="28"/>
              </w:rPr>
              <w:t>加强各部门协作、社会参与机制，建立监督机制，加大奖惩力度，加强财务队伍建设和业务指导，培养项目和部门的绩效管理队伍，建立绩效评价的长效机制。</w:t>
            </w:r>
          </w:p>
        </w:tc>
      </w:tr>
    </w:tbl>
    <w:p>
      <w:pPr>
        <w:spacing w:beforeLines="100" w:afterLines="100"/>
        <w:jc w:val="center"/>
        <w:rPr>
          <w:rFonts w:ascii="方正小标宋简体" w:eastAsia="方正小标宋简体"/>
          <w:sz w:val="38"/>
          <w:szCs w:val="38"/>
        </w:rPr>
      </w:pPr>
      <w:r>
        <w:rPr>
          <w:rFonts w:ascii="方正小标宋简体" w:eastAsia="方正小标宋简体"/>
          <w:sz w:val="38"/>
          <w:szCs w:val="38"/>
        </w:rPr>
        <w:br w:type="page"/>
      </w:r>
      <w:r>
        <w:rPr>
          <w:rFonts w:hint="eastAsia" w:ascii="方正小标宋简体" w:eastAsia="方正小标宋简体"/>
          <w:sz w:val="38"/>
          <w:szCs w:val="38"/>
        </w:rPr>
        <w:t>部门整体支出绩效评价评分表</w:t>
      </w:r>
    </w:p>
    <w:tbl>
      <w:tblPr>
        <w:tblStyle w:val="4"/>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525"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0"/>
                <w:kern w:val="0"/>
                <w:sz w:val="18"/>
                <w:szCs w:val="18"/>
              </w:rPr>
            </w:pPr>
            <w:r>
              <w:rPr>
                <w:rFonts w:hint="eastAsia" w:ascii="仿宋_GB2312" w:hAnsi="宋体" w:eastAsia="仿宋_GB2312" w:cs="宋体"/>
                <w:b/>
                <w:bCs/>
                <w:spacing w:val="-10"/>
                <w:kern w:val="0"/>
                <w:sz w:val="18"/>
                <w:szCs w:val="18"/>
              </w:rPr>
              <w:t>扣分原因和其他说明</w:t>
            </w:r>
          </w:p>
        </w:tc>
      </w:tr>
      <w:tr>
        <w:tblPrEx>
          <w:tblCellMar>
            <w:top w:w="0" w:type="dxa"/>
            <w:left w:w="108" w:type="dxa"/>
            <w:bottom w:w="0" w:type="dxa"/>
            <w:right w:w="108" w:type="dxa"/>
          </w:tblCellMar>
        </w:tblPrEx>
        <w:trPr>
          <w:trHeight w:val="559"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投</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入</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预算配置</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财政供养人员</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以</w:t>
            </w:r>
            <w:r>
              <w:rPr>
                <w:rFonts w:ascii="仿宋_GB2312" w:hAnsi="宋体" w:eastAsia="仿宋_GB2312" w:cs="宋体"/>
                <w:w w:val="90"/>
                <w:kern w:val="0"/>
                <w:sz w:val="21"/>
                <w:szCs w:val="21"/>
              </w:rPr>
              <w:t>100%</w:t>
            </w:r>
            <w:r>
              <w:rPr>
                <w:rFonts w:hint="eastAsia" w:ascii="仿宋_GB2312" w:hAnsi="宋体" w:eastAsia="仿宋_GB2312" w:cs="宋体"/>
                <w:w w:val="90"/>
                <w:kern w:val="0"/>
                <w:sz w:val="21"/>
                <w:szCs w:val="21"/>
              </w:rPr>
              <w:t>为标准。在职人员控制率</w:t>
            </w:r>
            <w:r>
              <w:rPr>
                <w:rFonts w:hint="eastAsia" w:ascii="宋体" w:hAnsi="宋体" w:cs="宋体"/>
                <w:w w:val="90"/>
                <w:kern w:val="0"/>
                <w:sz w:val="21"/>
                <w:szCs w:val="21"/>
              </w:rPr>
              <w:t>≦</w:t>
            </w:r>
            <w:r>
              <w:rPr>
                <w:rFonts w:ascii="仿宋_GB2312" w:hAnsi="宋体" w:eastAsia="仿宋_GB2312" w:cs="宋体"/>
                <w:w w:val="90"/>
                <w:kern w:val="0"/>
                <w:sz w:val="21"/>
                <w:szCs w:val="21"/>
              </w:rPr>
              <w:t>100%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5</w:t>
            </w:r>
            <w:r>
              <w:rPr>
                <w:rFonts w:hint="eastAsia" w:ascii="仿宋_GB2312" w:hAnsi="宋体" w:eastAsia="仿宋_GB2312" w:cs="宋体"/>
                <w:w w:val="90"/>
                <w:kern w:val="0"/>
                <w:sz w:val="21"/>
                <w:szCs w:val="21"/>
              </w:rPr>
              <w:t>分；每超过一个百分点扣</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变动率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“三公经费”变动率</w:t>
            </w:r>
            <w:r>
              <w:rPr>
                <w:rFonts w:hint="eastAsia" w:ascii="宋体" w:hAnsi="宋体" w:cs="宋体"/>
                <w:w w:val="90"/>
                <w:kern w:val="0"/>
                <w:sz w:val="21"/>
                <w:szCs w:val="21"/>
              </w:rPr>
              <w:t>≦</w:t>
            </w:r>
            <w:r>
              <w:rPr>
                <w:rFonts w:ascii="仿宋_GB2312" w:hAnsi="宋体" w:eastAsia="仿宋_GB2312" w:cs="宋体"/>
                <w:w w:val="90"/>
                <w:kern w:val="0"/>
                <w:sz w:val="21"/>
                <w:szCs w:val="21"/>
              </w:rPr>
              <w:t>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5</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“三公经费”＞</w:t>
            </w:r>
            <w:r>
              <w:rPr>
                <w:rFonts w:ascii="仿宋_GB2312" w:hAnsi="宋体" w:eastAsia="仿宋_GB2312" w:cs="宋体"/>
                <w:w w:val="90"/>
                <w:kern w:val="0"/>
                <w:sz w:val="21"/>
                <w:szCs w:val="21"/>
              </w:rPr>
              <w:t>0</w:t>
            </w:r>
            <w:r>
              <w:rPr>
                <w:rFonts w:hint="eastAsia" w:ascii="仿宋_GB2312" w:hAnsi="宋体" w:eastAsia="仿宋_GB2312" w:cs="宋体"/>
                <w:w w:val="90"/>
                <w:kern w:val="0"/>
                <w:sz w:val="21"/>
                <w:szCs w:val="21"/>
              </w:rPr>
              <w:t>，每超过一个百分点扣</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37"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重点支出</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安排率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重点支出安排率≥</w:t>
            </w:r>
            <w:r>
              <w:rPr>
                <w:rFonts w:ascii="仿宋_GB2312" w:hAnsi="宋体" w:eastAsia="仿宋_GB2312" w:cs="宋体"/>
                <w:w w:val="90"/>
                <w:kern w:val="0"/>
                <w:sz w:val="21"/>
                <w:szCs w:val="21"/>
              </w:rPr>
              <w:t>90%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5</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80%</w:t>
            </w:r>
            <w:r>
              <w:rPr>
                <w:rFonts w:hint="eastAsia" w:ascii="仿宋_GB2312" w:hAnsi="宋体" w:eastAsia="仿宋_GB2312" w:cs="宋体"/>
                <w:w w:val="90"/>
                <w:kern w:val="0"/>
                <w:sz w:val="21"/>
                <w:szCs w:val="21"/>
              </w:rPr>
              <w:t>（含）</w:t>
            </w:r>
            <w:r>
              <w:rPr>
                <w:rFonts w:ascii="仿宋_GB2312" w:hAnsi="宋体" w:eastAsia="仿宋_GB2312" w:cs="宋体"/>
                <w:w w:val="90"/>
                <w:kern w:val="0"/>
                <w:sz w:val="21"/>
                <w:szCs w:val="21"/>
              </w:rPr>
              <w:t>-90%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4</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70%</w:t>
            </w:r>
            <w:r>
              <w:rPr>
                <w:rFonts w:hint="eastAsia" w:ascii="仿宋_GB2312" w:hAnsi="宋体" w:eastAsia="仿宋_GB2312" w:cs="宋体"/>
                <w:w w:val="90"/>
                <w:kern w:val="0"/>
                <w:sz w:val="21"/>
                <w:szCs w:val="21"/>
              </w:rPr>
              <w:t>（含）</w:t>
            </w:r>
            <w:r>
              <w:rPr>
                <w:rFonts w:ascii="仿宋_GB2312" w:hAnsi="宋体" w:eastAsia="仿宋_GB2312" w:cs="宋体"/>
                <w:w w:val="90"/>
                <w:kern w:val="0"/>
                <w:sz w:val="21"/>
                <w:szCs w:val="21"/>
              </w:rPr>
              <w:t>-80%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3</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60%</w:t>
            </w:r>
            <w:r>
              <w:rPr>
                <w:rFonts w:hint="eastAsia" w:ascii="仿宋_GB2312" w:hAnsi="宋体" w:eastAsia="仿宋_GB2312" w:cs="宋体"/>
                <w:w w:val="90"/>
                <w:kern w:val="0"/>
                <w:sz w:val="21"/>
                <w:szCs w:val="21"/>
              </w:rPr>
              <w:t>（含）</w:t>
            </w:r>
            <w:r>
              <w:rPr>
                <w:rFonts w:ascii="仿宋_GB2312" w:hAnsi="宋体" w:eastAsia="仿宋_GB2312" w:cs="宋体"/>
                <w:w w:val="90"/>
                <w:kern w:val="0"/>
                <w:sz w:val="21"/>
                <w:szCs w:val="21"/>
              </w:rPr>
              <w:t>-70%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2</w:t>
            </w:r>
            <w:r>
              <w:rPr>
                <w:rFonts w:hint="eastAsia" w:ascii="仿宋_GB2312" w:hAnsi="宋体" w:eastAsia="仿宋_GB2312" w:cs="宋体"/>
                <w:w w:val="90"/>
                <w:kern w:val="0"/>
                <w:sz w:val="21"/>
                <w:szCs w:val="21"/>
              </w:rPr>
              <w:t>分；低于</w:t>
            </w:r>
            <w:r>
              <w:rPr>
                <w:rFonts w:ascii="仿宋_GB2312" w:hAnsi="宋体" w:eastAsia="仿宋_GB2312" w:cs="宋体"/>
                <w:w w:val="90"/>
                <w:kern w:val="0"/>
                <w:sz w:val="21"/>
                <w:szCs w:val="21"/>
              </w:rPr>
              <w:t>60%</w:t>
            </w:r>
            <w:r>
              <w:rPr>
                <w:rFonts w:hint="eastAsia" w:ascii="仿宋_GB2312" w:hAnsi="宋体" w:eastAsia="仿宋_GB2312" w:cs="宋体"/>
                <w:w w:val="90"/>
                <w:kern w:val="0"/>
                <w:sz w:val="21"/>
                <w:szCs w:val="21"/>
              </w:rPr>
              <w:t>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5</w:t>
            </w:r>
          </w:p>
        </w:tc>
        <w:tc>
          <w:tcPr>
            <w:tcW w:w="1080"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776"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程</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40</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预算执行</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预算调整率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预算调整率</w:t>
            </w:r>
            <w:r>
              <w:rPr>
                <w:rFonts w:ascii="仿宋_GB2312" w:hAnsi="宋体" w:eastAsia="仿宋_GB2312" w:cs="宋体"/>
                <w:w w:val="90"/>
                <w:kern w:val="0"/>
                <w:sz w:val="21"/>
                <w:szCs w:val="21"/>
              </w:rPr>
              <w:t>=0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3</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0-10%</w:t>
            </w:r>
            <w:r>
              <w:rPr>
                <w:rFonts w:hint="eastAsia" w:ascii="仿宋_GB2312" w:hAnsi="宋体" w:eastAsia="仿宋_GB2312" w:cs="宋体"/>
                <w:w w:val="90"/>
                <w:kern w:val="0"/>
                <w:sz w:val="21"/>
                <w:szCs w:val="21"/>
              </w:rPr>
              <w:t>（含），计</w:t>
            </w:r>
            <w:r>
              <w:rPr>
                <w:rFonts w:ascii="仿宋_GB2312" w:hAnsi="宋体" w:eastAsia="仿宋_GB2312" w:cs="宋体"/>
                <w:w w:val="90"/>
                <w:kern w:val="0"/>
                <w:sz w:val="21"/>
                <w:szCs w:val="21"/>
              </w:rPr>
              <w:t>2</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10-20%</w:t>
            </w:r>
            <w:r>
              <w:rPr>
                <w:rFonts w:hint="eastAsia" w:ascii="仿宋_GB2312" w:hAnsi="宋体" w:eastAsia="仿宋_GB2312" w:cs="宋体"/>
                <w:w w:val="90"/>
                <w:kern w:val="0"/>
                <w:sz w:val="21"/>
                <w:szCs w:val="21"/>
              </w:rPr>
              <w:t>（含），计</w:t>
            </w:r>
            <w:r>
              <w:rPr>
                <w:rFonts w:ascii="仿宋_GB2312" w:hAnsi="宋体" w:eastAsia="仿宋_GB2312" w:cs="宋体"/>
                <w:w w:val="90"/>
                <w:kern w:val="0"/>
                <w:sz w:val="21"/>
                <w:szCs w:val="21"/>
              </w:rPr>
              <w:t>1</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20-30%</w:t>
            </w:r>
            <w:r>
              <w:rPr>
                <w:rFonts w:hint="eastAsia" w:ascii="仿宋_GB2312" w:hAnsi="宋体" w:eastAsia="仿宋_GB2312" w:cs="宋体"/>
                <w:w w:val="90"/>
                <w:kern w:val="0"/>
                <w:sz w:val="21"/>
                <w:szCs w:val="21"/>
              </w:rPr>
              <w:t>（含），计</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分；大于</w:t>
            </w:r>
            <w:r>
              <w:rPr>
                <w:rFonts w:ascii="仿宋_GB2312" w:hAnsi="宋体" w:eastAsia="仿宋_GB2312" w:cs="宋体"/>
                <w:w w:val="90"/>
                <w:kern w:val="0"/>
                <w:sz w:val="21"/>
                <w:szCs w:val="21"/>
              </w:rPr>
              <w:t>30%</w:t>
            </w:r>
            <w:r>
              <w:rPr>
                <w:rFonts w:hint="eastAsia" w:ascii="仿宋_GB2312" w:hAnsi="宋体" w:eastAsia="仿宋_GB2312" w:cs="宋体"/>
                <w:w w:val="90"/>
                <w:kern w:val="0"/>
                <w:sz w:val="21"/>
                <w:szCs w:val="21"/>
              </w:rPr>
              <w:t>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103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支付进度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春节前下达全部专项资金的</w:t>
            </w:r>
            <w:r>
              <w:rPr>
                <w:rFonts w:ascii="仿宋_GB2312" w:hAnsi="宋体" w:eastAsia="仿宋_GB2312" w:cs="宋体"/>
                <w:w w:val="90"/>
                <w:kern w:val="0"/>
                <w:sz w:val="21"/>
                <w:szCs w:val="21"/>
              </w:rPr>
              <w:t>50%</w:t>
            </w:r>
            <w:r>
              <w:rPr>
                <w:rFonts w:hint="eastAsia" w:ascii="仿宋_GB2312" w:hAnsi="宋体" w:eastAsia="仿宋_GB2312" w:cs="宋体"/>
                <w:w w:val="90"/>
                <w:kern w:val="0"/>
                <w:sz w:val="21"/>
                <w:szCs w:val="21"/>
              </w:rPr>
              <w:t>；</w:t>
            </w:r>
            <w:r>
              <w:rPr>
                <w:rFonts w:ascii="仿宋_GB2312" w:hAnsi="宋体" w:eastAsia="仿宋_GB2312" w:cs="宋体"/>
                <w:w w:val="90"/>
                <w:kern w:val="0"/>
                <w:sz w:val="21"/>
                <w:szCs w:val="21"/>
              </w:rPr>
              <w:t>6</w:t>
            </w:r>
            <w:r>
              <w:rPr>
                <w:rFonts w:hint="eastAsia" w:ascii="仿宋_GB2312" w:hAnsi="宋体" w:eastAsia="仿宋_GB2312" w:cs="宋体"/>
                <w:w w:val="90"/>
                <w:kern w:val="0"/>
                <w:sz w:val="21"/>
                <w:szCs w:val="21"/>
              </w:rPr>
              <w:t>月底前所有专项资金指标全部下达完。</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每出现一个专项未按进度完成资金下达扣</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619"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资金结余</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无结余，</w:t>
            </w:r>
            <w:r>
              <w:rPr>
                <w:rFonts w:ascii="仿宋_GB2312" w:hAnsi="宋体" w:eastAsia="仿宋_GB2312" w:cs="宋体"/>
                <w:w w:val="90"/>
                <w:kern w:val="0"/>
                <w:sz w:val="21"/>
                <w:szCs w:val="21"/>
              </w:rPr>
              <w:t>3</w:t>
            </w:r>
            <w:r>
              <w:rPr>
                <w:rFonts w:hint="eastAsia" w:ascii="仿宋_GB2312" w:hAnsi="宋体" w:eastAsia="仿宋_GB2312" w:cs="宋体"/>
                <w:w w:val="90"/>
                <w:kern w:val="0"/>
                <w:sz w:val="21"/>
                <w:szCs w:val="21"/>
              </w:rPr>
              <w:t>分；有结余，但不超过上年结转，</w:t>
            </w:r>
            <w:r>
              <w:rPr>
                <w:rFonts w:ascii="仿宋_GB2312" w:hAnsi="宋体" w:eastAsia="仿宋_GB2312" w:cs="宋体"/>
                <w:w w:val="90"/>
                <w:kern w:val="0"/>
                <w:sz w:val="21"/>
                <w:szCs w:val="21"/>
              </w:rPr>
              <w:t>2</w:t>
            </w:r>
            <w:r>
              <w:rPr>
                <w:rFonts w:hint="eastAsia" w:ascii="仿宋_GB2312" w:hAnsi="宋体" w:eastAsia="仿宋_GB2312" w:cs="宋体"/>
                <w:w w:val="90"/>
                <w:kern w:val="0"/>
                <w:sz w:val="21"/>
                <w:szCs w:val="21"/>
              </w:rPr>
              <w:t>分；结余超过上年结转，不得分。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年末追加资金</w:t>
            </w:r>
          </w:p>
        </w:tc>
      </w:tr>
      <w:tr>
        <w:tblPrEx>
          <w:tblCellMar>
            <w:top w:w="0" w:type="dxa"/>
            <w:left w:w="108" w:type="dxa"/>
            <w:bottom w:w="0" w:type="dxa"/>
            <w:right w:w="108" w:type="dxa"/>
          </w:tblCellMar>
        </w:tblPrEx>
        <w:trPr>
          <w:trHeight w:val="49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“三公经费”</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控制率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以</w:t>
            </w:r>
            <w:r>
              <w:rPr>
                <w:rFonts w:ascii="仿宋_GB2312" w:hAnsi="宋体" w:eastAsia="仿宋_GB2312" w:cs="宋体"/>
                <w:w w:val="90"/>
                <w:kern w:val="0"/>
                <w:sz w:val="21"/>
                <w:szCs w:val="21"/>
              </w:rPr>
              <w:t>100%</w:t>
            </w:r>
            <w:r>
              <w:rPr>
                <w:rFonts w:hint="eastAsia" w:ascii="仿宋_GB2312" w:hAnsi="宋体" w:eastAsia="仿宋_GB2312" w:cs="宋体"/>
                <w:w w:val="90"/>
                <w:kern w:val="0"/>
                <w:sz w:val="21"/>
                <w:szCs w:val="21"/>
              </w:rPr>
              <w:t>为标准。三公经费控制率</w:t>
            </w:r>
            <w:r>
              <w:rPr>
                <w:rFonts w:hint="eastAsia" w:ascii="宋体" w:hAnsi="宋体" w:cs="宋体"/>
                <w:w w:val="90"/>
                <w:kern w:val="0"/>
                <w:sz w:val="21"/>
                <w:szCs w:val="21"/>
              </w:rPr>
              <w:t>≦</w:t>
            </w:r>
            <w:r>
              <w:rPr>
                <w:rFonts w:ascii="仿宋_GB2312" w:hAnsi="宋体" w:eastAsia="仿宋_GB2312" w:cs="宋体"/>
                <w:w w:val="90"/>
                <w:kern w:val="0"/>
                <w:sz w:val="21"/>
                <w:szCs w:val="21"/>
              </w:rPr>
              <w:t>100%</w:t>
            </w:r>
            <w:r>
              <w:rPr>
                <w:rFonts w:hint="eastAsia" w:ascii="仿宋_GB2312" w:hAnsi="宋体" w:eastAsia="仿宋_GB2312" w:cs="宋体"/>
                <w:w w:val="90"/>
                <w:kern w:val="0"/>
                <w:sz w:val="21"/>
                <w:szCs w:val="21"/>
              </w:rPr>
              <w:t>，计</w:t>
            </w:r>
            <w:r>
              <w:rPr>
                <w:rFonts w:ascii="仿宋_GB2312" w:hAnsi="宋体" w:eastAsia="仿宋_GB2312" w:cs="宋体"/>
                <w:w w:val="90"/>
                <w:kern w:val="0"/>
                <w:sz w:val="21"/>
                <w:szCs w:val="21"/>
              </w:rPr>
              <w:t>6</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每超过一个百分点扣</w:t>
            </w:r>
            <w:r>
              <w:rPr>
                <w:rFonts w:ascii="仿宋_GB2312" w:hAnsi="宋体" w:eastAsia="仿宋_GB2312" w:cs="宋体"/>
                <w:w w:val="90"/>
                <w:kern w:val="0"/>
                <w:sz w:val="21"/>
                <w:szCs w:val="21"/>
              </w:rPr>
              <w:t>1</w:t>
            </w:r>
            <w:r>
              <w:rPr>
                <w:rFonts w:hint="eastAsia" w:ascii="仿宋_GB2312" w:hAnsi="宋体" w:eastAsia="仿宋_GB2312" w:cs="宋体"/>
                <w:w w:val="90"/>
                <w:kern w:val="0"/>
                <w:sz w:val="21"/>
                <w:szCs w:val="21"/>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6</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91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预算管理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①已制定或具有预算资金管理办法，内部财务管理制度、会计核算制度等管理制度，</w:t>
            </w:r>
            <w:r>
              <w:rPr>
                <w:rFonts w:ascii="仿宋_GB2312" w:hAnsi="宋体" w:eastAsia="仿宋_GB2312" w:cs="宋体"/>
                <w:w w:val="90"/>
                <w:kern w:val="0"/>
                <w:sz w:val="21"/>
                <w:szCs w:val="21"/>
              </w:rPr>
              <w:t>1</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②相关管理制度合法、合规、完整，</w:t>
            </w:r>
            <w:r>
              <w:rPr>
                <w:rFonts w:ascii="仿宋_GB2312" w:hAnsi="宋体" w:eastAsia="仿宋_GB2312" w:cs="宋体"/>
                <w:w w:val="90"/>
                <w:kern w:val="0"/>
                <w:sz w:val="21"/>
                <w:szCs w:val="21"/>
              </w:rPr>
              <w:t>1</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③相关管理制度得到有效执行，</w:t>
            </w:r>
            <w:r>
              <w:rPr>
                <w:rFonts w:ascii="仿宋_GB2312" w:hAnsi="宋体" w:eastAsia="仿宋_GB2312" w:cs="宋体"/>
                <w:w w:val="90"/>
                <w:kern w:val="0"/>
                <w:sz w:val="21"/>
                <w:szCs w:val="21"/>
              </w:rPr>
              <w:t>1</w:t>
            </w:r>
            <w:r>
              <w:rPr>
                <w:rFonts w:hint="eastAsia" w:ascii="仿宋_GB2312" w:hAnsi="宋体" w:eastAsia="仿宋_GB2312" w:cs="宋体"/>
                <w:w w:val="90"/>
                <w:kern w:val="0"/>
                <w:sz w:val="21"/>
                <w:szCs w:val="21"/>
              </w:rPr>
              <w:t>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214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资金使用</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合规性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①支出符合国家财经法规和财务管理制度规定以及有关专项资金管理办法的规定；</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②资金拨付有完整的审批程序和手续；</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③项目支出按规定经过评估论证；</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④支出符合部门预算批复的用途；</w:t>
            </w:r>
            <w:r>
              <w:rPr>
                <w:rFonts w:ascii="仿宋_GB2312" w:hAnsi="宋体" w:eastAsia="仿宋_GB2312" w:cs="宋体"/>
                <w:w w:val="90"/>
                <w:kern w:val="0"/>
                <w:sz w:val="21"/>
                <w:szCs w:val="21"/>
              </w:rPr>
              <w:br w:type="textWrapping"/>
            </w:r>
            <w:r>
              <w:rPr>
                <w:rFonts w:hint="eastAsia" w:ascii="仿宋_GB2312" w:hAnsi="宋体" w:eastAsia="仿宋_GB2312" w:cs="宋体"/>
                <w:spacing w:val="-6"/>
                <w:w w:val="90"/>
                <w:kern w:val="0"/>
                <w:sz w:val="21"/>
                <w:szCs w:val="21"/>
              </w:rPr>
              <w:t>⑤资金使用无截留、挤占、挪用、虚列支出等情况。</w:t>
            </w:r>
            <w:r>
              <w:rPr>
                <w:rFonts w:ascii="仿宋_GB2312" w:hAnsi="宋体" w:eastAsia="仿宋_GB2312" w:cs="宋体"/>
                <w:spacing w:val="-6"/>
                <w:w w:val="90"/>
                <w:kern w:val="0"/>
                <w:sz w:val="21"/>
                <w:szCs w:val="21"/>
              </w:rPr>
              <w:br w:type="textWrapping"/>
            </w:r>
            <w:r>
              <w:rPr>
                <w:rFonts w:hint="eastAsia" w:ascii="仿宋_GB2312" w:hAnsi="宋体" w:eastAsia="仿宋_GB2312" w:cs="宋体"/>
                <w:spacing w:val="-6"/>
                <w:w w:val="90"/>
                <w:kern w:val="0"/>
                <w:sz w:val="21"/>
                <w:szCs w:val="21"/>
              </w:rPr>
              <w:t>以上情况每出现一例不符合要求的扣</w:t>
            </w:r>
            <w:r>
              <w:rPr>
                <w:rFonts w:ascii="仿宋_GB2312" w:hAnsi="宋体" w:eastAsia="仿宋_GB2312" w:cs="宋体"/>
                <w:spacing w:val="-6"/>
                <w:w w:val="90"/>
                <w:kern w:val="0"/>
                <w:sz w:val="21"/>
                <w:szCs w:val="21"/>
              </w:rPr>
              <w:t>1</w:t>
            </w:r>
            <w:r>
              <w:rPr>
                <w:rFonts w:hint="eastAsia" w:ascii="仿宋_GB2312" w:hAnsi="宋体" w:eastAsia="仿宋_GB2312" w:cs="宋体"/>
                <w:spacing w:val="-6"/>
                <w:w w:val="90"/>
                <w:kern w:val="0"/>
                <w:sz w:val="21"/>
                <w:szCs w:val="21"/>
              </w:rPr>
              <w:t>分，扣完为止。</w:t>
            </w:r>
            <w:bookmarkStart w:id="0" w:name="_GoBack"/>
            <w:bookmarkEnd w:id="0"/>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color w:val="000000"/>
                <w:kern w:val="0"/>
                <w:sz w:val="18"/>
                <w:szCs w:val="18"/>
              </w:rPr>
            </w:pPr>
          </w:p>
        </w:tc>
      </w:tr>
      <w:tr>
        <w:tblPrEx>
          <w:tblCellMar>
            <w:top w:w="0" w:type="dxa"/>
            <w:left w:w="108" w:type="dxa"/>
            <w:bottom w:w="0" w:type="dxa"/>
            <w:right w:w="108" w:type="dxa"/>
          </w:tblCellMar>
        </w:tblPrEx>
        <w:trPr>
          <w:trHeight w:val="45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预决算信息公开性和完善性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①按规定内容公开预决算信息，</w:t>
            </w:r>
            <w:r>
              <w:rPr>
                <w:rFonts w:ascii="仿宋_GB2312" w:hAnsi="宋体" w:eastAsia="仿宋_GB2312" w:cs="宋体"/>
                <w:w w:val="90"/>
                <w:kern w:val="0"/>
                <w:sz w:val="21"/>
                <w:szCs w:val="21"/>
              </w:rPr>
              <w:t>1</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②按规定时限公开预决算信息，</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③基础数据信息和会计信息资料真实，</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④基础数据信息和会计信息资料完整，</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⑤基础数据信息和汇集信息资料准确，</w:t>
            </w:r>
            <w:r>
              <w:rPr>
                <w:rFonts w:ascii="仿宋_GB2312" w:hAnsi="宋体" w:eastAsia="仿宋_GB2312" w:cs="宋体"/>
                <w:w w:val="90"/>
                <w:kern w:val="0"/>
                <w:sz w:val="21"/>
                <w:szCs w:val="21"/>
              </w:rPr>
              <w:t>0.5</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 xml:space="preserve">                                            </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57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　</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政府采购</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执行率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政府采购执行率等于</w:t>
            </w:r>
            <w:r>
              <w:rPr>
                <w:rFonts w:ascii="仿宋_GB2312" w:hAnsi="宋体" w:eastAsia="仿宋_GB2312" w:cs="宋体"/>
                <w:w w:val="90"/>
                <w:kern w:val="0"/>
                <w:sz w:val="21"/>
                <w:szCs w:val="21"/>
              </w:rPr>
              <w:t>100%</w:t>
            </w:r>
            <w:r>
              <w:rPr>
                <w:rFonts w:hint="eastAsia" w:ascii="仿宋_GB2312" w:hAnsi="宋体" w:eastAsia="仿宋_GB2312" w:cs="宋体"/>
                <w:w w:val="90"/>
                <w:kern w:val="0"/>
                <w:sz w:val="21"/>
                <w:szCs w:val="21"/>
              </w:rPr>
              <w:t>的，得</w:t>
            </w:r>
            <w:r>
              <w:rPr>
                <w:rFonts w:ascii="仿宋_GB2312" w:hAnsi="宋体" w:eastAsia="仿宋_GB2312" w:cs="宋体"/>
                <w:w w:val="90"/>
                <w:kern w:val="0"/>
                <w:sz w:val="21"/>
                <w:szCs w:val="21"/>
              </w:rPr>
              <w:t>3</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每减少一个百分点，扣</w:t>
            </w:r>
            <w:r>
              <w:rPr>
                <w:rFonts w:ascii="仿宋_GB2312" w:hAnsi="宋体" w:eastAsia="仿宋_GB2312" w:cs="宋体"/>
                <w:w w:val="90"/>
                <w:kern w:val="0"/>
                <w:sz w:val="21"/>
                <w:szCs w:val="21"/>
              </w:rPr>
              <w:t>0.2</w:t>
            </w:r>
            <w:r>
              <w:rPr>
                <w:rFonts w:hint="eastAsia" w:ascii="仿宋_GB2312" w:hAnsi="宋体" w:eastAsia="仿宋_GB2312" w:cs="宋体"/>
                <w:w w:val="90"/>
                <w:kern w:val="0"/>
                <w:sz w:val="21"/>
                <w:szCs w:val="21"/>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3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公务卡刷卡率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公务卡刷卡率达</w:t>
            </w:r>
            <w:r>
              <w:rPr>
                <w:rFonts w:ascii="仿宋_GB2312" w:hAnsi="宋体" w:eastAsia="仿宋_GB2312" w:cs="宋体"/>
                <w:w w:val="90"/>
                <w:kern w:val="0"/>
                <w:sz w:val="21"/>
                <w:szCs w:val="21"/>
              </w:rPr>
              <w:t>50</w:t>
            </w:r>
            <w:r>
              <w:rPr>
                <w:rFonts w:hint="eastAsia" w:ascii="仿宋_GB2312" w:hAnsi="宋体" w:eastAsia="仿宋_GB2312" w:cs="宋体"/>
                <w:w w:val="90"/>
                <w:kern w:val="0"/>
                <w:sz w:val="21"/>
                <w:szCs w:val="21"/>
              </w:rPr>
              <w:t>％以上的，得</w:t>
            </w:r>
            <w:r>
              <w:rPr>
                <w:rFonts w:ascii="仿宋_GB2312" w:hAnsi="宋体" w:eastAsia="仿宋_GB2312" w:cs="宋体"/>
                <w:w w:val="90"/>
                <w:kern w:val="0"/>
                <w:sz w:val="21"/>
                <w:szCs w:val="21"/>
              </w:rPr>
              <w:t>3</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每减少一个百分点，扣</w:t>
            </w:r>
            <w:r>
              <w:rPr>
                <w:rFonts w:ascii="仿宋_GB2312" w:hAnsi="宋体" w:eastAsia="仿宋_GB2312" w:cs="宋体"/>
                <w:w w:val="90"/>
                <w:kern w:val="0"/>
                <w:sz w:val="21"/>
                <w:szCs w:val="21"/>
              </w:rPr>
              <w:t>0.2</w:t>
            </w:r>
            <w:r>
              <w:rPr>
                <w:rFonts w:hint="eastAsia" w:ascii="仿宋_GB2312" w:hAnsi="宋体" w:eastAsia="仿宋_GB2312" w:cs="宋体"/>
                <w:w w:val="90"/>
                <w:kern w:val="0"/>
                <w:sz w:val="21"/>
                <w:szCs w:val="21"/>
              </w:rPr>
              <w:t>分，扣完为止。</w:t>
            </w:r>
            <w:r>
              <w:rPr>
                <w:rFonts w:ascii="仿宋_GB2312" w:hAnsi="宋体" w:eastAsia="仿宋_GB2312" w:cs="宋体"/>
                <w:w w:val="90"/>
                <w:kern w:val="0"/>
                <w:sz w:val="21"/>
                <w:szCs w:val="21"/>
              </w:rPr>
              <w:t xml:space="preserve">                                            </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35"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10</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管理制度</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健全性</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w w:val="90"/>
                <w:kern w:val="0"/>
                <w:sz w:val="21"/>
                <w:szCs w:val="21"/>
              </w:rPr>
            </w:pPr>
            <w:r>
              <w:rPr>
                <w:rFonts w:hint="eastAsia" w:ascii="仿宋_GB2312" w:hAnsi="宋体" w:eastAsia="仿宋_GB2312" w:cs="宋体"/>
                <w:w w:val="90"/>
                <w:kern w:val="0"/>
                <w:sz w:val="21"/>
                <w:szCs w:val="21"/>
              </w:rPr>
              <w:t>①已制定或具有资产管理制度，且相关资产管理制度合法、合规、完整，</w:t>
            </w:r>
            <w:r>
              <w:rPr>
                <w:rFonts w:ascii="仿宋_GB2312" w:hAnsi="宋体" w:eastAsia="仿宋_GB2312" w:cs="宋体"/>
                <w:w w:val="90"/>
                <w:kern w:val="0"/>
                <w:sz w:val="21"/>
                <w:szCs w:val="21"/>
              </w:rPr>
              <w:t>2</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br w:type="textWrapping"/>
            </w:r>
            <w:r>
              <w:rPr>
                <w:rFonts w:hint="eastAsia" w:ascii="仿宋_GB2312" w:hAnsi="宋体" w:eastAsia="仿宋_GB2312" w:cs="宋体"/>
                <w:w w:val="90"/>
                <w:kern w:val="0"/>
                <w:sz w:val="21"/>
                <w:szCs w:val="21"/>
              </w:rPr>
              <w:t>②相关资产管理制度得到有效执行，</w:t>
            </w:r>
            <w:r>
              <w:rPr>
                <w:rFonts w:ascii="仿宋_GB2312" w:hAnsi="宋体" w:eastAsia="仿宋_GB2312" w:cs="宋体"/>
                <w:w w:val="90"/>
                <w:kern w:val="0"/>
                <w:sz w:val="21"/>
                <w:szCs w:val="21"/>
              </w:rPr>
              <w:t>1</w:t>
            </w:r>
            <w:r>
              <w:rPr>
                <w:rFonts w:hint="eastAsia" w:ascii="仿宋_GB2312" w:hAnsi="宋体" w:eastAsia="仿宋_GB2312" w:cs="宋体"/>
                <w:w w:val="90"/>
                <w:kern w:val="0"/>
                <w:sz w:val="21"/>
                <w:szCs w:val="21"/>
              </w:rPr>
              <w:t>分。</w:t>
            </w:r>
            <w:r>
              <w:rPr>
                <w:rFonts w:ascii="仿宋_GB2312" w:hAnsi="宋体" w:eastAsia="仿宋_GB2312" w:cs="宋体"/>
                <w:w w:val="90"/>
                <w:kern w:val="0"/>
                <w:sz w:val="21"/>
                <w:szCs w:val="21"/>
              </w:rPr>
              <w:t xml:space="preserve">                                           </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bl>
    <w:p/>
    <w:tbl>
      <w:tblPr>
        <w:tblStyle w:val="4"/>
        <w:tblW w:w="9894" w:type="dxa"/>
        <w:jc w:val="center"/>
        <w:tblLayout w:type="fixed"/>
        <w:tblCellMar>
          <w:top w:w="0" w:type="dxa"/>
          <w:left w:w="108" w:type="dxa"/>
          <w:bottom w:w="0" w:type="dxa"/>
          <w:right w:w="108" w:type="dxa"/>
        </w:tblCellMar>
      </w:tblPr>
      <w:tblGrid>
        <w:gridCol w:w="976"/>
        <w:gridCol w:w="939"/>
        <w:gridCol w:w="1389"/>
        <w:gridCol w:w="4171"/>
        <w:gridCol w:w="619"/>
        <w:gridCol w:w="720"/>
        <w:gridCol w:w="1080"/>
      </w:tblGrid>
      <w:tr>
        <w:tblPrEx>
          <w:tblCellMar>
            <w:top w:w="0" w:type="dxa"/>
            <w:left w:w="108" w:type="dxa"/>
            <w:bottom w:w="0" w:type="dxa"/>
            <w:right w:w="108" w:type="dxa"/>
          </w:tblCellMar>
        </w:tblPrEx>
        <w:trPr>
          <w:trHeight w:val="609" w:hRule="atLeast"/>
          <w:jc w:val="center"/>
        </w:trPr>
        <w:tc>
          <w:tcPr>
            <w:tcW w:w="976"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一级指标</w:t>
            </w:r>
          </w:p>
        </w:tc>
        <w:tc>
          <w:tcPr>
            <w:tcW w:w="93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二级指标</w:t>
            </w:r>
          </w:p>
        </w:tc>
        <w:tc>
          <w:tcPr>
            <w:tcW w:w="138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三级指标</w:t>
            </w:r>
          </w:p>
        </w:tc>
        <w:tc>
          <w:tcPr>
            <w:tcW w:w="4171"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评分标准</w:t>
            </w:r>
          </w:p>
        </w:tc>
        <w:tc>
          <w:tcPr>
            <w:tcW w:w="6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分值</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自评得分</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b/>
                <w:bCs/>
                <w:spacing w:val="-12"/>
                <w:kern w:val="0"/>
                <w:sz w:val="18"/>
                <w:szCs w:val="18"/>
              </w:rPr>
            </w:pPr>
            <w:r>
              <w:rPr>
                <w:rFonts w:hint="eastAsia" w:ascii="仿宋_GB2312" w:hAnsi="宋体" w:eastAsia="仿宋_GB2312" w:cs="宋体"/>
                <w:b/>
                <w:bCs/>
                <w:spacing w:val="-12"/>
                <w:kern w:val="0"/>
                <w:sz w:val="18"/>
                <w:szCs w:val="18"/>
              </w:rPr>
              <w:t>扣分原因和其他说明</w:t>
            </w:r>
          </w:p>
        </w:tc>
      </w:tr>
      <w:tr>
        <w:tblPrEx>
          <w:tblCellMar>
            <w:top w:w="0" w:type="dxa"/>
            <w:left w:w="108" w:type="dxa"/>
            <w:bottom w:w="0" w:type="dxa"/>
            <w:right w:w="108" w:type="dxa"/>
          </w:tblCellMar>
        </w:tblPrEx>
        <w:trPr>
          <w:trHeight w:val="2011" w:hRule="atLeast"/>
          <w:jc w:val="center"/>
        </w:trPr>
        <w:tc>
          <w:tcPr>
            <w:tcW w:w="976"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过</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程</w:t>
            </w:r>
          </w:p>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w:t>
            </w:r>
            <w:r>
              <w:rPr>
                <w:rFonts w:ascii="仿宋_GB2312" w:hAnsi="宋体" w:eastAsia="仿宋_GB2312" w:cs="宋体"/>
                <w:kern w:val="0"/>
                <w:sz w:val="18"/>
                <w:szCs w:val="18"/>
              </w:rPr>
              <w:t>40</w:t>
            </w:r>
            <w:r>
              <w:rPr>
                <w:rFonts w:hint="eastAsia" w:ascii="仿宋_GB2312" w:hAnsi="宋体" w:eastAsia="仿宋_GB2312" w:cs="宋体"/>
                <w:kern w:val="0"/>
                <w:sz w:val="18"/>
                <w:szCs w:val="18"/>
              </w:rPr>
              <w:t>分）</w:t>
            </w:r>
          </w:p>
        </w:tc>
        <w:tc>
          <w:tcPr>
            <w:tcW w:w="93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10</w:t>
            </w:r>
            <w:r>
              <w:rPr>
                <w:rFonts w:hint="eastAsia" w:ascii="仿宋_GB2312" w:hAnsi="宋体" w:eastAsia="仿宋_GB2312" w:cs="宋体"/>
                <w:kern w:val="0"/>
                <w:sz w:val="18"/>
                <w:szCs w:val="18"/>
              </w:rPr>
              <w:t>分）</w:t>
            </w:r>
          </w:p>
        </w:tc>
        <w:tc>
          <w:tcPr>
            <w:tcW w:w="138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资产管理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安全性</w:t>
            </w:r>
          </w:p>
        </w:tc>
        <w:tc>
          <w:tcPr>
            <w:tcW w:w="4171" w:type="dxa"/>
            <w:tcBorders>
              <w:top w:val="single" w:color="auto" w:sz="4" w:space="0"/>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①资产保存完整；</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②资产配置合理；</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③资产处置规范；</w:t>
            </w:r>
            <w:r>
              <w:rPr>
                <w:rFonts w:ascii="仿宋_GB2312" w:hAnsi="宋体" w:eastAsia="仿宋_GB2312" w:cs="宋体"/>
                <w:kern w:val="0"/>
                <w:sz w:val="18"/>
                <w:szCs w:val="18"/>
              </w:rPr>
              <w:t xml:space="preserve"> </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④资产账务管理合规，帐实相符；</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⑤资产有偿使用及处置收入及时足额上缴；</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以上情况每出现一例不符合有关要求的扣</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分，扣完为止。</w:t>
            </w:r>
          </w:p>
        </w:tc>
        <w:tc>
          <w:tcPr>
            <w:tcW w:w="619" w:type="dxa"/>
            <w:tcBorders>
              <w:top w:val="single" w:color="auto" w:sz="4" w:space="0"/>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72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1080" w:type="dxa"/>
            <w:tcBorders>
              <w:top w:val="single" w:color="auto" w:sz="4" w:space="0"/>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774"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固定资产</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利用率</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每低于</w:t>
            </w:r>
            <w:r>
              <w:rPr>
                <w:rFonts w:ascii="仿宋_GB2312" w:hAnsi="宋体" w:eastAsia="仿宋_GB2312" w:cs="宋体"/>
                <w:kern w:val="0"/>
                <w:sz w:val="18"/>
                <w:szCs w:val="18"/>
              </w:rPr>
              <w:t>100%</w:t>
            </w:r>
            <w:r>
              <w:rPr>
                <w:rFonts w:hint="eastAsia" w:ascii="仿宋_GB2312" w:hAnsi="宋体" w:eastAsia="仿宋_GB2312" w:cs="宋体"/>
                <w:kern w:val="0"/>
                <w:sz w:val="18"/>
                <w:szCs w:val="18"/>
              </w:rPr>
              <w:t>一个百分点扣</w:t>
            </w:r>
            <w:r>
              <w:rPr>
                <w:rFonts w:ascii="仿宋_GB2312" w:hAnsi="宋体" w:eastAsia="仿宋_GB2312" w:cs="宋体"/>
                <w:kern w:val="0"/>
                <w:sz w:val="18"/>
                <w:szCs w:val="18"/>
              </w:rPr>
              <w:t>0.1</w:t>
            </w:r>
            <w:r>
              <w:rPr>
                <w:rFonts w:hint="eastAsia" w:ascii="仿宋_GB2312" w:hAnsi="宋体" w:eastAsia="仿宋_GB2312" w:cs="宋体"/>
                <w:kern w:val="0"/>
                <w:sz w:val="18"/>
                <w:szCs w:val="18"/>
              </w:rPr>
              <w:t>分，扣完为止。</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产</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出（</w:t>
            </w:r>
            <w:r>
              <w:rPr>
                <w:rFonts w:ascii="仿宋_GB2312" w:hAnsi="宋体" w:eastAsia="仿宋_GB2312" w:cs="宋体"/>
                <w:kern w:val="0"/>
                <w:sz w:val="18"/>
                <w:szCs w:val="18"/>
              </w:rPr>
              <w:t>25</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职责履行</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25</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推进全面小康建设指标任务完成情况</w:t>
            </w:r>
          </w:p>
        </w:tc>
        <w:tc>
          <w:tcPr>
            <w:tcW w:w="417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此项指标根据《中共岳阳市委</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岳阳市人民政府</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关于做好岳阳市加快推进湖南发展新增长极建设</w:t>
            </w:r>
            <w:r>
              <w:rPr>
                <w:rFonts w:ascii="仿宋_GB2312" w:hAnsi="宋体" w:eastAsia="仿宋_GB2312" w:cs="宋体"/>
                <w:kern w:val="0"/>
                <w:sz w:val="18"/>
                <w:szCs w:val="18"/>
              </w:rPr>
              <w:t>2015</w:t>
            </w:r>
            <w:r>
              <w:rPr>
                <w:rFonts w:hint="eastAsia" w:ascii="仿宋_GB2312" w:hAnsi="宋体" w:eastAsia="仿宋_GB2312" w:cs="宋体"/>
                <w:kern w:val="0"/>
                <w:sz w:val="18"/>
                <w:szCs w:val="18"/>
              </w:rPr>
              <w:t>年度综合绩效考评工作的通知》（岳发〔</w:t>
            </w:r>
            <w:r>
              <w:rPr>
                <w:rFonts w:ascii="仿宋_GB2312" w:hAnsi="宋体" w:eastAsia="仿宋_GB2312" w:cs="宋体"/>
                <w:kern w:val="0"/>
                <w:sz w:val="18"/>
                <w:szCs w:val="18"/>
              </w:rPr>
              <w:t>2015</w:t>
            </w:r>
            <w:r>
              <w:rPr>
                <w:rFonts w:hint="eastAsia" w:ascii="仿宋_GB2312" w:hAnsi="宋体" w:eastAsia="仿宋_GB2312" w:cs="宋体"/>
                <w:kern w:val="0"/>
                <w:sz w:val="18"/>
                <w:szCs w:val="18"/>
              </w:rPr>
              <w:t>〕</w:t>
            </w:r>
            <w:r>
              <w:rPr>
                <w:rFonts w:ascii="仿宋_GB2312" w:hAnsi="宋体" w:eastAsia="仿宋_GB2312" w:cs="宋体"/>
                <w:kern w:val="0"/>
                <w:sz w:val="18"/>
                <w:szCs w:val="18"/>
              </w:rPr>
              <w:t>11</w:t>
            </w:r>
            <w:r>
              <w:rPr>
                <w:rFonts w:hint="eastAsia" w:ascii="仿宋_GB2312" w:hAnsi="宋体" w:eastAsia="仿宋_GB2312" w:cs="宋体"/>
                <w:kern w:val="0"/>
                <w:sz w:val="18"/>
                <w:szCs w:val="18"/>
              </w:rPr>
              <w:t>号）和《中共岳阳市委</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岳阳市人民政府</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关于做好</w:t>
            </w:r>
            <w:r>
              <w:rPr>
                <w:rFonts w:ascii="仿宋_GB2312" w:hAnsi="宋体" w:eastAsia="仿宋_GB2312" w:cs="宋体"/>
                <w:kern w:val="0"/>
                <w:sz w:val="18"/>
                <w:szCs w:val="18"/>
              </w:rPr>
              <w:t>2015</w:t>
            </w:r>
            <w:r>
              <w:rPr>
                <w:rFonts w:hint="eastAsia" w:ascii="仿宋_GB2312" w:hAnsi="宋体" w:eastAsia="仿宋_GB2312" w:cs="宋体"/>
                <w:kern w:val="0"/>
                <w:sz w:val="18"/>
                <w:szCs w:val="18"/>
              </w:rPr>
              <w:t>年度综合绩效考评工作的补充通知》（岳发〔</w:t>
            </w:r>
            <w:r>
              <w:rPr>
                <w:rFonts w:ascii="仿宋_GB2312" w:hAnsi="宋体" w:eastAsia="仿宋_GB2312" w:cs="宋体"/>
                <w:kern w:val="0"/>
                <w:sz w:val="18"/>
                <w:szCs w:val="18"/>
              </w:rPr>
              <w:t>2015</w:t>
            </w:r>
            <w:r>
              <w:rPr>
                <w:rFonts w:hint="eastAsia" w:ascii="仿宋_GB2312" w:hAnsi="宋体" w:eastAsia="仿宋_GB2312" w:cs="宋体"/>
                <w:kern w:val="0"/>
                <w:sz w:val="18"/>
                <w:szCs w:val="18"/>
              </w:rPr>
              <w:t>〕</w:t>
            </w:r>
            <w:r>
              <w:rPr>
                <w:rFonts w:ascii="仿宋_GB2312" w:hAnsi="宋体" w:eastAsia="仿宋_GB2312" w:cs="宋体"/>
                <w:kern w:val="0"/>
                <w:sz w:val="18"/>
                <w:szCs w:val="18"/>
              </w:rPr>
              <w:t>19</w:t>
            </w:r>
            <w:r>
              <w:rPr>
                <w:rFonts w:hint="eastAsia" w:ascii="仿宋_GB2312" w:hAnsi="宋体" w:eastAsia="仿宋_GB2312" w:cs="宋体"/>
                <w:kern w:val="0"/>
                <w:sz w:val="18"/>
                <w:szCs w:val="18"/>
              </w:rPr>
              <w:t>号）附件</w:t>
            </w:r>
            <w:r>
              <w:rPr>
                <w:rFonts w:ascii="仿宋_GB2312" w:hAnsi="宋体" w:eastAsia="仿宋_GB2312" w:cs="宋体"/>
                <w:kern w:val="0"/>
                <w:sz w:val="18"/>
                <w:szCs w:val="18"/>
              </w:rPr>
              <w:t>2</w:t>
            </w:r>
            <w:r>
              <w:rPr>
                <w:rFonts w:hint="eastAsia" w:ascii="仿宋_GB2312" w:hAnsi="宋体" w:eastAsia="仿宋_GB2312" w:cs="宋体"/>
                <w:kern w:val="0"/>
                <w:sz w:val="18"/>
                <w:szCs w:val="18"/>
              </w:rPr>
              <w:t>第一大项“工作实绩指标”（</w:t>
            </w:r>
            <w:r>
              <w:rPr>
                <w:rFonts w:ascii="仿宋_GB2312" w:hAnsi="宋体" w:eastAsia="仿宋_GB2312" w:cs="宋体"/>
                <w:kern w:val="0"/>
                <w:sz w:val="18"/>
                <w:szCs w:val="18"/>
              </w:rPr>
              <w:t>700</w:t>
            </w:r>
            <w:r>
              <w:rPr>
                <w:rFonts w:hint="eastAsia" w:ascii="仿宋_GB2312" w:hAnsi="宋体" w:eastAsia="仿宋_GB2312" w:cs="宋体"/>
                <w:kern w:val="0"/>
                <w:sz w:val="18"/>
                <w:szCs w:val="18"/>
              </w:rPr>
              <w:t>分）考核内容设置。</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部门单位应根据部门实际进行调整，并将其细化成相应的个性化指标。</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建设湖南新增极目标任务完成情况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7</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7</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《政府工作报告》目标任务完成情况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8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省市重点民生实事完成情况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9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省市重点工程和重大项目建设完成情况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2</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8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其他工作实绩指标完成情况</w:t>
            </w:r>
          </w:p>
        </w:tc>
        <w:tc>
          <w:tcPr>
            <w:tcW w:w="4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4</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效</w:t>
            </w:r>
            <w:r>
              <w:rPr>
                <w:rFonts w:ascii="仿宋_GB2312" w:hAnsi="宋体" w:eastAsia="仿宋_GB2312" w:cs="宋体"/>
                <w:kern w:val="0"/>
                <w:sz w:val="18"/>
                <w:szCs w:val="18"/>
              </w:rPr>
              <w:t xml:space="preserve">  </w:t>
            </w:r>
            <w:r>
              <w:rPr>
                <w:rFonts w:hint="eastAsia" w:ascii="仿宋_GB2312" w:hAnsi="宋体" w:eastAsia="仿宋_GB2312" w:cs="宋体"/>
                <w:kern w:val="0"/>
                <w:sz w:val="18"/>
                <w:szCs w:val="18"/>
              </w:rPr>
              <w:t>果</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20</w:t>
            </w:r>
            <w:r>
              <w:rPr>
                <w:rFonts w:hint="eastAsia" w:ascii="仿宋_GB2312" w:hAnsi="宋体" w:eastAsia="仿宋_GB2312" w:cs="宋体"/>
                <w:kern w:val="0"/>
                <w:sz w:val="18"/>
                <w:szCs w:val="18"/>
              </w:rPr>
              <w:t>分）</w:t>
            </w:r>
          </w:p>
        </w:tc>
        <w:tc>
          <w:tcPr>
            <w:tcW w:w="93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履职效益</w:t>
            </w:r>
            <w:r>
              <w:rPr>
                <w:rFonts w:ascii="仿宋_GB2312" w:hAnsi="宋体" w:eastAsia="仿宋_GB2312" w:cs="宋体"/>
                <w:kern w:val="0"/>
                <w:sz w:val="18"/>
                <w:szCs w:val="18"/>
              </w:rPr>
              <w:br w:type="textWrapping"/>
            </w:r>
            <w:r>
              <w:rPr>
                <w:rFonts w:hint="eastAsia" w:ascii="仿宋_GB2312" w:hAnsi="宋体" w:eastAsia="仿宋_GB2312" w:cs="宋体"/>
                <w:kern w:val="0"/>
                <w:sz w:val="18"/>
                <w:szCs w:val="18"/>
              </w:rPr>
              <w:t>（</w:t>
            </w:r>
            <w:r>
              <w:rPr>
                <w:rFonts w:ascii="仿宋_GB2312" w:hAnsi="宋体" w:eastAsia="仿宋_GB2312" w:cs="宋体"/>
                <w:kern w:val="0"/>
                <w:sz w:val="18"/>
                <w:szCs w:val="18"/>
              </w:rPr>
              <w:t>20</w:t>
            </w:r>
            <w:r>
              <w:rPr>
                <w:rFonts w:hint="eastAsia" w:ascii="仿宋_GB2312" w:hAnsi="宋体" w:eastAsia="仿宋_GB2312" w:cs="宋体"/>
                <w:kern w:val="0"/>
                <w:sz w:val="18"/>
                <w:szCs w:val="18"/>
              </w:rPr>
              <w:t>分）</w:t>
            </w: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经济效益</w:t>
            </w:r>
          </w:p>
        </w:tc>
        <w:tc>
          <w:tcPr>
            <w:tcW w:w="4171" w:type="dxa"/>
            <w:vMerge w:val="restart"/>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此三项指标为设置部门整体支出绩效评价指标时必须考虑的共性要素。</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部门单位应根据部门实际并结合部门整体支出绩效目标设立情况有选择的进行设置，并将其细化为相应的个性化指标。</w:t>
            </w:r>
          </w:p>
        </w:tc>
        <w:tc>
          <w:tcPr>
            <w:tcW w:w="619" w:type="dxa"/>
            <w:vMerge w:val="restart"/>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15</w:t>
            </w: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社会效益</w:t>
            </w:r>
          </w:p>
        </w:tc>
        <w:tc>
          <w:tcPr>
            <w:tcW w:w="4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15</w:t>
            </w: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600"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生态效益</w:t>
            </w:r>
          </w:p>
        </w:tc>
        <w:tc>
          <w:tcPr>
            <w:tcW w:w="4171"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61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72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c>
          <w:tcPr>
            <w:tcW w:w="1080" w:type="dxa"/>
            <w:tcBorders>
              <w:top w:val="nil"/>
              <w:left w:val="nil"/>
              <w:bottom w:val="single" w:color="auto" w:sz="4" w:space="0"/>
              <w:right w:val="single" w:color="auto" w:sz="4" w:space="0"/>
            </w:tcBorders>
            <w:shd w:val="clear" w:color="auto" w:fill="FFFFFF"/>
            <w:vAlign w:val="center"/>
          </w:tcPr>
          <w:p>
            <w:pPr>
              <w:widowControl/>
              <w:spacing w:line="240" w:lineRule="exact"/>
              <w:jc w:val="center"/>
              <w:rPr>
                <w:rFonts w:ascii="仿宋_GB2312" w:hAnsi="宋体" w:eastAsia="仿宋_GB2312" w:cs="宋体"/>
                <w:kern w:val="0"/>
                <w:sz w:val="18"/>
                <w:szCs w:val="18"/>
              </w:rPr>
            </w:pPr>
          </w:p>
        </w:tc>
      </w:tr>
      <w:tr>
        <w:tblPrEx>
          <w:tblCellMar>
            <w:top w:w="0" w:type="dxa"/>
            <w:left w:w="108" w:type="dxa"/>
            <w:bottom w:w="0" w:type="dxa"/>
            <w:right w:w="108" w:type="dxa"/>
          </w:tblCellMar>
        </w:tblPrEx>
        <w:trPr>
          <w:trHeight w:val="1113" w:hRule="atLeast"/>
          <w:jc w:val="center"/>
        </w:trPr>
        <w:tc>
          <w:tcPr>
            <w:tcW w:w="976"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939" w:type="dxa"/>
            <w:vMerge w:val="continue"/>
            <w:tcBorders>
              <w:top w:val="nil"/>
              <w:left w:val="single" w:color="auto" w:sz="4" w:space="0"/>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社会公众或服务对象满意度</w:t>
            </w:r>
          </w:p>
        </w:tc>
        <w:tc>
          <w:tcPr>
            <w:tcW w:w="4171" w:type="dxa"/>
            <w:tcBorders>
              <w:top w:val="nil"/>
              <w:left w:val="nil"/>
              <w:bottom w:val="single" w:color="auto" w:sz="4" w:space="0"/>
              <w:right w:val="single" w:color="auto" w:sz="4" w:space="0"/>
            </w:tcBorders>
            <w:vAlign w:val="center"/>
          </w:tcPr>
          <w:p>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95%</w:t>
            </w:r>
            <w:r>
              <w:rPr>
                <w:rFonts w:hint="eastAsia" w:ascii="仿宋_GB2312" w:hAnsi="宋体" w:eastAsia="仿宋_GB2312" w:cs="宋体"/>
                <w:kern w:val="0"/>
                <w:sz w:val="18"/>
                <w:szCs w:val="18"/>
              </w:rPr>
              <w:t>（含）以上计</w:t>
            </w:r>
            <w:r>
              <w:rPr>
                <w:rFonts w:ascii="仿宋_GB2312" w:hAnsi="宋体" w:eastAsia="仿宋_GB2312" w:cs="宋体"/>
                <w:kern w:val="0"/>
                <w:sz w:val="18"/>
                <w:szCs w:val="18"/>
              </w:rPr>
              <w:t>5</w:t>
            </w:r>
            <w:r>
              <w:rPr>
                <w:rFonts w:hint="eastAsia" w:ascii="仿宋_GB2312" w:hAnsi="宋体" w:eastAsia="仿宋_GB2312" w:cs="宋体"/>
                <w:kern w:val="0"/>
                <w:sz w:val="18"/>
                <w:szCs w:val="18"/>
              </w:rPr>
              <w:t>分；</w:t>
            </w:r>
          </w:p>
          <w:p>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85%</w:t>
            </w:r>
            <w:r>
              <w:rPr>
                <w:rFonts w:hint="eastAsia" w:ascii="仿宋_GB2312" w:hAnsi="宋体" w:eastAsia="仿宋_GB2312" w:cs="宋体"/>
                <w:kern w:val="0"/>
                <w:sz w:val="18"/>
                <w:szCs w:val="18"/>
              </w:rPr>
              <w:t>（含）</w:t>
            </w:r>
            <w:r>
              <w:rPr>
                <w:rFonts w:ascii="仿宋_GB2312" w:hAnsi="宋体" w:eastAsia="仿宋_GB2312" w:cs="宋体"/>
                <w:kern w:val="0"/>
                <w:sz w:val="18"/>
                <w:szCs w:val="18"/>
              </w:rPr>
              <w:t>-95%</w:t>
            </w:r>
            <w:r>
              <w:rPr>
                <w:rFonts w:hint="eastAsia" w:ascii="仿宋_GB2312" w:hAnsi="宋体" w:eastAsia="仿宋_GB2312" w:cs="宋体"/>
                <w:kern w:val="0"/>
                <w:sz w:val="18"/>
                <w:szCs w:val="18"/>
              </w:rPr>
              <w:t>，计</w:t>
            </w:r>
            <w:r>
              <w:rPr>
                <w:rFonts w:ascii="仿宋_GB2312" w:hAnsi="宋体" w:eastAsia="仿宋_GB2312" w:cs="宋体"/>
                <w:kern w:val="0"/>
                <w:sz w:val="18"/>
                <w:szCs w:val="18"/>
              </w:rPr>
              <w:t>3</w:t>
            </w:r>
            <w:r>
              <w:rPr>
                <w:rFonts w:hint="eastAsia" w:ascii="仿宋_GB2312" w:hAnsi="宋体" w:eastAsia="仿宋_GB2312" w:cs="宋体"/>
                <w:kern w:val="0"/>
                <w:sz w:val="18"/>
                <w:szCs w:val="18"/>
              </w:rPr>
              <w:t>分；</w:t>
            </w:r>
          </w:p>
          <w:p>
            <w:pPr>
              <w:widowControl/>
              <w:spacing w:line="240" w:lineRule="exact"/>
              <w:jc w:val="left"/>
              <w:rPr>
                <w:rFonts w:ascii="仿宋_GB2312" w:hAnsi="宋体" w:eastAsia="仿宋_GB2312" w:cs="宋体"/>
                <w:kern w:val="0"/>
                <w:sz w:val="18"/>
                <w:szCs w:val="18"/>
              </w:rPr>
            </w:pPr>
            <w:r>
              <w:rPr>
                <w:rFonts w:ascii="仿宋_GB2312" w:hAnsi="宋体" w:eastAsia="仿宋_GB2312" w:cs="宋体"/>
                <w:kern w:val="0"/>
                <w:sz w:val="18"/>
                <w:szCs w:val="18"/>
              </w:rPr>
              <w:t>75%</w:t>
            </w:r>
            <w:r>
              <w:rPr>
                <w:rFonts w:hint="eastAsia" w:ascii="仿宋_GB2312" w:hAnsi="宋体" w:eastAsia="仿宋_GB2312" w:cs="宋体"/>
                <w:kern w:val="0"/>
                <w:sz w:val="18"/>
                <w:szCs w:val="18"/>
              </w:rPr>
              <w:t>（含）</w:t>
            </w:r>
            <w:r>
              <w:rPr>
                <w:rFonts w:ascii="仿宋_GB2312" w:hAnsi="宋体" w:eastAsia="仿宋_GB2312" w:cs="宋体"/>
                <w:kern w:val="0"/>
                <w:sz w:val="18"/>
                <w:szCs w:val="18"/>
              </w:rPr>
              <w:t>-85%</w:t>
            </w:r>
            <w:r>
              <w:rPr>
                <w:rFonts w:hint="eastAsia" w:ascii="仿宋_GB2312" w:hAnsi="宋体" w:eastAsia="仿宋_GB2312" w:cs="宋体"/>
                <w:kern w:val="0"/>
                <w:sz w:val="18"/>
                <w:szCs w:val="18"/>
              </w:rPr>
              <w:t>，计</w:t>
            </w:r>
            <w:r>
              <w:rPr>
                <w:rFonts w:ascii="仿宋_GB2312" w:hAnsi="宋体" w:eastAsia="仿宋_GB2312" w:cs="宋体"/>
                <w:kern w:val="0"/>
                <w:sz w:val="18"/>
                <w:szCs w:val="18"/>
              </w:rPr>
              <w:t>1</w:t>
            </w:r>
            <w:r>
              <w:rPr>
                <w:rFonts w:hint="eastAsia" w:ascii="仿宋_GB2312" w:hAnsi="宋体" w:eastAsia="仿宋_GB2312" w:cs="宋体"/>
                <w:kern w:val="0"/>
                <w:sz w:val="18"/>
                <w:szCs w:val="18"/>
              </w:rPr>
              <w:t>分；</w:t>
            </w:r>
          </w:p>
          <w:p>
            <w:pPr>
              <w:widowControl/>
              <w:spacing w:line="24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低于</w:t>
            </w:r>
            <w:r>
              <w:rPr>
                <w:rFonts w:ascii="仿宋_GB2312" w:hAnsi="宋体" w:eastAsia="仿宋_GB2312" w:cs="宋体"/>
                <w:kern w:val="0"/>
                <w:sz w:val="18"/>
                <w:szCs w:val="18"/>
              </w:rPr>
              <w:t>75%</w:t>
            </w:r>
            <w:r>
              <w:rPr>
                <w:rFonts w:hint="eastAsia" w:ascii="仿宋_GB2312" w:hAnsi="宋体" w:eastAsia="仿宋_GB2312" w:cs="宋体"/>
                <w:kern w:val="0"/>
                <w:sz w:val="18"/>
                <w:szCs w:val="18"/>
              </w:rPr>
              <w:t>计</w:t>
            </w:r>
            <w:r>
              <w:rPr>
                <w:rFonts w:ascii="仿宋_GB2312" w:hAnsi="宋体" w:eastAsia="仿宋_GB2312" w:cs="宋体"/>
                <w:kern w:val="0"/>
                <w:sz w:val="18"/>
                <w:szCs w:val="18"/>
              </w:rPr>
              <w:t>0</w:t>
            </w:r>
            <w:r>
              <w:rPr>
                <w:rFonts w:hint="eastAsia" w:ascii="仿宋_GB2312" w:hAnsi="宋体" w:eastAsia="仿宋_GB2312" w:cs="宋体"/>
                <w:kern w:val="0"/>
                <w:sz w:val="18"/>
                <w:szCs w:val="18"/>
              </w:rPr>
              <w:t>分。</w:t>
            </w: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5</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ascii="仿宋_GB2312" w:hAnsi="宋体" w:eastAsia="仿宋_GB2312" w:cs="宋体"/>
                <w:kern w:val="0"/>
                <w:sz w:val="18"/>
                <w:szCs w:val="18"/>
              </w:rPr>
              <w:t>3</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kern w:val="0"/>
                <w:sz w:val="18"/>
                <w:szCs w:val="18"/>
              </w:rPr>
            </w:pPr>
            <w:r>
              <w:rPr>
                <w:rFonts w:hint="eastAsia" w:ascii="仿宋_GB2312" w:hAnsi="宋体" w:eastAsia="仿宋_GB2312" w:cs="宋体"/>
                <w:kern w:val="0"/>
                <w:sz w:val="18"/>
                <w:szCs w:val="18"/>
              </w:rPr>
              <w:t>整体满意度</w:t>
            </w:r>
            <w:r>
              <w:rPr>
                <w:rFonts w:ascii="仿宋_GB2312" w:hAnsi="宋体" w:eastAsia="仿宋_GB2312" w:cs="宋体"/>
                <w:kern w:val="0"/>
                <w:sz w:val="18"/>
                <w:szCs w:val="18"/>
              </w:rPr>
              <w:t>90%</w:t>
            </w:r>
            <w:r>
              <w:rPr>
                <w:rFonts w:hint="eastAsia" w:ascii="仿宋_GB2312" w:hAnsi="宋体" w:eastAsia="仿宋_GB2312" w:cs="宋体"/>
                <w:kern w:val="0"/>
                <w:sz w:val="18"/>
                <w:szCs w:val="18"/>
              </w:rPr>
              <w:t>以上</w:t>
            </w:r>
          </w:p>
        </w:tc>
      </w:tr>
      <w:tr>
        <w:tblPrEx>
          <w:tblCellMar>
            <w:top w:w="0" w:type="dxa"/>
            <w:left w:w="108" w:type="dxa"/>
            <w:bottom w:w="0" w:type="dxa"/>
            <w:right w:w="108" w:type="dxa"/>
          </w:tblCellMar>
        </w:tblPrEx>
        <w:trPr>
          <w:trHeight w:val="670" w:hRule="atLeast"/>
          <w:jc w:val="center"/>
        </w:trPr>
        <w:tc>
          <w:tcPr>
            <w:tcW w:w="976" w:type="dxa"/>
            <w:tcBorders>
              <w:top w:val="nil"/>
              <w:left w:val="single" w:color="auto" w:sz="4" w:space="0"/>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hint="eastAsia" w:ascii="仿宋_GB2312" w:hAnsi="宋体" w:eastAsia="仿宋_GB2312" w:cs="宋体"/>
                <w:b/>
                <w:bCs/>
                <w:kern w:val="0"/>
                <w:sz w:val="18"/>
                <w:szCs w:val="18"/>
              </w:rPr>
              <w:t>总</w:t>
            </w:r>
            <w:r>
              <w:rPr>
                <w:rFonts w:ascii="仿宋_GB2312" w:hAnsi="宋体" w:eastAsia="仿宋_GB2312" w:cs="宋体"/>
                <w:b/>
                <w:bCs/>
                <w:kern w:val="0"/>
                <w:sz w:val="18"/>
                <w:szCs w:val="18"/>
              </w:rPr>
              <w:t xml:space="preserve"> </w:t>
            </w:r>
            <w:r>
              <w:rPr>
                <w:rFonts w:hint="eastAsia" w:ascii="仿宋_GB2312" w:hAnsi="宋体" w:eastAsia="仿宋_GB2312" w:cs="宋体"/>
                <w:b/>
                <w:bCs/>
                <w:kern w:val="0"/>
                <w:sz w:val="18"/>
                <w:szCs w:val="18"/>
              </w:rPr>
              <w:t>分</w:t>
            </w:r>
          </w:p>
        </w:tc>
        <w:tc>
          <w:tcPr>
            <w:tcW w:w="93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138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4171"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c>
          <w:tcPr>
            <w:tcW w:w="619"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spacing w:val="-8"/>
                <w:kern w:val="0"/>
                <w:sz w:val="18"/>
                <w:szCs w:val="18"/>
              </w:rPr>
            </w:pPr>
            <w:r>
              <w:rPr>
                <w:rFonts w:ascii="仿宋_GB2312" w:hAnsi="宋体" w:eastAsia="仿宋_GB2312" w:cs="宋体"/>
                <w:b/>
                <w:bCs/>
                <w:spacing w:val="-8"/>
                <w:kern w:val="0"/>
                <w:sz w:val="18"/>
                <w:szCs w:val="18"/>
              </w:rPr>
              <w:t>100</w:t>
            </w:r>
          </w:p>
        </w:tc>
        <w:tc>
          <w:tcPr>
            <w:tcW w:w="72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r>
              <w:rPr>
                <w:rFonts w:ascii="仿宋_GB2312" w:hAnsi="宋体" w:eastAsia="仿宋_GB2312" w:cs="宋体"/>
                <w:b/>
                <w:bCs/>
                <w:kern w:val="0"/>
                <w:sz w:val="18"/>
                <w:szCs w:val="18"/>
              </w:rPr>
              <w:t>97</w:t>
            </w:r>
          </w:p>
        </w:tc>
        <w:tc>
          <w:tcPr>
            <w:tcW w:w="1080" w:type="dxa"/>
            <w:tcBorders>
              <w:top w:val="nil"/>
              <w:left w:val="nil"/>
              <w:bottom w:val="single" w:color="auto" w:sz="4" w:space="0"/>
              <w:right w:val="single" w:color="auto" w:sz="4" w:space="0"/>
            </w:tcBorders>
            <w:vAlign w:val="center"/>
          </w:tcPr>
          <w:p>
            <w:pPr>
              <w:widowControl/>
              <w:spacing w:line="240" w:lineRule="exact"/>
              <w:jc w:val="center"/>
              <w:rPr>
                <w:rFonts w:ascii="仿宋_GB2312" w:hAnsi="宋体" w:eastAsia="仿宋_GB2312" w:cs="宋体"/>
                <w:b/>
                <w:bCs/>
                <w:kern w:val="0"/>
                <w:sz w:val="18"/>
                <w:szCs w:val="18"/>
              </w:rPr>
            </w:pPr>
          </w:p>
        </w:tc>
      </w:tr>
    </w:tbl>
    <w:p>
      <w:pPr>
        <w:spacing w:line="348" w:lineRule="auto"/>
        <w:rPr>
          <w:rFonts w:eastAsia="楷体_GB2312"/>
          <w:bCs/>
          <w:sz w:val="28"/>
          <w:szCs w:val="28"/>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decorative"/>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6"/>
        <w:sz w:val="24"/>
        <w:szCs w:val="24"/>
      </w:rPr>
    </w:pPr>
    <w:r>
      <w:rPr>
        <w:rStyle w:val="6"/>
        <w:sz w:val="24"/>
        <w:szCs w:val="24"/>
      </w:rPr>
      <w:t xml:space="preserve">— </w:t>
    </w:r>
    <w:r>
      <w:rPr>
        <w:rStyle w:val="6"/>
        <w:sz w:val="24"/>
        <w:szCs w:val="24"/>
      </w:rPr>
      <w:fldChar w:fldCharType="begin"/>
    </w:r>
    <w:r>
      <w:rPr>
        <w:rStyle w:val="6"/>
        <w:sz w:val="24"/>
        <w:szCs w:val="24"/>
      </w:rPr>
      <w:instrText xml:space="preserve">PAGE  </w:instrText>
    </w:r>
    <w:r>
      <w:rPr>
        <w:rStyle w:val="6"/>
        <w:sz w:val="24"/>
        <w:szCs w:val="24"/>
      </w:rPr>
      <w:fldChar w:fldCharType="separate"/>
    </w:r>
    <w:r>
      <w:rPr>
        <w:rStyle w:val="6"/>
        <w:sz w:val="24"/>
        <w:szCs w:val="24"/>
      </w:rPr>
      <w:t>7</w:t>
    </w:r>
    <w:r>
      <w:rPr>
        <w:rStyle w:val="6"/>
        <w:sz w:val="24"/>
        <w:szCs w:val="24"/>
      </w:rPr>
      <w:fldChar w:fldCharType="end"/>
    </w:r>
    <w:r>
      <w:rPr>
        <w:rStyle w:val="6"/>
        <w:sz w:val="24"/>
        <w:szCs w:val="24"/>
      </w:rPr>
      <w:t xml:space="preserve"> —</w:t>
    </w:r>
  </w:p>
  <w:p>
    <w:pP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rap="around" w:vAnchor="text" w:hAnchor="margin" w:xAlign="outside" w:y="1"/>
    </w:pPr>
    <w:r>
      <w:fldChar w:fldCharType="begin"/>
    </w:r>
    <w:r>
      <w:instrText xml:space="preserve">PAGE  </w:instrText>
    </w:r>
    <w:r>
      <w:fldChar w:fldCharType="separate"/>
    </w:r>
    <w:r>
      <w:t>- 15 -</w:t>
    </w:r>
    <w:r>
      <w:fldChar w:fldCharType="end"/>
    </w:r>
  </w:p>
  <w:p>
    <w:pPr>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E1F5D"/>
    <w:multiLevelType w:val="singleLevel"/>
    <w:tmpl w:val="103E1F5D"/>
    <w:lvl w:ilvl="0" w:tentative="0">
      <w:start w:val="2"/>
      <w:numFmt w:val="chineseCounting"/>
      <w:suff w:val="nothing"/>
      <w:lvlText w:val="（%1）"/>
      <w:lvlJc w:val="left"/>
      <w:rPr>
        <w:rFonts w:hint="eastAsia"/>
      </w:rPr>
    </w:lvl>
  </w:abstractNum>
  <w:abstractNum w:abstractNumId="1">
    <w:nsid w:val="3A0B7E9C"/>
    <w:multiLevelType w:val="multilevel"/>
    <w:tmpl w:val="3A0B7E9C"/>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2">
    <w:nsid w:val="6E076219"/>
    <w:multiLevelType w:val="multilevel"/>
    <w:tmpl w:val="6E076219"/>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3">
    <w:nsid w:val="79F4620D"/>
    <w:multiLevelType w:val="multilevel"/>
    <w:tmpl w:val="79F4620D"/>
    <w:lvl w:ilvl="0" w:tentative="0">
      <w:start w:val="4"/>
      <w:numFmt w:val="japaneseCounting"/>
      <w:lvlText w:val="%1、"/>
      <w:lvlJc w:val="left"/>
      <w:pPr>
        <w:ind w:left="1280" w:hanging="720"/>
      </w:pPr>
      <w:rPr>
        <w:rFonts w:hint="default" w:cs="Times New Roman"/>
      </w:rPr>
    </w:lvl>
    <w:lvl w:ilvl="1" w:tentative="0">
      <w:start w:val="1"/>
      <w:numFmt w:val="lowerLetter"/>
      <w:lvlText w:val="%2)"/>
      <w:lvlJc w:val="left"/>
      <w:pPr>
        <w:ind w:left="1400" w:hanging="420"/>
      </w:pPr>
      <w:rPr>
        <w:rFonts w:cs="Times New Roman"/>
      </w:rPr>
    </w:lvl>
    <w:lvl w:ilvl="2" w:tentative="0">
      <w:start w:val="1"/>
      <w:numFmt w:val="lowerRoman"/>
      <w:lvlText w:val="%3."/>
      <w:lvlJc w:val="right"/>
      <w:pPr>
        <w:ind w:left="1820" w:hanging="420"/>
      </w:pPr>
      <w:rPr>
        <w:rFonts w:cs="Times New Roman"/>
      </w:rPr>
    </w:lvl>
    <w:lvl w:ilvl="3" w:tentative="0">
      <w:start w:val="1"/>
      <w:numFmt w:val="decimal"/>
      <w:lvlText w:val="%4."/>
      <w:lvlJc w:val="left"/>
      <w:pPr>
        <w:ind w:left="2240" w:hanging="420"/>
      </w:pPr>
      <w:rPr>
        <w:rFonts w:cs="Times New Roman"/>
      </w:rPr>
    </w:lvl>
    <w:lvl w:ilvl="4" w:tentative="0">
      <w:start w:val="1"/>
      <w:numFmt w:val="lowerLetter"/>
      <w:lvlText w:val="%5)"/>
      <w:lvlJc w:val="left"/>
      <w:pPr>
        <w:ind w:left="2660" w:hanging="420"/>
      </w:pPr>
      <w:rPr>
        <w:rFonts w:cs="Times New Roman"/>
      </w:rPr>
    </w:lvl>
    <w:lvl w:ilvl="5" w:tentative="0">
      <w:start w:val="1"/>
      <w:numFmt w:val="lowerRoman"/>
      <w:lvlText w:val="%6."/>
      <w:lvlJc w:val="right"/>
      <w:pPr>
        <w:ind w:left="3080" w:hanging="420"/>
      </w:pPr>
      <w:rPr>
        <w:rFonts w:cs="Times New Roman"/>
      </w:rPr>
    </w:lvl>
    <w:lvl w:ilvl="6" w:tentative="0">
      <w:start w:val="1"/>
      <w:numFmt w:val="decimal"/>
      <w:lvlText w:val="%7."/>
      <w:lvlJc w:val="left"/>
      <w:pPr>
        <w:ind w:left="3500" w:hanging="420"/>
      </w:pPr>
      <w:rPr>
        <w:rFonts w:cs="Times New Roman"/>
      </w:rPr>
    </w:lvl>
    <w:lvl w:ilvl="7" w:tentative="0">
      <w:start w:val="1"/>
      <w:numFmt w:val="lowerLetter"/>
      <w:lvlText w:val="%8)"/>
      <w:lvlJc w:val="left"/>
      <w:pPr>
        <w:ind w:left="3920" w:hanging="420"/>
      </w:pPr>
      <w:rPr>
        <w:rFonts w:cs="Times New Roman"/>
      </w:rPr>
    </w:lvl>
    <w:lvl w:ilvl="8" w:tentative="0">
      <w:start w:val="1"/>
      <w:numFmt w:val="lowerRoman"/>
      <w:lvlText w:val="%9."/>
      <w:lvlJc w:val="right"/>
      <w:pPr>
        <w:ind w:left="4340" w:hanging="420"/>
      </w:pPr>
      <w:rPr>
        <w:rFonts w:cs="Times New Roman"/>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RiYzBkNzgwZTc4YmNlMGYyZGY3MGE5OGUxMjI5ZDQifQ=="/>
  </w:docVars>
  <w:rsids>
    <w:rsidRoot w:val="0058637C"/>
    <w:rsid w:val="0003388B"/>
    <w:rsid w:val="000772DC"/>
    <w:rsid w:val="000E360A"/>
    <w:rsid w:val="00177871"/>
    <w:rsid w:val="00181DC4"/>
    <w:rsid w:val="00182621"/>
    <w:rsid w:val="001A6239"/>
    <w:rsid w:val="001E1E5C"/>
    <w:rsid w:val="00202C34"/>
    <w:rsid w:val="00203CF5"/>
    <w:rsid w:val="00225295"/>
    <w:rsid w:val="00226280"/>
    <w:rsid w:val="00275459"/>
    <w:rsid w:val="002C1E76"/>
    <w:rsid w:val="002E780A"/>
    <w:rsid w:val="00352B8A"/>
    <w:rsid w:val="004733B7"/>
    <w:rsid w:val="004747B1"/>
    <w:rsid w:val="00493398"/>
    <w:rsid w:val="004D000B"/>
    <w:rsid w:val="004E0F64"/>
    <w:rsid w:val="00523C90"/>
    <w:rsid w:val="0058637C"/>
    <w:rsid w:val="005B2DC2"/>
    <w:rsid w:val="005D7E3C"/>
    <w:rsid w:val="005F1D6B"/>
    <w:rsid w:val="0062088B"/>
    <w:rsid w:val="00620F86"/>
    <w:rsid w:val="006427F8"/>
    <w:rsid w:val="006A60D1"/>
    <w:rsid w:val="006C5E5F"/>
    <w:rsid w:val="006E7BB8"/>
    <w:rsid w:val="00710363"/>
    <w:rsid w:val="007F59EF"/>
    <w:rsid w:val="00804250"/>
    <w:rsid w:val="00872D88"/>
    <w:rsid w:val="00882250"/>
    <w:rsid w:val="008B5E42"/>
    <w:rsid w:val="008D5EC4"/>
    <w:rsid w:val="00932471"/>
    <w:rsid w:val="00965CEE"/>
    <w:rsid w:val="00977956"/>
    <w:rsid w:val="009B4945"/>
    <w:rsid w:val="00A15F73"/>
    <w:rsid w:val="00A50673"/>
    <w:rsid w:val="00A644B8"/>
    <w:rsid w:val="00A93924"/>
    <w:rsid w:val="00B02D1C"/>
    <w:rsid w:val="00B610B7"/>
    <w:rsid w:val="00B838B3"/>
    <w:rsid w:val="00BE2C67"/>
    <w:rsid w:val="00C2650E"/>
    <w:rsid w:val="00C57F2A"/>
    <w:rsid w:val="00CC7C13"/>
    <w:rsid w:val="00CD6BFD"/>
    <w:rsid w:val="00D0018A"/>
    <w:rsid w:val="00E30188"/>
    <w:rsid w:val="00E92095"/>
    <w:rsid w:val="00EA4365"/>
    <w:rsid w:val="00F82AE5"/>
    <w:rsid w:val="00F963E2"/>
    <w:rsid w:val="02E5026B"/>
    <w:rsid w:val="048F2777"/>
    <w:rsid w:val="0663376D"/>
    <w:rsid w:val="0B65039D"/>
    <w:rsid w:val="114973B8"/>
    <w:rsid w:val="13DC4C19"/>
    <w:rsid w:val="2D977C22"/>
    <w:rsid w:val="2E637926"/>
    <w:rsid w:val="369164EF"/>
    <w:rsid w:val="3806030A"/>
    <w:rsid w:val="3FDC72C9"/>
    <w:rsid w:val="45E21971"/>
    <w:rsid w:val="51FF0241"/>
    <w:rsid w:val="533F6F8A"/>
    <w:rsid w:val="59D655A7"/>
    <w:rsid w:val="5DC2714D"/>
    <w:rsid w:val="60CE3440"/>
    <w:rsid w:val="68AA2070"/>
    <w:rsid w:val="76883101"/>
    <w:rsid w:val="7800438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qFormat/>
    <w:uiPriority w:val="99"/>
    <w:pPr>
      <w:tabs>
        <w:tab w:val="center" w:pos="4153"/>
        <w:tab w:val="right" w:pos="8306"/>
      </w:tabs>
      <w:snapToGrid w:val="0"/>
      <w:jc w:val="left"/>
    </w:pPr>
    <w:rPr>
      <w:kern w:val="0"/>
      <w:sz w:val="18"/>
      <w:szCs w:val="18"/>
    </w:rPr>
  </w:style>
  <w:style w:type="paragraph" w:styleId="3">
    <w:name w:val="header"/>
    <w:basedOn w:val="1"/>
    <w:link w:val="8"/>
    <w:semiHidden/>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99"/>
    <w:rPr>
      <w:rFonts w:cs="Times New Roman"/>
    </w:rPr>
  </w:style>
  <w:style w:type="character" w:customStyle="1" w:styleId="7">
    <w:name w:val="Footer Char"/>
    <w:basedOn w:val="5"/>
    <w:link w:val="2"/>
    <w:semiHidden/>
    <w:qFormat/>
    <w:locked/>
    <w:uiPriority w:val="99"/>
    <w:rPr>
      <w:rFonts w:ascii="Times New Roman" w:hAnsi="Times New Roman" w:eastAsia="宋体" w:cs="Times New Roman"/>
      <w:sz w:val="18"/>
      <w:szCs w:val="18"/>
    </w:rPr>
  </w:style>
  <w:style w:type="character" w:customStyle="1" w:styleId="8">
    <w:name w:val="Header Char"/>
    <w:basedOn w:val="5"/>
    <w:link w:val="3"/>
    <w:semiHidden/>
    <w:qFormat/>
    <w:locked/>
    <w:uiPriority w:val="99"/>
    <w:rPr>
      <w:rFonts w:ascii="Times New Roman" w:hAnsi="Times New Roman" w:eastAsia="宋体" w:cs="Times New Roman"/>
      <w:sz w:val="18"/>
      <w:szCs w:val="18"/>
    </w:rPr>
  </w:style>
  <w:style w:type="character" w:customStyle="1" w:styleId="9">
    <w:name w:val="页脚 Char"/>
    <w:qFormat/>
    <w:uiPriority w:val="99"/>
    <w:rPr>
      <w:rFonts w:ascii="Times New Roman" w:hAnsi="Times New Roman" w:eastAsia="宋体"/>
      <w:sz w:val="18"/>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Normal_Wordconv.dotm</Template>
  <Pages>11</Pages>
  <Words>4864</Words>
  <Characters>5233</Characters>
  <Lines>0</Lines>
  <Paragraphs>0</Paragraphs>
  <TotalTime>288</TotalTime>
  <ScaleCrop>false</ScaleCrop>
  <LinksUpToDate>false</LinksUpToDate>
  <CharactersWithSpaces>5781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2019-07-08T02:24:00Z</dcterms:created>
  <dc:creator>lenovo</dc:creator>
  <cp:lastModifiedBy>文印室</cp:lastModifiedBy>
  <cp:lastPrinted>2019-07-10T00:47:00Z</cp:lastPrinted>
  <dcterms:modified xsi:type="dcterms:W3CDTF">2022-09-26T06:51:07Z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F9E567C200F24B09B63E484FBAE35D28</vt:lpwstr>
  </property>
</Properties>
</file>