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sz w:val="56"/>
          <w:szCs w:val="56"/>
        </w:rPr>
      </w:pPr>
    </w:p>
    <w:p>
      <w:pPr>
        <w:pStyle w:val="10"/>
        <w:jc w:val="center"/>
        <w:rPr>
          <w:sz w:val="56"/>
          <w:szCs w:val="56"/>
        </w:rPr>
      </w:pPr>
    </w:p>
    <w:p>
      <w:pPr>
        <w:pStyle w:val="10"/>
        <w:jc w:val="center"/>
        <w:rPr>
          <w:sz w:val="84"/>
          <w:szCs w:val="84"/>
        </w:rPr>
      </w:pPr>
    </w:p>
    <w:p>
      <w:pPr>
        <w:pStyle w:val="10"/>
        <w:jc w:val="center"/>
        <w:rPr>
          <w:sz w:val="84"/>
          <w:szCs w:val="84"/>
        </w:rPr>
      </w:pPr>
    </w:p>
    <w:p>
      <w:pPr>
        <w:pStyle w:val="10"/>
        <w:jc w:val="center"/>
        <w:rPr>
          <w:sz w:val="84"/>
          <w:szCs w:val="84"/>
        </w:rPr>
      </w:pPr>
      <w:r>
        <w:rPr>
          <w:rFonts w:hint="eastAsia"/>
          <w:sz w:val="84"/>
          <w:szCs w:val="84"/>
        </w:rPr>
        <w:t>2021年度</w:t>
      </w:r>
    </w:p>
    <w:p>
      <w:pPr>
        <w:pStyle w:val="10"/>
        <w:jc w:val="center"/>
        <w:rPr>
          <w:sz w:val="84"/>
          <w:szCs w:val="84"/>
        </w:rPr>
      </w:pPr>
      <w:r>
        <w:rPr>
          <w:rFonts w:hint="eastAsia"/>
          <w:sz w:val="84"/>
          <w:szCs w:val="84"/>
        </w:rPr>
        <w:t>岳阳市社会福利院</w:t>
      </w:r>
    </w:p>
    <w:p>
      <w:pPr>
        <w:pStyle w:val="10"/>
        <w:jc w:val="center"/>
        <w:rPr>
          <w:sz w:val="84"/>
          <w:szCs w:val="84"/>
        </w:rPr>
      </w:pPr>
      <w:r>
        <w:rPr>
          <w:rFonts w:hint="eastAsia"/>
          <w:sz w:val="84"/>
          <w:szCs w:val="84"/>
        </w:rPr>
        <w:t>部门决算</w:t>
      </w:r>
    </w:p>
    <w:p>
      <w:pPr>
        <w:pStyle w:val="10"/>
        <w:jc w:val="center"/>
        <w:rPr>
          <w:sz w:val="56"/>
          <w:szCs w:val="56"/>
        </w:rPr>
      </w:pPr>
    </w:p>
    <w:p>
      <w:pPr>
        <w:pStyle w:val="10"/>
        <w:jc w:val="center"/>
        <w:rPr>
          <w:sz w:val="56"/>
          <w:szCs w:val="56"/>
        </w:rPr>
      </w:pPr>
    </w:p>
    <w:p>
      <w:pPr>
        <w:pStyle w:val="10"/>
        <w:jc w:val="center"/>
        <w:rPr>
          <w:sz w:val="56"/>
          <w:szCs w:val="56"/>
        </w:rPr>
      </w:pPr>
    </w:p>
    <w:p>
      <w:pPr>
        <w:pStyle w:val="10"/>
        <w:jc w:val="center"/>
        <w:rPr>
          <w:sz w:val="56"/>
          <w:szCs w:val="56"/>
        </w:rPr>
      </w:pPr>
    </w:p>
    <w:p>
      <w:pPr>
        <w:pStyle w:val="10"/>
        <w:jc w:val="center"/>
        <w:rPr>
          <w:sz w:val="32"/>
          <w:szCs w:val="32"/>
        </w:rPr>
      </w:pPr>
    </w:p>
    <w:p>
      <w:pPr>
        <w:pStyle w:val="10"/>
        <w:spacing w:line="500" w:lineRule="exact"/>
        <w:jc w:val="center"/>
        <w:rPr>
          <w:b/>
          <w:sz w:val="36"/>
          <w:szCs w:val="28"/>
        </w:rPr>
      </w:pPr>
    </w:p>
    <w:p>
      <w:pPr>
        <w:pStyle w:val="10"/>
        <w:spacing w:line="480" w:lineRule="exact"/>
        <w:jc w:val="center"/>
        <w:rPr>
          <w:rFonts w:hint="eastAsia"/>
          <w:b/>
          <w:sz w:val="36"/>
          <w:szCs w:val="28"/>
        </w:rPr>
      </w:pPr>
      <w:r>
        <w:rPr>
          <w:rFonts w:hint="eastAsia"/>
          <w:b/>
          <w:sz w:val="36"/>
          <w:szCs w:val="28"/>
        </w:rPr>
        <w:t>目录</w:t>
      </w:r>
    </w:p>
    <w:p>
      <w:pPr>
        <w:pStyle w:val="10"/>
        <w:spacing w:line="480" w:lineRule="exact"/>
        <w:jc w:val="center"/>
        <w:rPr>
          <w:rFonts w:hint="eastAsia"/>
          <w:b/>
          <w:sz w:val="36"/>
          <w:szCs w:val="28"/>
        </w:rPr>
      </w:pPr>
    </w:p>
    <w:p>
      <w:pPr>
        <w:pStyle w:val="10"/>
        <w:spacing w:line="480" w:lineRule="exact"/>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第一部分  岳阳市社会福利院概况</w:t>
      </w:r>
    </w:p>
    <w:p>
      <w:pPr>
        <w:pStyle w:val="10"/>
        <w:spacing w:line="48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0"/>
        <w:spacing w:line="48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0"/>
        <w:spacing w:line="480" w:lineRule="exact"/>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第二部分  2021年度部门决算表</w:t>
      </w:r>
    </w:p>
    <w:p>
      <w:pPr>
        <w:pStyle w:val="10"/>
        <w:spacing w:line="48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0"/>
        <w:spacing w:line="48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0"/>
        <w:spacing w:line="48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0"/>
        <w:spacing w:line="48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0"/>
        <w:spacing w:line="48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0"/>
        <w:spacing w:line="48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0"/>
        <w:spacing w:line="48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七、一般公共预算财政拨款“三公”经费支出决算表</w:t>
      </w:r>
    </w:p>
    <w:p>
      <w:pPr>
        <w:pStyle w:val="10"/>
        <w:spacing w:line="48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八、政府性基金预算财政拨款收入支出决算表</w:t>
      </w:r>
    </w:p>
    <w:p>
      <w:pPr>
        <w:pStyle w:val="10"/>
        <w:spacing w:line="48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九、国有资本经营预算财政拨款支出决算表</w:t>
      </w:r>
    </w:p>
    <w:p>
      <w:pPr>
        <w:pStyle w:val="10"/>
        <w:spacing w:line="480" w:lineRule="exact"/>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第三部分  2021年度部门决算情况说明</w:t>
      </w:r>
    </w:p>
    <w:p>
      <w:pPr>
        <w:pStyle w:val="10"/>
        <w:spacing w:line="48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48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48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48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48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48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48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七、一般公共预算财政拨款“三公”经费支出决算情况说明</w:t>
      </w:r>
    </w:p>
    <w:p>
      <w:pPr>
        <w:autoSpaceDE w:val="0"/>
        <w:autoSpaceDN w:val="0"/>
        <w:adjustRightInd w:val="0"/>
        <w:spacing w:line="48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48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w:t>
      </w:r>
      <w:r>
        <w:rPr>
          <w:rFonts w:hint="eastAsia" w:ascii="仿宋_GB2312" w:hAnsi="仿宋_GB2312" w:eastAsia="仿宋_GB2312" w:cs="仿宋_GB2312"/>
          <w:sz w:val="28"/>
          <w:szCs w:val="28"/>
        </w:rPr>
        <w:t>国有资本经营预算财政拨款支出决算情况</w:t>
      </w:r>
    </w:p>
    <w:p>
      <w:pPr>
        <w:autoSpaceDE w:val="0"/>
        <w:autoSpaceDN w:val="0"/>
        <w:adjustRightInd w:val="0"/>
        <w:spacing w:line="48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十、机关运行经费支出说明</w:t>
      </w:r>
    </w:p>
    <w:p>
      <w:pPr>
        <w:autoSpaceDE w:val="0"/>
        <w:autoSpaceDN w:val="0"/>
        <w:adjustRightInd w:val="0"/>
        <w:spacing w:line="48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pPr>
        <w:autoSpaceDE w:val="0"/>
        <w:autoSpaceDN w:val="0"/>
        <w:adjustRightInd w:val="0"/>
        <w:spacing w:line="48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政府采购支出说明</w:t>
      </w:r>
    </w:p>
    <w:p>
      <w:pPr>
        <w:pStyle w:val="10"/>
        <w:spacing w:line="48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十三、国有资产占用情况说明</w:t>
      </w:r>
    </w:p>
    <w:p>
      <w:pPr>
        <w:pStyle w:val="10"/>
        <w:spacing w:line="48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十四、2021年度预算绩效情况说明</w:t>
      </w:r>
    </w:p>
    <w:p>
      <w:pPr>
        <w:autoSpaceDE w:val="0"/>
        <w:autoSpaceDN w:val="0"/>
        <w:adjustRightInd w:val="0"/>
        <w:spacing w:line="480" w:lineRule="exact"/>
        <w:jc w:val="left"/>
        <w:rPr>
          <w:rFonts w:hint="eastAsia" w:ascii="仿宋_GB2312" w:hAnsi="仿宋_GB2312" w:eastAsia="仿宋_GB2312" w:cs="仿宋_GB2312"/>
          <w:b/>
          <w:color w:val="000000"/>
          <w:kern w:val="0"/>
          <w:sz w:val="28"/>
          <w:szCs w:val="28"/>
        </w:rPr>
      </w:pPr>
      <w:r>
        <w:rPr>
          <w:rFonts w:hint="eastAsia" w:ascii="仿宋_GB2312" w:hAnsi="仿宋_GB2312" w:eastAsia="仿宋_GB2312" w:cs="仿宋_GB2312"/>
          <w:b/>
          <w:color w:val="000000"/>
          <w:kern w:val="0"/>
          <w:sz w:val="28"/>
          <w:szCs w:val="28"/>
        </w:rPr>
        <w:t>第四部分  名词解释</w:t>
      </w:r>
    </w:p>
    <w:p>
      <w:pPr>
        <w:autoSpaceDE w:val="0"/>
        <w:autoSpaceDN w:val="0"/>
        <w:adjustRightInd w:val="0"/>
        <w:spacing w:line="480" w:lineRule="exact"/>
        <w:jc w:val="left"/>
        <w:rPr>
          <w:rFonts w:hint="eastAsia" w:ascii="仿宋_GB2312" w:hAnsi="仿宋_GB2312" w:eastAsia="仿宋_GB2312" w:cs="仿宋_GB2312"/>
          <w:b/>
          <w:color w:val="000000"/>
          <w:kern w:val="0"/>
          <w:sz w:val="28"/>
          <w:szCs w:val="28"/>
        </w:rPr>
      </w:pPr>
      <w:r>
        <w:rPr>
          <w:rFonts w:hint="eastAsia" w:ascii="仿宋_GB2312" w:hAnsi="仿宋_GB2312" w:eastAsia="仿宋_GB2312" w:cs="仿宋_GB2312"/>
          <w:b/>
          <w:color w:val="000000"/>
          <w:kern w:val="0"/>
          <w:sz w:val="28"/>
          <w:szCs w:val="28"/>
        </w:rPr>
        <w:t>第五部分  附件</w:t>
      </w:r>
    </w:p>
    <w:p>
      <w:pPr>
        <w:rPr>
          <w:sz w:val="72"/>
          <w:szCs w:val="72"/>
        </w:rPr>
      </w:pPr>
      <w:r>
        <w:rPr>
          <w:sz w:val="72"/>
          <w:szCs w:val="72"/>
        </w:rPr>
        <w:br w:type="page"/>
      </w:r>
    </w:p>
    <w:p>
      <w:pPr>
        <w:jc w:val="center"/>
        <w:rPr>
          <w:sz w:val="72"/>
          <w:szCs w:val="72"/>
        </w:rPr>
      </w:pPr>
    </w:p>
    <w:p>
      <w:pPr>
        <w:jc w:val="center"/>
        <w:rPr>
          <w:sz w:val="72"/>
          <w:szCs w:val="72"/>
        </w:rPr>
      </w:pPr>
    </w:p>
    <w:p>
      <w:pPr>
        <w:rPr>
          <w:sz w:val="72"/>
          <w:szCs w:val="72"/>
        </w:rPr>
      </w:pPr>
    </w:p>
    <w:p>
      <w:pPr>
        <w:pStyle w:val="10"/>
        <w:jc w:val="center"/>
        <w:rPr>
          <w:sz w:val="84"/>
          <w:szCs w:val="84"/>
        </w:rPr>
      </w:pPr>
      <w:r>
        <w:rPr>
          <w:rFonts w:hint="eastAsia"/>
          <w:sz w:val="84"/>
          <w:szCs w:val="84"/>
        </w:rPr>
        <w:t>第一部分</w:t>
      </w:r>
      <w:r>
        <w:rPr>
          <w:sz w:val="84"/>
          <w:szCs w:val="84"/>
        </w:rPr>
        <w:t xml:space="preserve"> </w:t>
      </w:r>
    </w:p>
    <w:p>
      <w:pPr>
        <w:pStyle w:val="10"/>
        <w:jc w:val="center"/>
        <w:rPr>
          <w:sz w:val="84"/>
          <w:szCs w:val="84"/>
        </w:rPr>
      </w:pPr>
    </w:p>
    <w:p>
      <w:pPr>
        <w:pStyle w:val="10"/>
        <w:jc w:val="center"/>
        <w:rPr>
          <w:sz w:val="84"/>
          <w:szCs w:val="84"/>
        </w:rPr>
      </w:pPr>
      <w:r>
        <w:rPr>
          <w:rFonts w:hint="eastAsia"/>
          <w:sz w:val="84"/>
          <w:szCs w:val="84"/>
        </w:rPr>
        <w:t>岳阳市社会福利院单位概况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1"/>
        <w:ind w:firstLine="0" w:firstLineChars="0"/>
        <w:jc w:val="left"/>
        <w:rPr>
          <w:rFonts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lang w:eastAsia="zh-CN"/>
        </w:rPr>
        <w:t>一、</w:t>
      </w:r>
      <w:r>
        <w:rPr>
          <w:rFonts w:hint="eastAsia" w:ascii="黑体" w:hAnsi="黑体" w:eastAsia="黑体" w:cs="黑体"/>
          <w:color w:val="000000"/>
          <w:kern w:val="0"/>
          <w:sz w:val="32"/>
          <w:szCs w:val="32"/>
        </w:rPr>
        <w:t>部门职责</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提供收养服务，弘扬救助精神，孤儿与弃婴收养，家庭无力照管残疾儿童收养，“三无”老人收养，老人自愿有偿收养，收养对象的康复治疗。</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二、机构设置及决算单位构成</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3" w:firstLineChars="200"/>
        <w:jc w:val="both"/>
        <w:textAlignment w:val="auto"/>
        <w:rPr>
          <w:rFonts w:hint="eastAsia" w:ascii="楷体_GB2312" w:hAnsi="楷体_GB2312" w:eastAsia="楷体_GB2312" w:cs="楷体_GB2312"/>
          <w:b/>
          <w:bCs/>
          <w:color w:val="auto"/>
          <w:sz w:val="32"/>
          <w:szCs w:val="32"/>
          <w:lang w:val="en-US" w:eastAsia="zh-CN" w:bidi="ar"/>
        </w:rPr>
      </w:pPr>
      <w:r>
        <w:rPr>
          <w:rFonts w:hint="eastAsia" w:ascii="楷体_GB2312" w:hAnsi="楷体_GB2312" w:eastAsia="楷体_GB2312" w:cs="楷体_GB2312"/>
          <w:b/>
          <w:bCs/>
          <w:color w:val="auto"/>
          <w:sz w:val="32"/>
          <w:szCs w:val="32"/>
          <w:lang w:val="en-US" w:eastAsia="zh-CN" w:bidi="ar"/>
        </w:rPr>
        <w:t>（一）内设机构设置。</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岳阳市社会福利院单位内设机构包括：办公室、财务室、后勤服务部、医疗康复部、儿童服务部、老年人服务部。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3" w:firstLineChars="200"/>
        <w:jc w:val="both"/>
        <w:textAlignment w:val="auto"/>
        <w:rPr>
          <w:rFonts w:hint="eastAsia" w:ascii="楷体_GB2312" w:hAnsi="楷体_GB2312" w:eastAsia="楷体_GB2312" w:cs="楷体_GB2312"/>
          <w:b/>
          <w:bCs/>
          <w:color w:val="auto"/>
          <w:sz w:val="32"/>
          <w:szCs w:val="32"/>
          <w:lang w:val="en-US" w:eastAsia="zh-CN" w:bidi="ar"/>
        </w:rPr>
      </w:pPr>
      <w:r>
        <w:rPr>
          <w:rFonts w:hint="eastAsia" w:ascii="楷体_GB2312" w:hAnsi="楷体_GB2312" w:eastAsia="楷体_GB2312" w:cs="楷体_GB2312"/>
          <w:b/>
          <w:bCs/>
          <w:color w:val="auto"/>
          <w:sz w:val="32"/>
          <w:szCs w:val="32"/>
          <w:lang w:val="en-US" w:eastAsia="zh-CN" w:bidi="ar"/>
        </w:rPr>
        <w:t>（二）决算单位构成。</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岳阳市社会福利院单位2021年部门决算汇总公开单位构成包括：岳阳市社会福利院，不包含下属单位。</w:t>
      </w:r>
    </w:p>
    <w:p>
      <w:pPr>
        <w:jc w:val="left"/>
        <w:rPr>
          <w:rFonts w:ascii="仿宋_GB2312" w:eastAsia="仿宋_GB2312" w:hAnsiTheme="minorEastAsia"/>
          <w:sz w:val="28"/>
          <w:szCs w:val="32"/>
        </w:rPr>
      </w:pPr>
    </w:p>
    <w:p>
      <w:pPr>
        <w:rPr>
          <w:rFonts w:ascii="黑体" w:hAnsi="黑体" w:eastAsia="黑体"/>
          <w:sz w:val="28"/>
          <w:szCs w:val="28"/>
        </w:rPr>
      </w:pPr>
      <w:r>
        <w:rPr>
          <w:rFonts w:ascii="黑体" w:hAnsi="黑体" w:eastAsia="黑体"/>
          <w:sz w:val="28"/>
          <w:szCs w:val="28"/>
        </w:rPr>
        <w:br w:type="page"/>
      </w:r>
    </w:p>
    <w:p>
      <w:pPr>
        <w:pStyle w:val="10"/>
        <w:jc w:val="center"/>
        <w:rPr>
          <w:rFonts w:hint="eastAsia"/>
          <w:sz w:val="84"/>
          <w:szCs w:val="84"/>
        </w:rPr>
      </w:pPr>
    </w:p>
    <w:p>
      <w:pPr>
        <w:pStyle w:val="10"/>
        <w:jc w:val="center"/>
        <w:rPr>
          <w:rFonts w:hint="eastAsia"/>
          <w:sz w:val="84"/>
          <w:szCs w:val="84"/>
        </w:rPr>
      </w:pPr>
    </w:p>
    <w:p>
      <w:pPr>
        <w:pStyle w:val="10"/>
        <w:jc w:val="center"/>
        <w:rPr>
          <w:rFonts w:hint="eastAsia"/>
          <w:sz w:val="84"/>
          <w:szCs w:val="84"/>
        </w:rPr>
      </w:pPr>
      <w:r>
        <w:rPr>
          <w:rFonts w:hint="eastAsia"/>
          <w:sz w:val="84"/>
          <w:szCs w:val="84"/>
        </w:rPr>
        <w:t>第二部分</w:t>
      </w:r>
    </w:p>
    <w:p>
      <w:pPr>
        <w:pStyle w:val="10"/>
        <w:jc w:val="center"/>
        <w:rPr>
          <w:rFonts w:hint="eastAsia"/>
          <w:sz w:val="84"/>
          <w:szCs w:val="84"/>
        </w:rPr>
      </w:pPr>
    </w:p>
    <w:p>
      <w:pPr>
        <w:pStyle w:val="10"/>
        <w:jc w:val="center"/>
        <w:rPr>
          <w:rFonts w:hint="eastAsia"/>
          <w:sz w:val="84"/>
          <w:szCs w:val="84"/>
        </w:rPr>
      </w:pPr>
      <w:r>
        <w:rPr>
          <w:rFonts w:hint="eastAsia"/>
          <w:sz w:val="84"/>
          <w:szCs w:val="84"/>
        </w:rPr>
        <w:t>部门决算表</w:t>
      </w:r>
    </w:p>
    <w:p>
      <w:pPr>
        <w:pStyle w:val="10"/>
        <w:jc w:val="center"/>
        <w:rPr>
          <w:rFonts w:hint="eastAsia"/>
          <w:sz w:val="84"/>
          <w:szCs w:val="84"/>
        </w:rPr>
      </w:pPr>
      <w:r>
        <w:rPr>
          <w:rFonts w:hint="eastAsia"/>
          <w:sz w:val="84"/>
          <w:szCs w:val="84"/>
        </w:rPr>
        <w:t>（见附件）</w:t>
      </w:r>
    </w:p>
    <w:p>
      <w:pPr>
        <w:pStyle w:val="10"/>
        <w:jc w:val="center"/>
        <w:rPr>
          <w:rFonts w:hint="eastAsia"/>
          <w:sz w:val="84"/>
          <w:szCs w:val="84"/>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rFonts w:asciiTheme="minorEastAsia" w:hAnsiTheme="minorEastAsia"/>
          <w:sz w:val="32"/>
          <w:szCs w:val="32"/>
        </w:rPr>
        <w:sectPr>
          <w:pgSz w:w="11906" w:h="16838"/>
          <w:pgMar w:top="2098" w:right="1531" w:bottom="1984" w:left="1531" w:header="851" w:footer="992" w:gutter="0"/>
          <w:paperSrc/>
          <w:cols w:space="0" w:num="1"/>
          <w:rtlGutter w:val="0"/>
          <w:docGrid w:type="lines" w:linePitch="312" w:charSpace="0"/>
        </w:sectPr>
      </w:pPr>
    </w:p>
    <w:p>
      <w:pPr>
        <w:pStyle w:val="10"/>
        <w:jc w:val="both"/>
        <w:rPr>
          <w:sz w:val="72"/>
          <w:szCs w:val="72"/>
        </w:rPr>
      </w:pPr>
    </w:p>
    <w:p>
      <w:pPr>
        <w:pStyle w:val="10"/>
        <w:jc w:val="center"/>
        <w:rPr>
          <w:sz w:val="72"/>
          <w:szCs w:val="72"/>
        </w:rPr>
      </w:pPr>
    </w:p>
    <w:p>
      <w:pPr>
        <w:pStyle w:val="10"/>
        <w:jc w:val="center"/>
        <w:rPr>
          <w:sz w:val="72"/>
          <w:szCs w:val="72"/>
        </w:rPr>
      </w:pPr>
      <w:r>
        <w:rPr>
          <w:rFonts w:hint="eastAsia"/>
          <w:sz w:val="72"/>
          <w:szCs w:val="72"/>
        </w:rPr>
        <w:t>第三部分</w:t>
      </w:r>
    </w:p>
    <w:p>
      <w:pPr>
        <w:pStyle w:val="10"/>
        <w:jc w:val="center"/>
        <w:rPr>
          <w:sz w:val="70"/>
          <w:szCs w:val="70"/>
        </w:rPr>
      </w:pPr>
    </w:p>
    <w:p>
      <w:pPr>
        <w:pStyle w:val="10"/>
        <w:jc w:val="center"/>
        <w:rPr>
          <w:sz w:val="70"/>
          <w:szCs w:val="70"/>
        </w:rPr>
      </w:pPr>
      <w:r>
        <w:rPr>
          <w:sz w:val="70"/>
          <w:szCs w:val="70"/>
        </w:rPr>
        <w:t>20</w:t>
      </w:r>
      <w:r>
        <w:rPr>
          <w:rFonts w:hint="eastAsia"/>
          <w:sz w:val="70"/>
          <w:szCs w:val="70"/>
        </w:rPr>
        <w:t>21年度部门决算情况说明</w:t>
      </w:r>
    </w:p>
    <w:p>
      <w:pPr>
        <w:widowControl/>
        <w:jc w:val="left"/>
        <w:rPr>
          <w:rFonts w:ascii="黑体" w:eastAsia="黑体" w:cs="黑体"/>
          <w:color w:val="000000"/>
          <w:kern w:val="0"/>
          <w:sz w:val="70"/>
          <w:szCs w:val="70"/>
        </w:rPr>
      </w:pPr>
      <w:r>
        <w:rPr>
          <w:sz w:val="70"/>
          <w:szCs w:val="70"/>
        </w:rPr>
        <w:br w:type="page"/>
      </w:r>
    </w:p>
    <w:p>
      <w:pPr>
        <w:pStyle w:val="10"/>
        <w:rPr>
          <w:rFonts w:asciiTheme="minorEastAsia" w:hAnsiTheme="minorEastAsia" w:eastAsiaTheme="minorEastAsia"/>
          <w:sz w:val="32"/>
          <w:szCs w:val="32"/>
        </w:rPr>
      </w:pP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一、收入支出决算总体情况说明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2021年度收、支总计969.37万元。与上年相比，减少358.47万元，减少27%，主要是因为一般公共预算财政拨款收入减少0.41万元，减少0.05%；政府性基金预算财政拨款收入减少12.86万元，减少100%；其他收入减少85.39万元，减少44.13%；年初结转和结余减少259.81万元，减少71.07%。</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二、收入决算情况说明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2021年度收入合计863.61万元，其中：财政拨款收入755.52万元，占87.48%；上级补助收入0万元，占0%；事业收入0万元，占0%；经营收入0万元，占0%；附属单位上缴收入0万元，占0%；其他收入108.09万元，占12.52%。</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三、支出决算情况说明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2021年度支出合计964.49万元，其中：基本支出649.37万元，占67.33%；项目支出315.12万元，占32.67%；上缴上级支出0万元，占0%；经营支出0万元，占0%；对附属单位补助支出0万元，占0%。</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四、财政拨款收入支出决算总体情况说明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2021年度财政拨款收、支总计800.21万元，与上年相比，减少289.05万元,减少26.54%，主要是因为一般公共预算财政拨款收入减少0.41万元，减少0.05%；政府性基金预算财政拨款收入减少12.86万元，减少100%；年初结转和结余减少275.78万元，减少86.06%。</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五、一般公共预算财政拨款支出决算情况说明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3" w:firstLineChars="200"/>
        <w:jc w:val="both"/>
        <w:textAlignment w:val="auto"/>
        <w:rPr>
          <w:rFonts w:hint="eastAsia" w:ascii="楷体_GB2312" w:hAnsi="楷体_GB2312" w:eastAsia="楷体_GB2312" w:cs="楷体_GB2312"/>
          <w:b/>
          <w:bCs/>
          <w:color w:val="auto"/>
          <w:sz w:val="32"/>
          <w:szCs w:val="32"/>
          <w:lang w:val="en-US" w:eastAsia="zh-CN" w:bidi="ar"/>
        </w:rPr>
      </w:pPr>
      <w:r>
        <w:rPr>
          <w:rFonts w:hint="eastAsia" w:ascii="楷体_GB2312" w:hAnsi="楷体_GB2312" w:eastAsia="楷体_GB2312" w:cs="楷体_GB2312"/>
          <w:b/>
          <w:bCs/>
          <w:color w:val="auto"/>
          <w:sz w:val="32"/>
          <w:szCs w:val="32"/>
          <w:lang w:val="en-US" w:eastAsia="zh-CN" w:bidi="ar"/>
        </w:rPr>
        <w:t>（一）财政拨款支出决算总体情况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2021年度财政拨款支出800.21万元，占本年支出合计的82.97%，与上年相比，财政拨款支出减少230.85万元，减少22.39%，主要是因为基本支出中社会保障和就业支出较上年减少68.35万元，减少10.89%。项目支出中社会保障和就业支出较上年减少160.92万元，减少41.43%。</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3" w:firstLineChars="200"/>
        <w:jc w:val="both"/>
        <w:textAlignment w:val="auto"/>
        <w:rPr>
          <w:rFonts w:hint="eastAsia" w:ascii="楷体_GB2312" w:hAnsi="楷体_GB2312" w:eastAsia="楷体_GB2312" w:cs="楷体_GB2312"/>
          <w:b/>
          <w:bCs/>
          <w:color w:val="auto"/>
          <w:sz w:val="32"/>
          <w:szCs w:val="32"/>
          <w:lang w:val="en-US" w:eastAsia="zh-CN" w:bidi="ar"/>
        </w:rPr>
      </w:pPr>
      <w:r>
        <w:rPr>
          <w:rFonts w:hint="eastAsia" w:ascii="楷体_GB2312" w:hAnsi="楷体_GB2312" w:eastAsia="楷体_GB2312" w:cs="楷体_GB2312"/>
          <w:b/>
          <w:bCs/>
          <w:color w:val="auto"/>
          <w:sz w:val="32"/>
          <w:szCs w:val="32"/>
          <w:lang w:val="en-US" w:eastAsia="zh-CN" w:bidi="ar"/>
        </w:rPr>
        <w:t>（二）财政拨款支出决算结构情况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2021年度财政拨款支出800.21万元，主要用于以下方面：社会保障和就业（类）支出786.67万元，占98.31%；卫生健康（类）支出13.54万元，占1.69%。</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3" w:firstLineChars="200"/>
        <w:jc w:val="both"/>
        <w:textAlignment w:val="auto"/>
        <w:rPr>
          <w:rFonts w:hint="eastAsia" w:ascii="楷体_GB2312" w:hAnsi="楷体_GB2312" w:eastAsia="楷体_GB2312" w:cs="楷体_GB2312"/>
          <w:b/>
          <w:bCs/>
          <w:color w:val="auto"/>
          <w:sz w:val="32"/>
          <w:szCs w:val="32"/>
          <w:lang w:val="en-US" w:eastAsia="zh-CN" w:bidi="ar"/>
        </w:rPr>
      </w:pPr>
      <w:r>
        <w:rPr>
          <w:rFonts w:hint="eastAsia" w:ascii="楷体_GB2312" w:hAnsi="楷体_GB2312" w:eastAsia="楷体_GB2312" w:cs="楷体_GB2312"/>
          <w:b/>
          <w:bCs/>
          <w:color w:val="auto"/>
          <w:sz w:val="32"/>
          <w:szCs w:val="32"/>
          <w:lang w:val="en-US" w:eastAsia="zh-CN" w:bidi="ar"/>
        </w:rPr>
        <w:t>（三）财政拨款支出决算具体情况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2021年度财政拨款支出年初预算数为600.49万元，支出决算数为800.21万元，完成年初预算的133.26%，其中：</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1、社会保障和就业支出（类）民政管理事务（款）其他民政管理事务支出（项）。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年初预算为0万元，支出决算为10万元，决算数大于预算数的主要原因是年中追加了该项经费。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2、社会保障和就业支出（类）行政事业单位养老支出（款）机关事业单位基本养老保险缴费支出（项）。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年初预算为26.65万元，支出决算为26.65万元，完成年初预算的100%，决算数与预算数一致，我单位严格按预算执行决算。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3、社会保障和就业支出（类）抚恤（款）其他优抚支出（项）。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年初预算为0万元，支出决算为2.52万元，决算数大于预算数的主要原因是年中追加了该项经费。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4、社会保障和就业支出（类）社会福利（款）社会福利事业单位（项）。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年初预算为558.71万元，支出决算为498.38万元，完成年初预算的89.2%。 决算数小于预算数的主要原因是558.71万元中有300万元的非税收入任务但实际并未完成。</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5、社会保障和就业支出（类）社会福利（款）其他社会福利支出（项）。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年初预算为0万元，支出决算为122.8万元，决算数大于预算数的主要原因是年中追加了该项经费。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6、社会保障和就业支出（类）残疾人事业（款）其他残疾人事业支出（项）。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年初预算为1.59万元，支出决算为1.59万元，决算数大于预算数的主要原因是年中追加了该项经费。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7、社会保障和就业支出（类）最低生活保障（款）城市最低生活保障金支出（项）。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年初预算为0万元，支出决算为104.73万元，决算数大于预算数的主要原因是该经费未纳入财政年初预算。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8、社会保障和就业支出（类）临时救助（款）临时救助支出（项）。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年初预算为0万元，支出决算为20万元，决算数大于预算数的主要原因是该经费未纳入财政年初预算。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9、卫生健康支出（类）行政事业单位医疗（款）事业单位医疗（项）。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年初预算为13.54万元，支出决算为13.54万元，完成年初预算的100%，决算数与预算数一致，我单位严格按预算执行决算。</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六、一般公共预算财政拨款基本支出决算情况说明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2021年度财政拨款基本支出572.68万元，其中：人员经费396.46万元，占基本支出的69.23%,主要包括主要包括基本工资、津贴补贴、</w:t>
      </w:r>
      <w:r>
        <w:rPr>
          <w:rFonts w:hint="eastAsia" w:ascii="仿宋_GB2312" w:hAnsi="仿宋_GB2312" w:eastAsia="仿宋_GB2312" w:cs="仿宋_GB2312"/>
          <w:b w:val="0"/>
          <w:bCs w:val="0"/>
          <w:color w:val="auto"/>
          <w:sz w:val="32"/>
          <w:szCs w:val="32"/>
          <w:lang w:val="zh-CN" w:eastAsia="zh-CN" w:bidi="ar"/>
        </w:rPr>
        <w:t>奖金、伙食补助费、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r>
        <w:rPr>
          <w:rFonts w:hint="eastAsia" w:ascii="仿宋_GB2312" w:hAnsi="仿宋_GB2312" w:eastAsia="仿宋_GB2312" w:cs="仿宋_GB2312"/>
          <w:b w:val="0"/>
          <w:bCs w:val="0"/>
          <w:color w:val="auto"/>
          <w:sz w:val="32"/>
          <w:szCs w:val="32"/>
          <w:lang w:val="en-US" w:eastAsia="zh-CN" w:bidi="ar"/>
        </w:rPr>
        <w:t>；公用经费176.22万元，占基本支出的30.77%，主要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七、一般公共预算财政拨款“三公”经费支出决算情况说明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3" w:firstLineChars="200"/>
        <w:jc w:val="both"/>
        <w:textAlignment w:val="auto"/>
        <w:rPr>
          <w:rFonts w:hint="eastAsia" w:ascii="楷体_GB2312" w:hAnsi="楷体_GB2312" w:eastAsia="楷体_GB2312" w:cs="楷体_GB2312"/>
          <w:b/>
          <w:bCs/>
          <w:color w:val="auto"/>
          <w:sz w:val="32"/>
          <w:szCs w:val="32"/>
          <w:lang w:val="en-US" w:eastAsia="zh-CN" w:bidi="ar"/>
        </w:rPr>
      </w:pPr>
      <w:r>
        <w:rPr>
          <w:rFonts w:hint="eastAsia" w:ascii="楷体_GB2312" w:hAnsi="楷体_GB2312" w:eastAsia="楷体_GB2312" w:cs="楷体_GB2312"/>
          <w:b/>
          <w:bCs/>
          <w:color w:val="auto"/>
          <w:sz w:val="32"/>
          <w:szCs w:val="32"/>
          <w:lang w:val="en-US" w:eastAsia="zh-CN" w:bidi="ar"/>
        </w:rPr>
        <w:t>（一）“三公”经费财政拨款支出决算总体情况说明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2021年度“三公”经费财政拨款支出预算为8万元，支出决算为0万元，完成预算的0%，其中：</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因公出国（境）费支出预算为0万元，支出决算为0万元，完成预算的0%，决算数等于预算数，上年度无因公出国（境）费用支出预算无决算，本年与上年度持平。</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公务用车购置费支出预算为0万元，支出决算为0万元，完成预算的0%，决算数等于预算数，上年度无公务用车购置费支出预算无决算，本年与上年度持平。</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公务用车运行维护费支出预算为0万元，支出决算为0万元，完成预算的0%，决算数等于预算数，上年度公务用车运行维护费支出预算为3万元，支出决算为0.48万元，主要原因是认真贯彻落实中央“八项规定”精神和厉行节约要求，从严控制“三公”经费开支。</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公务接待费支出预算数为8万元，决算数为0万元，完成预算数的0%；本年度与上年度持平，主要原因是认真贯彻落实中央“八项规定”精神和厉行节约要求，从严控制“三公”经费开支。</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3" w:firstLineChars="200"/>
        <w:jc w:val="both"/>
        <w:textAlignment w:val="auto"/>
        <w:rPr>
          <w:rFonts w:hint="eastAsia" w:ascii="楷体_GB2312" w:hAnsi="楷体_GB2312" w:eastAsia="楷体_GB2312" w:cs="楷体_GB2312"/>
          <w:b/>
          <w:bCs/>
          <w:color w:val="auto"/>
          <w:sz w:val="32"/>
          <w:szCs w:val="32"/>
          <w:lang w:val="en-US" w:eastAsia="zh-CN" w:bidi="ar"/>
        </w:rPr>
      </w:pPr>
      <w:r>
        <w:rPr>
          <w:rFonts w:hint="eastAsia" w:ascii="楷体_GB2312" w:hAnsi="楷体_GB2312" w:eastAsia="楷体_GB2312" w:cs="楷体_GB2312"/>
          <w:b/>
          <w:bCs/>
          <w:color w:val="auto"/>
          <w:sz w:val="32"/>
          <w:szCs w:val="32"/>
          <w:lang w:val="en-US" w:eastAsia="zh-CN" w:bidi="ar"/>
        </w:rPr>
        <w:t>（二）“三公”经费财政拨款支出决算具体情况说明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2021年度“三公”经费财政拨款支出决算中，公务接待费支出决算0万元，占0%,因公出国（境）费支出决算0万元，占0%,公务用车购置费及运行维护费支出决算0万元，占0%。其中：</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1、因公出国（境）费支出决算为0万元，全年安排因公出国（境）团组0个，累计0人次,无相关开支内容。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2、公务接待费支出决算为0万元，全年共接待来访团组0个、来宾0人次，无相关接待内容。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3、公务用车购置费及运行维护费支出决算为0万元，其中：公务用车购置费0万元。公务用车运行维护费0万元，截止2021年12月31日，我单位开支财政拨款的公务用车保有量为0辆。</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八、政府性基金预算收入支出决算情况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2021年度本单位无政府性基金收支</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lang w:eastAsia="zh-CN"/>
        </w:rPr>
        <w:t>九、</w:t>
      </w:r>
      <w:r>
        <w:rPr>
          <w:rFonts w:hint="eastAsia" w:ascii="黑体" w:hAnsi="黑体" w:eastAsia="黑体" w:cs="黑体"/>
          <w:color w:val="000000"/>
          <w:kern w:val="0"/>
          <w:sz w:val="32"/>
          <w:szCs w:val="32"/>
        </w:rPr>
        <w:t>国有资本经营预算财政拨款支出决算情况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2021年度本单位无国有资本经营预算财政拨款支出</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十、机关运行经费支出说明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本单位2021年度无机关运行经费支出。</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十一、一般性支出情况说明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2021年本单位开支会议费0万元，无召开会议；开支培训费0万元，无开展培训；未举办节庆、晚会、论坛、赛事等活动，开支0万元。</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十二、政府采购支出说明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本部门2021年度政府采购支出总额30万元，其中：政府采购货物支出0 万元、政府采购工程支出30万元、政府采购服务支出0万元。授予中小企业合同金额0万元，占政府采购支出总额的0%，其中：授予小微企业合同金额0万元，占授予中小企业合同金额的0%；货物采购授予中小企业合同金额占货物支出金额的0%，工程采购授予中小企业合同金额占工程支出金额的0%，服务采购授予中小企业合同金额占服务支出金额的0%。</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十三、国有资产占用情况说明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截至2021年12月31日，本单位共有车辆0辆，其中，主要领导干部用车0辆，机要通信用车0辆、应急保障用车0辆、执法执勤用车0辆、特种专业技术用车0辆、其他用车0辆；单位价值50万元以上通用设备0台；单位价值100万元以上专用设备0台。</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left"/>
        <w:textAlignment w:val="auto"/>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十四、2021年度预算绩效情况说明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3" w:firstLineChars="200"/>
        <w:jc w:val="both"/>
        <w:textAlignment w:val="auto"/>
        <w:rPr>
          <w:rFonts w:hint="eastAsia" w:ascii="楷体_GB2312" w:hAnsi="楷体_GB2312" w:eastAsia="楷体_GB2312" w:cs="楷体_GB2312"/>
          <w:b/>
          <w:bCs/>
          <w:color w:val="auto"/>
          <w:sz w:val="32"/>
          <w:szCs w:val="32"/>
          <w:lang w:val="en-US" w:eastAsia="zh-CN" w:bidi="ar"/>
        </w:rPr>
      </w:pPr>
      <w:r>
        <w:rPr>
          <w:rFonts w:hint="eastAsia" w:ascii="楷体_GB2312" w:hAnsi="楷体_GB2312" w:eastAsia="楷体_GB2312" w:cs="楷体_GB2312"/>
          <w:b/>
          <w:bCs/>
          <w:color w:val="auto"/>
          <w:sz w:val="32"/>
          <w:szCs w:val="32"/>
          <w:lang w:val="en-US" w:eastAsia="zh-CN" w:bidi="ar"/>
        </w:rPr>
        <w:t>（1）绩效管理评价工作开展情况。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根据预算绩效管理要求，我单位组织对2021年度一般公共预算项目支出全面开展绩效自评，其中，一级项目0个，二级项目0个，共涉及资金0万元，占一般公共预算项目支出总额的0%。组织对2021年度0个政府性基金预算项目支出开展绩效自评，共涉及资金0万元，占政府性基金预算项目支出总额的0%。组织对2021年度0个国有资本经营预算项目支出开展绩效自评，共涉及资金0万元，占国有资本经营预算项目支出总额的0%。</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组织对0个项目开展了部门评价，涉及一般公共预算支出0 万元，政府性基金预算支出0万元，国有资本经营预算支出0万元。</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组织对岳阳市社会福利院1个单位开展整体支出绩效评价，涉及一般公共预算支出800.21万元，政府性基金预算支出0万元。从评价情况来看：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增加基础设施设备，改善养老环境，医养康模式运行；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增加医疗、康复、教育和娱乐服务等项目；</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开设书法班、绘画班、唱歌班、舞蹈班、太极拳班、茶艺班、手工制作等13个班。</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3" w:firstLineChars="200"/>
        <w:jc w:val="both"/>
        <w:textAlignment w:val="auto"/>
        <w:rPr>
          <w:rFonts w:hint="eastAsia" w:ascii="楷体_GB2312" w:hAnsi="楷体_GB2312" w:eastAsia="楷体_GB2312" w:cs="楷体_GB2312"/>
          <w:b/>
          <w:bCs/>
          <w:color w:val="auto"/>
          <w:sz w:val="32"/>
          <w:szCs w:val="32"/>
          <w:lang w:val="en-US" w:eastAsia="zh-CN" w:bidi="ar"/>
        </w:rPr>
      </w:pPr>
      <w:r>
        <w:rPr>
          <w:rFonts w:hint="eastAsia" w:ascii="楷体_GB2312" w:hAnsi="楷体_GB2312" w:eastAsia="楷体_GB2312" w:cs="楷体_GB2312"/>
          <w:b/>
          <w:bCs/>
          <w:color w:val="auto"/>
          <w:sz w:val="32"/>
          <w:szCs w:val="32"/>
          <w:lang w:val="en-US" w:eastAsia="zh-CN" w:bidi="ar"/>
        </w:rPr>
        <w:t>（2）部门决算中项目绩效自评结果（如有）。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2021年无项目，无项目绩效自评。</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3" w:firstLineChars="200"/>
        <w:jc w:val="both"/>
        <w:textAlignment w:val="auto"/>
        <w:rPr>
          <w:rFonts w:hint="eastAsia" w:ascii="楷体_GB2312" w:hAnsi="楷体_GB2312" w:eastAsia="楷体_GB2312" w:cs="楷体_GB2312"/>
          <w:b/>
          <w:bCs/>
          <w:color w:val="auto"/>
          <w:sz w:val="32"/>
          <w:szCs w:val="32"/>
          <w:lang w:val="en-US" w:eastAsia="zh-CN" w:bidi="ar"/>
        </w:rPr>
      </w:pPr>
      <w:bookmarkStart w:id="0" w:name="_GoBack"/>
      <w:r>
        <w:rPr>
          <w:rFonts w:hint="eastAsia" w:ascii="楷体_GB2312" w:hAnsi="楷体_GB2312" w:eastAsia="楷体_GB2312" w:cs="楷体_GB2312"/>
          <w:b/>
          <w:bCs/>
          <w:color w:val="auto"/>
          <w:sz w:val="32"/>
          <w:szCs w:val="32"/>
          <w:lang w:val="en-US" w:eastAsia="zh-CN" w:bidi="ar"/>
        </w:rPr>
        <w:t>（3）部门评价项目绩效评价结果。</w:t>
      </w:r>
    </w:p>
    <w:bookmarkEnd w:id="0"/>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部门评价项目数量3个以内的，至少将1 个部门评价报告向社会公开；部门评价项目数量大于3 个的，至少将2 个部门评价报告向社会公开。报告框架可参考《项目支出绩效评价办法》（财预〔2020〕10 号）中《项目支出绩效评价报告（参考提纲）》、《湖南省预算支出绩效评价管理办法》（湘财绩〔2020〕7号）。</w:t>
      </w:r>
    </w:p>
    <w:p>
      <w:pPr>
        <w:rPr>
          <w:sz w:val="72"/>
          <w:szCs w:val="72"/>
        </w:rPr>
      </w:pPr>
      <w:r>
        <w:rPr>
          <w:sz w:val="72"/>
          <w:szCs w:val="72"/>
        </w:rPr>
        <w:br w:type="page"/>
      </w:r>
    </w:p>
    <w:p>
      <w:pPr>
        <w:pStyle w:val="10"/>
        <w:jc w:val="both"/>
        <w:rPr>
          <w:sz w:val="72"/>
          <w:szCs w:val="72"/>
        </w:rPr>
      </w:pPr>
    </w:p>
    <w:p>
      <w:pPr>
        <w:pStyle w:val="10"/>
        <w:jc w:val="both"/>
        <w:rPr>
          <w:sz w:val="72"/>
          <w:szCs w:val="72"/>
        </w:rPr>
      </w:pPr>
    </w:p>
    <w:p>
      <w:pPr>
        <w:pStyle w:val="10"/>
        <w:jc w:val="both"/>
        <w:rPr>
          <w:sz w:val="72"/>
          <w:szCs w:val="72"/>
        </w:rPr>
      </w:pPr>
    </w:p>
    <w:p>
      <w:pPr>
        <w:pStyle w:val="10"/>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二、机关运行经费，是指各部门的公用经费，包括办公及印刷费、邮电费、差旅费、会议费、福利费、日常维修费、专用材料及一般设备购置费、办公用房水电费、办公用房取暖费、办公用房物业管理费、公务用车运行维护费以及其他费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三、财政拨款收入：指本级财政当年拨付的资金。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四、政府性基金预算财政拨款收入：指本级财政当年拨付的政府性基金预算资金。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五、其他收入：指除上述“财政拨款收入”、“上级补助收入”、“事业收入”、“经营收入”、“附属单位上缴收入”等以外的收入。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六、上年结转和结余：指以前年度尚未完成、结转到本年按有关规定继续使用的资金。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七、年末结转和结余资金：指本年度或以前年度预算安排、因客观条件发生变化无法按原计划实施，需要延迟到以后年度按有关规定继续使用的资金。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八、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九、卫生健康支出（类）：是指用于医疗卫生与计划生育方面的支出，包括保障机构正常运转、完成日常和特定的工作任务或事业发展目标的支出。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十、其他支出（类）：是指用于反映除上述项目以外其他不能划分到具体功能科目中的支出项目，包括保障机构正常运转、完成日常和特定的工作任务或事业发展目标的支出。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十一、基本支出：指保障机构正常运转、完成支日常工作任务而发生的人员支出和公用支出。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十二、项目支出：指在基本支出之外为完成特定行政任务和事业发展目标所发生的支出。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十三、工资福利支出：反映单位开支的在职职工和编制外长期聘用人员的各类劳动报酬，以及为上述人员缴纳的各项社会保险费等。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十四、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十五、津贴补贴：反映经国家批准建立的机关事业单位艰苦边远地区津贴、机关工作人员地区附加津贴、机关工作人员岗位津贴、事业单位工作人员特殊岗位津贴补贴等。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十六、奖金：反映机关工作人员年终一次性奖金。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十七、绩效工资：反映事业单位工作人员的绩效工资。</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十八、机关事业单位基本养老保险缴费：反映机关事业单位缴纳的基本养老保险费。由单位代扣的工作人员基本养老保险缴费，不在此科目反映。</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十九、职业年金缴费：反映机关事业单位实际缴纳的职业年金支出。由单位代扣的工作人员职业年金缴费，不在此科目反映。</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二十、职工基本医疗保险缴费：反映单位为职工缴纳的基本医疗保险费。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二十一、其他社会保障缴费：反映单位为职工缴纳的基本医疗、失业、工伤、生育等社会保险费，残疾人就业保障金，军队（含武警）为军人缴纳的伤亡、退役医疗等社会保险费。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二十二、住房公积金：反映行政事业单位按人力资源和社会保障部、财政部规定的基本工资和津贴补贴以及规定比例为职工缴纳的住房公积金。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二十三、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二十四、商品和服务支出：反映单位购买商品和服务的支出（不包括用于购置固定资产的支出、战略性和应急储备支出）。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二十五、办公费：反映单位购买按财务会计制度规定不符合固定资产确认标准的日常办公用品、书报杂志等支出。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二十六、印刷费：反映单位的印刷费支出。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二十七、邮电费：反映单位开支的信函、包裹、货物等物品的邮寄费及电话费、电报费、传真费、网络通讯费等。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二十八、差旅费：反映单位工作人员出差发生的城市间交通费、住宿费、伙食补贴费和市内交通费。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二十九、培训费：反映除因公出国（境）培训费以外的各类培训支出。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三十、工会经费：反映单位按规定提取的工会经费。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三十一、公务用车运行维护费：反映单位按规定保留的公务用车燃料费、维修费、过桥过路费、保险费、安全奖励费用等支出。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三十二、其他交通费用：反映单位除公务用车运行维护费以外的其他交通费用。如公务交通补贴，租车费用、出租车费用，飞机、船舶等的燃料费、维修费、保险费等。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三十三、其他商品和服务支出：反映上述科目未包括的日常公用支出。如行政赔偿费和诉讼费、国内组织的会员费、来访费、广告宣传、其他劳务费及离休人员特需费、公用经费等。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三十四、对个人和家庭的补助：反映政府用于对个人和家庭的补助支出。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三十五、退休费：反映行政事业单位和军队移交政府安置的退休人员的退休费和其他补贴。</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三十六、办公设备购置：反映用于购置并按财务会计制度规定纳入固定资产核算范围的办公家具和办公设备的支出，以及按规定提取的修购基金。</w:t>
      </w:r>
    </w:p>
    <w:p>
      <w:pPr>
        <w:rPr>
          <w:sz w:val="72"/>
          <w:szCs w:val="72"/>
        </w:rPr>
      </w:pPr>
      <w:r>
        <w:rPr>
          <w:sz w:val="72"/>
          <w:szCs w:val="72"/>
        </w:rPr>
        <w:br w:type="page"/>
      </w:r>
    </w:p>
    <w:p>
      <w:pPr>
        <w:pStyle w:val="10"/>
        <w:jc w:val="center"/>
        <w:rPr>
          <w:sz w:val="72"/>
          <w:szCs w:val="72"/>
        </w:rPr>
      </w:pPr>
    </w:p>
    <w:p>
      <w:pPr>
        <w:pStyle w:val="10"/>
        <w:jc w:val="both"/>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1、2021年部门决算公开表格</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color w:val="auto"/>
          <w:sz w:val="32"/>
          <w:szCs w:val="32"/>
          <w:lang w:val="en-US" w:eastAsia="zh-CN" w:bidi="ar"/>
        </w:rPr>
      </w:pPr>
      <w:r>
        <w:rPr>
          <w:rFonts w:hint="eastAsia" w:ascii="仿宋_GB2312" w:hAnsi="仿宋_GB2312" w:eastAsia="仿宋_GB2312" w:cs="仿宋_GB2312"/>
          <w:b w:val="0"/>
          <w:bCs w:val="0"/>
          <w:color w:val="auto"/>
          <w:sz w:val="32"/>
          <w:szCs w:val="32"/>
          <w:lang w:val="en-US" w:eastAsia="zh-CN" w:bidi="ar"/>
        </w:rPr>
        <w:t>2、2021年度部门整体支出绩效评价报告</w:t>
      </w:r>
    </w:p>
    <w:p>
      <w:pPr>
        <w:ind w:firstLine="640" w:firstLineChars="200"/>
        <w:jc w:val="left"/>
        <w:rPr>
          <w:rFonts w:cs="黑体" w:asciiTheme="minorEastAsia" w:hAnsiTheme="minorEastAsia"/>
          <w:color w:val="000000"/>
          <w:kern w:val="0"/>
          <w:sz w:val="32"/>
          <w:szCs w:val="32"/>
        </w:rPr>
      </w:pPr>
    </w:p>
    <w:sectPr>
      <w:pgSz w:w="11906" w:h="16838"/>
      <w:pgMar w:top="2098" w:right="1531" w:bottom="1984" w:left="153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21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2"/>
  </w:compat>
  <w:docVars>
    <w:docVar w:name="commondata" w:val="eyJoZGlkIjoiZmRiYzBkNzgwZTc4YmNlMGYyZGY3MGE5OGUxMjI5ZDQifQ=="/>
  </w:docVars>
  <w:rsids>
    <w:rsidRoot w:val="00172A27"/>
    <w:rsid w:val="0002229B"/>
    <w:rsid w:val="000273BD"/>
    <w:rsid w:val="000415B7"/>
    <w:rsid w:val="00041E3F"/>
    <w:rsid w:val="00055DAA"/>
    <w:rsid w:val="00061F7B"/>
    <w:rsid w:val="000658A3"/>
    <w:rsid w:val="00074155"/>
    <w:rsid w:val="000873EF"/>
    <w:rsid w:val="000A3F69"/>
    <w:rsid w:val="000B226C"/>
    <w:rsid w:val="00103957"/>
    <w:rsid w:val="00124A1F"/>
    <w:rsid w:val="00152C6D"/>
    <w:rsid w:val="00162D39"/>
    <w:rsid w:val="001678BD"/>
    <w:rsid w:val="00172A27"/>
    <w:rsid w:val="00182373"/>
    <w:rsid w:val="001A5774"/>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A3C5A"/>
    <w:rsid w:val="003C4197"/>
    <w:rsid w:val="003C47E6"/>
    <w:rsid w:val="003C4FC2"/>
    <w:rsid w:val="003E2331"/>
    <w:rsid w:val="00416E61"/>
    <w:rsid w:val="0042790C"/>
    <w:rsid w:val="004506F9"/>
    <w:rsid w:val="004717A2"/>
    <w:rsid w:val="00473DF3"/>
    <w:rsid w:val="00474611"/>
    <w:rsid w:val="00487911"/>
    <w:rsid w:val="00491741"/>
    <w:rsid w:val="004B0CEE"/>
    <w:rsid w:val="00500E5F"/>
    <w:rsid w:val="005122EF"/>
    <w:rsid w:val="0051441A"/>
    <w:rsid w:val="00517C33"/>
    <w:rsid w:val="00517D5F"/>
    <w:rsid w:val="00521AF2"/>
    <w:rsid w:val="00523644"/>
    <w:rsid w:val="0054069E"/>
    <w:rsid w:val="00544866"/>
    <w:rsid w:val="00553232"/>
    <w:rsid w:val="005767CC"/>
    <w:rsid w:val="00590D9F"/>
    <w:rsid w:val="00595D26"/>
    <w:rsid w:val="005A74E6"/>
    <w:rsid w:val="005B404E"/>
    <w:rsid w:val="005D4D55"/>
    <w:rsid w:val="005E2CFB"/>
    <w:rsid w:val="005F2103"/>
    <w:rsid w:val="005F3D1C"/>
    <w:rsid w:val="0062378F"/>
    <w:rsid w:val="00641842"/>
    <w:rsid w:val="00651EEC"/>
    <w:rsid w:val="006860D7"/>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634B8"/>
    <w:rsid w:val="00787B42"/>
    <w:rsid w:val="007C4539"/>
    <w:rsid w:val="007F3657"/>
    <w:rsid w:val="00812ED5"/>
    <w:rsid w:val="008277D9"/>
    <w:rsid w:val="0084478C"/>
    <w:rsid w:val="0086638C"/>
    <w:rsid w:val="00881987"/>
    <w:rsid w:val="008A3E8D"/>
    <w:rsid w:val="008E44BE"/>
    <w:rsid w:val="009237C4"/>
    <w:rsid w:val="00936949"/>
    <w:rsid w:val="00944C48"/>
    <w:rsid w:val="00950252"/>
    <w:rsid w:val="00967F5D"/>
    <w:rsid w:val="009A0F95"/>
    <w:rsid w:val="009B3ADF"/>
    <w:rsid w:val="009C3B52"/>
    <w:rsid w:val="009D5DCE"/>
    <w:rsid w:val="009E6817"/>
    <w:rsid w:val="009E6E9A"/>
    <w:rsid w:val="00A01D2B"/>
    <w:rsid w:val="00A42218"/>
    <w:rsid w:val="00A45D5D"/>
    <w:rsid w:val="00A70249"/>
    <w:rsid w:val="00A70B02"/>
    <w:rsid w:val="00A71D9F"/>
    <w:rsid w:val="00A92E75"/>
    <w:rsid w:val="00A92E9F"/>
    <w:rsid w:val="00B33BEA"/>
    <w:rsid w:val="00B57C9F"/>
    <w:rsid w:val="00B63572"/>
    <w:rsid w:val="00B654BF"/>
    <w:rsid w:val="00B7383C"/>
    <w:rsid w:val="00B75DB6"/>
    <w:rsid w:val="00B845B3"/>
    <w:rsid w:val="00B85D8B"/>
    <w:rsid w:val="00BB4A40"/>
    <w:rsid w:val="00BD6C3E"/>
    <w:rsid w:val="00BE3674"/>
    <w:rsid w:val="00C10681"/>
    <w:rsid w:val="00C27FAB"/>
    <w:rsid w:val="00C3049A"/>
    <w:rsid w:val="00C31B1E"/>
    <w:rsid w:val="00C77645"/>
    <w:rsid w:val="00CD6AEC"/>
    <w:rsid w:val="00CE04C3"/>
    <w:rsid w:val="00CE76A0"/>
    <w:rsid w:val="00D148C6"/>
    <w:rsid w:val="00D17A8A"/>
    <w:rsid w:val="00D415BA"/>
    <w:rsid w:val="00D63780"/>
    <w:rsid w:val="00D644EE"/>
    <w:rsid w:val="00D75489"/>
    <w:rsid w:val="00DD06FF"/>
    <w:rsid w:val="00DD5FE9"/>
    <w:rsid w:val="00E00C7A"/>
    <w:rsid w:val="00E13EDD"/>
    <w:rsid w:val="00E209CF"/>
    <w:rsid w:val="00E37D6C"/>
    <w:rsid w:val="00E5189B"/>
    <w:rsid w:val="00E55B68"/>
    <w:rsid w:val="00E67BE6"/>
    <w:rsid w:val="00E8683C"/>
    <w:rsid w:val="00EA2B72"/>
    <w:rsid w:val="00F74360"/>
    <w:rsid w:val="00FB462F"/>
    <w:rsid w:val="00FC3EF8"/>
    <w:rsid w:val="00FE16FA"/>
    <w:rsid w:val="00FE328A"/>
    <w:rsid w:val="00FE6269"/>
    <w:rsid w:val="00FF5CD6"/>
    <w:rsid w:val="05633A58"/>
    <w:rsid w:val="06B411F0"/>
    <w:rsid w:val="087403E0"/>
    <w:rsid w:val="0BE56081"/>
    <w:rsid w:val="13BE003E"/>
    <w:rsid w:val="17A87124"/>
    <w:rsid w:val="27DB542D"/>
    <w:rsid w:val="31E13B09"/>
    <w:rsid w:val="366364DD"/>
    <w:rsid w:val="370B6762"/>
    <w:rsid w:val="45F9639D"/>
    <w:rsid w:val="48ED43E7"/>
    <w:rsid w:val="5D434DBC"/>
    <w:rsid w:val="60A907EA"/>
    <w:rsid w:val="6145544E"/>
    <w:rsid w:val="65A11834"/>
    <w:rsid w:val="7A480BB1"/>
    <w:rsid w:val="7FA04F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99"/>
    <w:pPr>
      <w:jc w:val="left"/>
    </w:pPr>
    <w:rPr>
      <w:rFonts w:ascii="Calibri" w:hAnsi="Calibri" w:eastAsia="宋体" w:cs="Times New Roman"/>
      <w:kern w:val="0"/>
      <w:sz w:val="24"/>
      <w:szCs w:val="24"/>
    </w:rPr>
  </w:style>
  <w:style w:type="character" w:customStyle="1" w:styleId="8">
    <w:name w:val="页眉 Char"/>
    <w:basedOn w:val="7"/>
    <w:link w:val="4"/>
    <w:uiPriority w:val="99"/>
    <w:rPr>
      <w:sz w:val="18"/>
      <w:szCs w:val="18"/>
    </w:rPr>
  </w:style>
  <w:style w:type="character" w:customStyle="1" w:styleId="9">
    <w:name w:val="页脚 Char"/>
    <w:basedOn w:val="7"/>
    <w:link w:val="3"/>
    <w:uiPriority w:val="99"/>
    <w:rPr>
      <w:sz w:val="18"/>
      <w:szCs w:val="18"/>
    </w:rPr>
  </w:style>
  <w:style w:type="paragraph" w:customStyle="1" w:styleId="10">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1">
    <w:name w:val="List Paragraph"/>
    <w:basedOn w:val="1"/>
    <w:qFormat/>
    <w:uiPriority w:val="34"/>
    <w:pPr>
      <w:ind w:firstLine="420" w:firstLineChars="200"/>
    </w:pPr>
  </w:style>
  <w:style w:type="character" w:customStyle="1" w:styleId="12">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0464C-DC27-4C0F-AC6C-EB24B5A8B70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6572</Words>
  <Characters>7013</Characters>
  <Lines>51</Lines>
  <Paragraphs>14</Paragraphs>
  <TotalTime>26</TotalTime>
  <ScaleCrop>false</ScaleCrop>
  <LinksUpToDate>false</LinksUpToDate>
  <CharactersWithSpaces>7035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文印室</cp:lastModifiedBy>
  <cp:lastPrinted>2022-09-23T08:52:00Z</cp:lastPrinted>
  <dcterms:modified xsi:type="dcterms:W3CDTF">2022-09-26T07:57:51Z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C02081F76A1C414C807C3137DC2EA958</vt:lpwstr>
  </property>
</Properties>
</file>