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岳阳市第二社会福利院</w:t>
      </w:r>
    </w:p>
    <w:p>
      <w:pPr>
        <w:pStyle w:val="10"/>
        <w:jc w:val="center"/>
        <w:rPr>
          <w:sz w:val="84"/>
          <w:szCs w:val="84"/>
        </w:rPr>
      </w:pPr>
      <w:r>
        <w:rPr>
          <w:rFonts w:hint="eastAsia"/>
          <w:sz w:val="84"/>
          <w:szCs w:val="84"/>
          <w:lang w:eastAsia="zh-CN"/>
        </w:rPr>
        <w:t>部门</w:t>
      </w:r>
      <w:r>
        <w:rPr>
          <w:rFonts w:hint="eastAsia"/>
          <w:sz w:val="84"/>
          <w:szCs w:val="84"/>
        </w:rPr>
        <w:t>决算</w:t>
      </w:r>
    </w:p>
    <w:p>
      <w:pPr>
        <w:rPr>
          <w:sz w:val="56"/>
          <w:szCs w:val="56"/>
        </w:rPr>
      </w:pPr>
      <w:r>
        <w:rPr>
          <w:sz w:val="56"/>
          <w:szCs w:val="56"/>
        </w:rPr>
        <w:br w:type="page"/>
      </w:r>
    </w:p>
    <w:p>
      <w:pPr>
        <w:pStyle w:val="10"/>
        <w:spacing w:line="500" w:lineRule="exact"/>
        <w:jc w:val="center"/>
        <w:rPr>
          <w:b/>
          <w:sz w:val="36"/>
          <w:szCs w:val="28"/>
        </w:rPr>
      </w:pP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r>
        <w:rPr>
          <w:rFonts w:hint="eastAsia"/>
          <w:b/>
          <w:sz w:val="36"/>
          <w:szCs w:val="28"/>
        </w:rPr>
        <w:t>目录</w:t>
      </w: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第一部分</w:t>
      </w:r>
      <w:r>
        <w:rPr>
          <w:rFonts w:hint="eastAsia" w:ascii="仿宋_GB2312" w:hAnsi="仿宋_GB2312" w:eastAsia="仿宋_GB2312" w:cs="仿宋_GB2312"/>
          <w:b/>
          <w:sz w:val="28"/>
          <w:szCs w:val="28"/>
          <w:lang w:val="en-US" w:eastAsia="zh-CN"/>
        </w:rPr>
        <w:t xml:space="preserve">  岳阳市第二社会福利院</w:t>
      </w:r>
      <w:r>
        <w:rPr>
          <w:rFonts w:hint="eastAsia" w:ascii="仿宋_GB2312" w:hAnsi="仿宋_GB2312" w:eastAsia="仿宋_GB2312" w:cs="仿宋_GB2312"/>
          <w:b/>
          <w:sz w:val="28"/>
          <w:szCs w:val="28"/>
        </w:rPr>
        <w:t>单位概况</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第二部分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九、国有资本经营预算财政拨款支出决算表</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政府采购支出说明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十三、国有资产占用情况说明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w:t>
      </w:r>
      <w:r>
        <w:rPr>
          <w:rFonts w:hint="eastAsia" w:ascii="仿宋_GB2312" w:hAnsi="仿宋_GB2312" w:eastAsia="仿宋_GB2312" w:cs="仿宋_GB2312"/>
          <w:sz w:val="28"/>
          <w:szCs w:val="28"/>
        </w:rPr>
        <w:t>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第四部分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第五部分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附件</w:t>
      </w:r>
    </w:p>
    <w:p>
      <w:pPr>
        <w:rPr>
          <w:sz w:val="72"/>
          <w:szCs w:val="72"/>
        </w:rPr>
      </w:pPr>
      <w:r>
        <w:rPr>
          <w:sz w:val="72"/>
          <w:szCs w:val="72"/>
        </w:rPr>
        <w:br w:type="page"/>
      </w: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第一部分</w:t>
      </w:r>
    </w:p>
    <w:p>
      <w:pPr>
        <w:pStyle w:val="10"/>
        <w:jc w:val="center"/>
        <w:rPr>
          <w:rFonts w:hint="eastAsia"/>
          <w:kern w:val="0"/>
          <w:sz w:val="72"/>
          <w:szCs w:val="72"/>
          <w:lang w:eastAsia="zh-CN"/>
        </w:rPr>
      </w:pPr>
    </w:p>
    <w:p>
      <w:pPr>
        <w:pStyle w:val="10"/>
        <w:jc w:val="center"/>
        <w:rPr>
          <w:rFonts w:hint="eastAsia"/>
          <w:kern w:val="0"/>
          <w:sz w:val="72"/>
          <w:szCs w:val="72"/>
        </w:rPr>
      </w:pPr>
      <w:r>
        <w:rPr>
          <w:rFonts w:hint="eastAsia"/>
          <w:kern w:val="0"/>
          <w:sz w:val="72"/>
          <w:szCs w:val="72"/>
          <w:lang w:eastAsia="zh-CN"/>
        </w:rPr>
        <w:t>岳阳市第二社会福利院</w:t>
      </w:r>
      <w:r>
        <w:rPr>
          <w:rFonts w:hint="eastAsia"/>
          <w:kern w:val="0"/>
          <w:sz w:val="72"/>
          <w:szCs w:val="72"/>
        </w:rPr>
        <w:t>单位概况</w:t>
      </w:r>
    </w:p>
    <w:p>
      <w:pPr>
        <w:pStyle w:val="10"/>
        <w:jc w:val="center"/>
        <w:rPr>
          <w:rFonts w:hint="eastAsia"/>
          <w:kern w:val="0"/>
          <w:sz w:val="72"/>
          <w:szCs w:val="72"/>
          <w:lang w:eastAsia="zh-CN"/>
        </w:rPr>
      </w:pPr>
    </w:p>
    <w:p>
      <w:pPr>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br w:type="page"/>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一、</w:t>
      </w:r>
      <w:r>
        <w:rPr>
          <w:rFonts w:hint="eastAsia" w:ascii="黑体" w:hAnsi="黑体" w:eastAsia="黑体" w:cs="黑体"/>
          <w:color w:val="000000"/>
          <w:kern w:val="0"/>
          <w:sz w:val="32"/>
          <w:szCs w:val="32"/>
        </w:rPr>
        <w:t>部门职责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我院主要负责岳阳市社会老年人的寄养、为残疾人劳动就业提供保障、社会孤寡老人和残疾退休老人的护养及相关社会服务。</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二、机构设置及决算单位构成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（一）内设机构设置。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岳阳市第二社会福利院单位内设机构包括：办公室、财务室、托老部。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岳阳市第二社会福利院单位202</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zh-CN" w:eastAsia="zh-CN"/>
        </w:rPr>
        <w:t>年部门决算公开单位</w:t>
      </w:r>
      <w:r>
        <w:rPr>
          <w:rFonts w:hint="eastAsia" w:ascii="仿宋_GB2312" w:hAnsi="仿宋_GB2312" w:eastAsia="仿宋_GB2312" w:cs="仿宋_GB2312"/>
          <w:b w:val="0"/>
          <w:bCs w:val="0"/>
          <w:color w:val="auto"/>
          <w:sz w:val="32"/>
          <w:szCs w:val="32"/>
          <w:lang w:val="en-US" w:eastAsia="zh-CN"/>
        </w:rPr>
        <w:t>不包含下属单位。</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rPr>
          <w:rFonts w:hint="eastAsia"/>
          <w:kern w:val="0"/>
          <w:sz w:val="72"/>
          <w:szCs w:val="72"/>
        </w:rPr>
      </w:pPr>
      <w:r>
        <w:rPr>
          <w:rFonts w:hint="eastAsia"/>
          <w:kern w:val="0"/>
          <w:sz w:val="72"/>
          <w:szCs w:val="72"/>
        </w:rPr>
        <w:br w:type="page"/>
      </w: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第二部分</w:t>
      </w:r>
    </w:p>
    <w:p>
      <w:pPr>
        <w:pStyle w:val="10"/>
        <w:jc w:val="center"/>
        <w:rPr>
          <w:rFonts w:hint="eastAsia"/>
          <w:kern w:val="0"/>
          <w:sz w:val="72"/>
          <w:szCs w:val="72"/>
        </w:rPr>
      </w:pPr>
    </w:p>
    <w:p>
      <w:pPr>
        <w:pStyle w:val="10"/>
        <w:jc w:val="center"/>
        <w:rPr>
          <w:rFonts w:hint="eastAsia"/>
          <w:kern w:val="0"/>
          <w:sz w:val="72"/>
          <w:szCs w:val="72"/>
          <w:lang w:eastAsia="zh-CN"/>
        </w:rPr>
      </w:pPr>
      <w:r>
        <w:rPr>
          <w:rFonts w:hint="eastAsia"/>
          <w:kern w:val="0"/>
          <w:sz w:val="72"/>
          <w:szCs w:val="72"/>
        </w:rPr>
        <w:t>部门决算表</w:t>
      </w:r>
      <w:r>
        <w:rPr>
          <w:rFonts w:hint="eastAsia"/>
          <w:kern w:val="0"/>
          <w:sz w:val="72"/>
          <w:szCs w:val="72"/>
          <w:lang w:eastAsia="zh-CN"/>
        </w:rPr>
        <w:t>（见附件）</w:t>
      </w:r>
    </w:p>
    <w:p>
      <w:pPr>
        <w:rPr>
          <w:sz w:val="72"/>
          <w:szCs w:val="72"/>
        </w:rPr>
      </w:pPr>
      <w:r>
        <w:rPr>
          <w:sz w:val="72"/>
          <w:szCs w:val="72"/>
        </w:rPr>
        <w:br w:type="page"/>
      </w:r>
    </w:p>
    <w:p>
      <w:pPr>
        <w:pStyle w:val="10"/>
        <w:jc w:val="center"/>
        <w:rPr>
          <w:rFonts w:hint="eastAsia" w:ascii="黑体" w:hAnsi="黑体" w:eastAsia="黑体" w:cs="黑体"/>
          <w:color w:val="000000"/>
          <w:kern w:val="0"/>
          <w:sz w:val="32"/>
          <w:szCs w:val="3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第三部分</w:t>
      </w: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2021年度部门决算情况说明</w:t>
      </w:r>
    </w:p>
    <w:p>
      <w:pPr>
        <w:pStyle w:val="10"/>
        <w:jc w:val="center"/>
        <w:rPr>
          <w:rFonts w:hint="eastAsia" w:ascii="黑体" w:hAnsi="黑体" w:eastAsia="黑体" w:cs="黑体"/>
          <w:color w:val="000000"/>
          <w:kern w:val="0"/>
          <w:sz w:val="32"/>
          <w:szCs w:val="32"/>
        </w:rPr>
      </w:pP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br w:type="page"/>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2021年度收、支总计801.09万元。与上年相比，增加187.23万元，增加23.37%，主要是因为一般公共预算财政拨款收入增加138.12万元，增加17.01%；其他收入增加50.96万元，增加6.36%。</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二、收入决算情况说明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2021年度收入合计695.37万元，其中：财政拨款收入644.41万元，占92.67%；上级补助收入0万元，占0%；事业收入0万元，占0%；经营收入0万元，占0%；附属单位上缴收入0万元，占0%；其他收入50.96万元，占7.33%。</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2021年度支出合计801.09万元，其中：基本支出801.09万元，占100%；项目支出0万元，占0%；上缴上级支出0万元，占0%；经营支出0万元，占0%；对附属单位补助支出0万元，占0%。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四、财政拨款收入支出决算总体情况说明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2021年度财政拨款收、支总计801.09万元，与上年相比，增加55.38万元,增加6.91%，主要是因为一般公共预算财政拨款收入增加55.38万元，增加6.91%。</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五、</w:t>
      </w:r>
      <w:r>
        <w:rPr>
          <w:rFonts w:hint="eastAsia" w:ascii="黑体" w:hAnsi="黑体" w:eastAsia="黑体" w:cs="黑体"/>
          <w:color w:val="000000"/>
          <w:kern w:val="0"/>
          <w:sz w:val="32"/>
          <w:szCs w:val="32"/>
        </w:rPr>
        <w:t>一般公共预算财政拨款支出决算情况说明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（一）财政拨款支出决算总体情况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2021年度财政拨款支出644.41万元，占本年支出合计的80.44%，与上年相比，财政拨款支出增加67.56万元，增长8.43%，主要是因为单位新进了人员。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（二）财政拨款支出决算结构情况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2021年度财政拨款支出644.41万元，主要用于以下方面：社会保障和就业（类）支出633.21万元，占98.26%；卫生健康（类）支出11.20万元，占1.74%。</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（三）财政拨款支出决算具体情况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2021</w:t>
      </w:r>
      <w:r>
        <w:rPr>
          <w:rFonts w:hint="eastAsia" w:ascii="仿宋_GB2312" w:hAnsi="仿宋_GB2312" w:eastAsia="仿宋_GB2312" w:cs="仿宋_GB2312"/>
          <w:b w:val="0"/>
          <w:bCs w:val="0"/>
          <w:color w:val="auto"/>
          <w:sz w:val="32"/>
          <w:szCs w:val="32"/>
          <w:lang w:val="zh-CN" w:eastAsia="zh-CN"/>
        </w:rPr>
        <w:t>年度财政拨款支出年初预算为</w:t>
      </w:r>
      <w:r>
        <w:rPr>
          <w:rFonts w:hint="eastAsia" w:ascii="仿宋_GB2312" w:hAnsi="仿宋_GB2312" w:eastAsia="仿宋_GB2312" w:cs="仿宋_GB2312"/>
          <w:b w:val="0"/>
          <w:bCs w:val="0"/>
          <w:color w:val="auto"/>
          <w:sz w:val="32"/>
          <w:szCs w:val="32"/>
          <w:lang w:val="en-US" w:eastAsia="zh-CN"/>
        </w:rPr>
        <w:t>416.08</w:t>
      </w:r>
      <w:r>
        <w:rPr>
          <w:rFonts w:hint="eastAsia" w:ascii="仿宋_GB2312" w:hAnsi="仿宋_GB2312" w:eastAsia="仿宋_GB2312" w:cs="仿宋_GB2312"/>
          <w:b w:val="0"/>
          <w:bCs w:val="0"/>
          <w:color w:val="auto"/>
          <w:sz w:val="32"/>
          <w:szCs w:val="32"/>
          <w:lang w:val="zh-CN" w:eastAsia="zh-CN"/>
        </w:rPr>
        <w:t>万元，支出决算为</w:t>
      </w:r>
      <w:r>
        <w:rPr>
          <w:rFonts w:hint="eastAsia" w:ascii="仿宋_GB2312" w:hAnsi="仿宋_GB2312" w:eastAsia="仿宋_GB2312" w:cs="仿宋_GB2312"/>
          <w:b w:val="0"/>
          <w:bCs w:val="0"/>
          <w:color w:val="auto"/>
          <w:sz w:val="32"/>
          <w:szCs w:val="32"/>
          <w:lang w:val="en-US" w:eastAsia="zh-CN"/>
        </w:rPr>
        <w:t>801.09</w:t>
      </w:r>
      <w:r>
        <w:rPr>
          <w:rFonts w:hint="eastAsia" w:ascii="仿宋_GB2312" w:hAnsi="仿宋_GB2312" w:eastAsia="仿宋_GB2312" w:cs="仿宋_GB2312"/>
          <w:b w:val="0"/>
          <w:bCs w:val="0"/>
          <w:color w:val="auto"/>
          <w:sz w:val="32"/>
          <w:szCs w:val="32"/>
          <w:lang w:val="zh-CN" w:eastAsia="zh-CN"/>
        </w:rPr>
        <w:t>万元，完成年初预算的</w:t>
      </w:r>
      <w:r>
        <w:rPr>
          <w:rFonts w:hint="eastAsia" w:ascii="仿宋_GB2312" w:hAnsi="仿宋_GB2312" w:eastAsia="仿宋_GB2312" w:cs="仿宋_GB2312"/>
          <w:b w:val="0"/>
          <w:bCs w:val="0"/>
          <w:color w:val="auto"/>
          <w:sz w:val="32"/>
          <w:szCs w:val="32"/>
          <w:lang w:val="en-US" w:eastAsia="zh-CN"/>
        </w:rPr>
        <w:t>192.53</w:t>
      </w:r>
      <w:r>
        <w:rPr>
          <w:rFonts w:hint="eastAsia" w:ascii="仿宋_GB2312" w:hAnsi="仿宋_GB2312" w:eastAsia="仿宋_GB2312" w:cs="仿宋_GB2312"/>
          <w:b w:val="0"/>
          <w:bCs w:val="0"/>
          <w:color w:val="auto"/>
          <w:sz w:val="32"/>
          <w:szCs w:val="32"/>
          <w:lang w:val="zh-CN" w:eastAsia="zh-CN"/>
        </w:rPr>
        <w:t>%。其中：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 xml:space="preserve">社会保障和就业支出（类）行政事业单位养老支出（款）机关事业单位基本养老保险缴费支出（项）。年初预算为21.81万元，支出决算为21.81万元，决算数等于预算数。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 xml:space="preserve">社会保障和就业支出（类）社会福利（款）儿童福利（项）。年初预算为115.01万元，支出决算为343.34万元，决算数大于预算数的主要原因是一般性转移支付和困难群众补助资金未纳入财政年初预算。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社会保障和就业支出（类）社会福利（款）其他社会福利支出（项）。年初预算为265.92万元，支出决算为265.92万元，决算数大于预算数的主要原因是</w:t>
      </w:r>
      <w:r>
        <w:rPr>
          <w:rFonts w:hint="eastAsia" w:ascii="仿宋_GB2312" w:hAnsi="仿宋_GB2312" w:eastAsia="仿宋_GB2312" w:cs="仿宋_GB2312"/>
          <w:b w:val="0"/>
          <w:bCs w:val="0"/>
          <w:color w:val="auto"/>
          <w:sz w:val="32"/>
          <w:szCs w:val="32"/>
          <w:lang w:val="zh-CN" w:eastAsia="zh-CN"/>
        </w:rPr>
        <w:t>该经费属退休人员综合绩效考评奖。</w:t>
      </w:r>
      <w:r>
        <w:rPr>
          <w:rFonts w:hint="eastAsia" w:ascii="仿宋_GB2312" w:hAnsi="仿宋_GB2312" w:eastAsia="仿宋_GB2312" w:cs="仿宋_GB2312"/>
          <w:b w:val="0"/>
          <w:bCs w:val="0"/>
          <w:color w:val="auto"/>
          <w:sz w:val="32"/>
          <w:szCs w:val="32"/>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社会保障和就业支出（类）残疾人事业（款）其他残疾人事业支出（项）。年初预算为2.14万元，支出决算为2.14万元，决算数等于预算数</w:t>
      </w:r>
      <w:r>
        <w:rPr>
          <w:rFonts w:hint="eastAsia" w:ascii="仿宋_GB2312" w:hAnsi="仿宋_GB2312" w:eastAsia="仿宋_GB2312" w:cs="仿宋_GB2312"/>
          <w:b w:val="0"/>
          <w:bCs w:val="0"/>
          <w:color w:val="auto"/>
          <w:sz w:val="32"/>
          <w:szCs w:val="32"/>
          <w:lang w:val="zh-CN" w:eastAsia="zh-CN"/>
        </w:rPr>
        <w:t>。</w:t>
      </w:r>
      <w:r>
        <w:rPr>
          <w:rFonts w:hint="eastAsia" w:ascii="仿宋_GB2312" w:hAnsi="仿宋_GB2312" w:eastAsia="仿宋_GB2312" w:cs="仿宋_GB2312"/>
          <w:b w:val="0"/>
          <w:bCs w:val="0"/>
          <w:color w:val="auto"/>
          <w:sz w:val="32"/>
          <w:szCs w:val="32"/>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卫生健康支出（类）行政事业单位医疗（款）事业单位医疗（项）。年初预算为11.2万元，支出决算为11.2万元，决算数等于预算数</w:t>
      </w:r>
      <w:r>
        <w:rPr>
          <w:rFonts w:hint="eastAsia" w:ascii="仿宋_GB2312" w:hAnsi="仿宋_GB2312" w:eastAsia="仿宋_GB2312" w:cs="仿宋_GB2312"/>
          <w:b w:val="0"/>
          <w:bCs w:val="0"/>
          <w:color w:val="auto"/>
          <w:sz w:val="32"/>
          <w:szCs w:val="32"/>
          <w:lang w:val="zh-CN" w:eastAsia="zh-CN"/>
        </w:rPr>
        <w:t>。</w:t>
      </w:r>
      <w:r>
        <w:rPr>
          <w:rFonts w:hint="eastAsia" w:ascii="仿宋_GB2312" w:hAnsi="仿宋_GB2312" w:eastAsia="仿宋_GB2312" w:cs="仿宋_GB2312"/>
          <w:b w:val="0"/>
          <w:bCs w:val="0"/>
          <w:color w:val="auto"/>
          <w:sz w:val="32"/>
          <w:szCs w:val="32"/>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其他支出（类）其他支出（款）其他支出（项）。年初预算为0万元，支出决算为156.68万元，决算数大于预算数的主要原因是有上年结余资金。</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六、一般公共预算财政拨款基本支出决算情况说明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2021年度财政拨款基本支出801.09万元，其中：人员经费443.09万元，占基本支出的55.31%,主要包括主要包括基本工资、津贴补贴、</w:t>
      </w:r>
      <w:r>
        <w:rPr>
          <w:rFonts w:hint="eastAsia" w:ascii="仿宋_GB2312" w:hAnsi="仿宋_GB2312" w:eastAsia="仿宋_GB2312" w:cs="仿宋_GB2312"/>
          <w:b w:val="0"/>
          <w:bCs w:val="0"/>
          <w:color w:val="auto"/>
          <w:sz w:val="32"/>
          <w:szCs w:val="32"/>
          <w:lang w:val="zh-CN" w:eastAsia="zh-CN"/>
        </w:rPr>
        <w:t>奖金、绩效工资、机关事业单位基本养老保险缴费、职业年金缴费、职工基本医疗保险缴费、其他社会保障缴费、住房公积金、医疗费、其他工资福利支出、退休费、其他对个人和家庭的补助</w:t>
      </w:r>
      <w:r>
        <w:rPr>
          <w:rFonts w:hint="eastAsia" w:ascii="仿宋_GB2312" w:hAnsi="仿宋_GB2312" w:eastAsia="仿宋_GB2312" w:cs="仿宋_GB2312"/>
          <w:b w:val="0"/>
          <w:bCs w:val="0"/>
          <w:color w:val="auto"/>
          <w:sz w:val="32"/>
          <w:szCs w:val="32"/>
          <w:lang w:val="en-US" w:eastAsia="zh-CN"/>
        </w:rPr>
        <w:t>；公用经费358万元，占基本支出的44.69%，主要包括办公费、印刷费、咨询费、手续费、水费、电费、邮电费、取暖费、物业管理费、差旅费、因公出国（境）费用、维修（护）费、会议费、培训费、公务接待费、专用材料费、劳务费、委托业务费、工会经费、福利费、公务用车运行维护费、其他交通费用、税金及附加费用、其他商品和服务支出、办公设备购置、专用设备购置、其他资本性支出、赠与。</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七、</w:t>
      </w:r>
      <w:r>
        <w:rPr>
          <w:rFonts w:hint="eastAsia" w:ascii="黑体" w:hAnsi="黑体" w:eastAsia="黑体" w:cs="黑体"/>
          <w:color w:val="000000"/>
          <w:kern w:val="0"/>
          <w:sz w:val="32"/>
          <w:szCs w:val="32"/>
        </w:rPr>
        <w:t>一般公共预算财政拨款“三公”经费支出决算情况说明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（一）“三公”经费财政拨款支出决算总体情况说明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2021年度“三公”经费财政拨款支出预算为3万元，支出决算为0万元，完成预算的0%，其中：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因公出国（境）费支出预算为0万元，支出决算为0万元，完成预算的0%，决算数等于预算数，上年度无因公出国（境）费用支出预算无决算，本年与上年度持平。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公务接待费支出预算为1.5万元，支出决算为0万元，完成预算的0%，决算数等于预算数，上年度无公务接待费支出预算无决算，本年与上年度持平。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公务用车购置费支出预算为0万元，支出决算为0万元，完成预算的0%，决算数等于预算数，上年度无公务用车购置费支出预算无决算，本年与上年度持平。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公务用车运行维护费支出预算为1.5万元，支出决算为0万元，完成预算的0%，决算数小于预算数的主要原因是认真贯彻落实中央“八项规定”精神和厉行节约要求，从严控制“三公”经费开支，结余逐年递减。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（二）“三公”经费财政拨款支出决算具体情况说明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2021年度“三公”经费财政拨款支出决算中，公务接待费支出决算0万元，占0%,因公出国（境）费支出决算0万元，占0%,公务用车购置费及运行维护费支出决算0万元，占0%。其中：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1、因公出国（境）费支出决算为0万元，全年安排因公出国（境）团组0个，累计0人次,无相关开支内容。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2、公务接待费支出决算为0万元，全年共接待来访团组0个、来宾0人次，无相关接待内容。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3、公务用车购置费及运行维护费支出决算为0万元，其中：公务用车购置费0万元，公务用车运行维护费0万元。</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八、政府性基金预算收入支出决算情况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2021年度政府性基金预算财政拨款收入0万元；年初结转和结余0万元；支出0万元，其中基本支出0万元，项目支出0万元；年末结转和结余0万元。具体情况如下：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1、其他支出（类）彩票公益金安排的支出（款）用于社会福利的彩票公益金支出（项）。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年初预算为0万元，支出决算为0万元，无法计算年初预算完成率，决算数大于年初预算数的主要原因是：2021年彩票公益金安排未纳入财政年初预算。</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九、</w:t>
      </w:r>
      <w:r>
        <w:rPr>
          <w:rFonts w:hint="eastAsia" w:ascii="黑体" w:hAnsi="黑体" w:eastAsia="黑体" w:cs="黑体"/>
          <w:color w:val="000000"/>
          <w:kern w:val="0"/>
          <w:sz w:val="32"/>
          <w:szCs w:val="32"/>
        </w:rPr>
        <w:t>国有资本经营预算财政拨款支出决算</w:t>
      </w:r>
      <w:r>
        <w:rPr>
          <w:rFonts w:hint="eastAsia" w:ascii="黑体" w:hAnsi="黑体" w:eastAsia="黑体" w:cs="黑体"/>
          <w:color w:val="000000"/>
          <w:kern w:val="0"/>
          <w:sz w:val="32"/>
          <w:szCs w:val="32"/>
          <w:lang w:eastAsia="zh-CN"/>
        </w:rPr>
        <w:t>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2021年度本单位无国有资本经营预算财政拨款支出。</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十、机关运行经费支出说明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岳阳市第二社会福利院单位性质为财政补助事业单位，部门决算报表没有机关运行经费统计数据。</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十一、一般性支出情况说明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2021年本部门无会议费开支。</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十二、政府采购支出说明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部门2021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十三、国有资产占用情况说明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截至2021年12月31日，部门（单位）共有车辆0辆，其中，主要领导干部用车0辆，机要通信用车0辆、应急保障用车0辆、执法执勤用车0辆、特种专业技术用车0辆、其他用车0辆，无其他用车；单位价值50万元以上通用设备1套；单位价值100万元以上专用设备0套。</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十四、</w:t>
      </w:r>
      <w:r>
        <w:rPr>
          <w:rFonts w:hint="eastAsia" w:ascii="黑体" w:hAnsi="黑体" w:eastAsia="黑体" w:cs="黑体"/>
          <w:color w:val="000000"/>
          <w:kern w:val="0"/>
          <w:sz w:val="32"/>
          <w:szCs w:val="32"/>
        </w:rPr>
        <w:t>2021年度预算绩效情况说明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（1）绩效管理评价工作开展情况。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预算绩效管理要求，我部门组织对2021年度一般公共预算项目支出全面开展绩效自评，其中，一级项目1个，二级项目0个，共涉及资金9万元，占一般公共预算项目支出总额的100%。组织对2021年度等1个政府性基金预算项目支出开展绩效自评，共涉及资金9万元，占政府性基金预算项目支出总额的100%。组织对2021年度等0个国有资本经营预算项目支出开展绩效自评，共涉及资金0万元，占国有资本经营预算项目支出总额的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组织对岳阳市第二社会福利院“三无人员生活费”1个项目开展了部门评价，涉及一般公共预算支出9万元，政府性基金预算支出0万元，国有资本经营预算支出0万元。从评价情况来看：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1、全面落实安全质量把关，在院三无人员的安全是第一位，在采购和使用过程中，严格保证物品的安全性，确保无任何事故发生。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2、完善内控管理，为资金使用实施保驾护行。为确保资金安全，我院从资金审批、核算、使用、支付，经过多级复核，保证了整个项目资金的合法、合理、合规使用。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3、项目资金全部用于三无人员的生活，厉行节约，杜绝浪费。三无人员生活费资金的投入保障了我院孤弃人员的日常生活正常开支，全面提升三无人员的服务水平。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（2）部门决算中项目绩效自评结果。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无人员生活费项目绩效自评综述：根据年初设定的绩效目标，项目绩效自评得分为98分。项目全年预算数为9万元，执行数为9万元，完成预算的100%。项目绩效目标完成情况：一是人数达标、营养达标；二是医保参保率100%，疫苗接种率60%；三是全年无大小安全事故发生；四是满足医疗需求，保证就医诊治及时有保障；五是满足院内日常生活各项开支（如水电气）及生活需求；六是落实服务人员各项社会保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暂无发现的主要问题及原因，暂无下一步改进措施。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三无人员生活费项目绩效自评综述：项目资金全部用于三无人员生活开支，厉行节约，杜绝浪费。生活费资金的投入保障了我院三无保山的日常生活正常开支，全面提升三无人员服务水平。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（3）部门评价项目绩效评价结果。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部门评价项目数量3个以内的，至少将1个部门评价报告向社会公开；部门评价项目数量大于3个的，至少将2个部门评价报告向社会公开。报告框架可参考《项目支出绩效评价办法》（财预〔2020〕10 号）中《项目支出绩效评价报告（参考提纲）》、《湖南省预算支出绩效评价管理办法》（湘财绩〔2020〕7号）。</w:t>
      </w:r>
    </w:p>
    <w:p>
      <w:pPr>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br w:type="page"/>
      </w: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bookmarkStart w:id="0" w:name="_GoBack"/>
      <w:bookmarkEnd w:id="0"/>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第四部分</w:t>
      </w: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名词解释</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widowControl/>
        <w:ind w:firstLine="640" w:firstLineChars="200"/>
        <w:jc w:val="left"/>
        <w:rPr>
          <w:rFonts w:hint="eastAsia" w:ascii="仿宋_GB2312" w:hAnsi="仿宋_GB2312" w:eastAsia="仿宋_GB2312" w:cs="仿宋_GB2312"/>
          <w:b w:val="0"/>
          <w:bCs w:val="0"/>
          <w:color w:val="auto"/>
          <w:sz w:val="32"/>
          <w:szCs w:val="32"/>
          <w:lang w:val="en-US" w:eastAsia="zh-CN"/>
        </w:rPr>
      </w:pPr>
    </w:p>
    <w:p>
      <w:pPr>
        <w:widowControl/>
        <w:ind w:firstLine="640" w:firstLineChars="20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三、财政拨款收入：指本级财政当年拨付的资金。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四、政府性基金预算财政拨款收入：指本级财政当年拨付的政府性基金预算资金。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五、其他收入：指除上述“财政拨款收入”、“上级补助收入”、“事业收入”、“经营收入”、“附属单位上缴收入”等以外的收入。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六、上年结转和结余：指以前年度尚未完成、结转到本年按有关规定继续使用的资金。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七、年末结转和结余资金：指本年度或以前年度预算安排、因客观条件发生变化无法按原计划实施，需要延迟到以后年度按有关规定继续使用的资金。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九、卫生健康支出（类）：是指用于医疗卫生与计划生育方面的支出，包括保障机构正常运转、完成日常和特定的工作任务或事业发展目标的支出。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十、其他支出（类）：是指用于反映除上述项目以外其他不能划分到具体功能科目中的支出项目，包括保障机构正常运转、完成日常和特定的工作任务或事业发展目标的支出。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十一、基本支出：指保障机构正常运转、完成支日常工作任务而发生的人员支出和公用支出。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十二、项目支出：指在基本支出之外为完成特定行政任务和事业发展目标所发生的支出。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十三、工资福利支出：反映单位开支的在职职工和编制外长期聘用人员的各类劳动报酬，以及为上述人员缴纳的各项社会保险费等。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十五、津贴补贴：反映经国家批准建立的机关事业单位艰苦边远地区津贴、机关工作人员地区附加津贴、机关工作人员岗位津贴、事业单位工作人员特殊岗位津贴补贴等。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十六、奖金：反映机关工作人员年终一次性奖金。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十七、绩效工资：反映事业单位工作人员的绩效工资。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十八、机关事业单位基本养老保险缴费：反映机关事业单位缴纳的基本养老保险费。由单位代扣的工作人员基本养老保险缴费，不在此科目反映。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十九、职业年金缴费：反映机关事业单位实际缴纳的职业年金支出。由单位代扣的工作人员职业年金缴费，不在此科目反映。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二十、职工基本医疗保险缴费：反映单位为职工缴纳的基本医疗保险费。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二十一、其他社会保障缴费：反映单位为职工缴纳的基本医疗、失业、工伤、生育等社会保险费，残疾人就业保障金，军队（含武警）为军人缴纳的伤亡、退役医疗等社会保险费。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二十二、住房公积金：反映行政事业单位按人力资源和社会保障部、财政部规定的基本工资和津贴补贴以及规定比例为职工缴纳的住房公积金。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二十四、商品和服务支出：反映单位购买商品和服务的支出（不包括用于购置固定资产的支出、战略性和应急储备支出）。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二十五、办公费：反映单位购买按财务会计制度规定不符合固定资产确认标准的日常办公用品、书报杂志等支出。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二十六、印刷费：反映单位的印刷费支出。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二十七、邮电费：反映单位开支的信函、包裹、货物等物品的邮寄费及电话费、电报费、传真费、网络通讯费等。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二十八、差旅费：反映单位工作人员出差发生的城市间交通费、住宿费、伙食补贴费和市内交通费。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二十九、培训费：反映除因公出国（境）培训费以外的各类培训支出。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三十、工会经费：反映单位按规定提取的工会经费。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三十一、公务用车运行维护费：反映单位按规定保留的公务用车燃料费、维修费、过桥过路费、保险费、安全奖励费用等支出。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三十二、其他交通费用：反映单位除公务用车运行维护费以外的其他交通费用。如公务交通补贴，租车费用、出租车费用，飞机、船舶等的燃料费、维修费、保险费等。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三十三、其他商品和服务支出：反映上述科目未包括的日常公用支出。如行政赔偿费和诉讼费、国内组织的会员费、来访费、广告宣传、其他劳务费及离休人员特需费、公用经费等。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三十四、对个人和家庭的补助：反映政府用于对个人和家庭的补助支出。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三十五、退休费：反映行政事业单位和军队移交政府安置的退休人员的退休费和其他补贴。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三十六、办公设备购置：反映用于购置并按财务会计制度规定纳入固定资产核算范围的办公家具和办公设备的支出，以及按规定提取的修购基金。</w:t>
      </w:r>
    </w:p>
    <w:p>
      <w:pPr>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br w:type="page"/>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第五部分</w:t>
      </w: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附件</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1、2021年部门决算公开表格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2、2021年度部门整体支出绩效评价报告</w:t>
      </w:r>
    </w:p>
    <w:p>
      <w:pPr>
        <w:ind w:firstLine="640" w:firstLineChars="200"/>
        <w:jc w:val="left"/>
        <w:rPr>
          <w:rFonts w:cs="黑体" w:asciiTheme="minorEastAsia" w:hAnsiTheme="minorEastAsia"/>
          <w:color w:val="000000"/>
          <w:kern w:val="0"/>
          <w:sz w:val="32"/>
          <w:szCs w:val="32"/>
        </w:rPr>
      </w:pPr>
    </w:p>
    <w:sectPr>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YzBkNzgwZTc4YmNlMGYyZGY3MGE5OGUxMjI5ZDQifQ=="/>
  </w:docVars>
  <w:rsids>
    <w:rsidRoot w:val="00172A27"/>
    <w:rsid w:val="0002229B"/>
    <w:rsid w:val="000273BD"/>
    <w:rsid w:val="000415B7"/>
    <w:rsid w:val="00041E3F"/>
    <w:rsid w:val="00055DAA"/>
    <w:rsid w:val="00061F7B"/>
    <w:rsid w:val="000658A3"/>
    <w:rsid w:val="00074155"/>
    <w:rsid w:val="000873EF"/>
    <w:rsid w:val="000A3F69"/>
    <w:rsid w:val="00103957"/>
    <w:rsid w:val="00116FBE"/>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B7969"/>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9A614C"/>
    <w:rsid w:val="02AF2763"/>
    <w:rsid w:val="030A3124"/>
    <w:rsid w:val="03F500EB"/>
    <w:rsid w:val="05633A58"/>
    <w:rsid w:val="064B0CD1"/>
    <w:rsid w:val="06B411F0"/>
    <w:rsid w:val="06EA4661"/>
    <w:rsid w:val="070538EB"/>
    <w:rsid w:val="07603D6B"/>
    <w:rsid w:val="07CA4C15"/>
    <w:rsid w:val="087403E0"/>
    <w:rsid w:val="08AF4190"/>
    <w:rsid w:val="09130222"/>
    <w:rsid w:val="0BE56081"/>
    <w:rsid w:val="0C1E11CC"/>
    <w:rsid w:val="0C6C74B2"/>
    <w:rsid w:val="0D0A5FDF"/>
    <w:rsid w:val="0D2053AF"/>
    <w:rsid w:val="0EFE0665"/>
    <w:rsid w:val="10504BF7"/>
    <w:rsid w:val="10542ED9"/>
    <w:rsid w:val="13B75232"/>
    <w:rsid w:val="13BE003E"/>
    <w:rsid w:val="14345FA8"/>
    <w:rsid w:val="153012B1"/>
    <w:rsid w:val="153521C3"/>
    <w:rsid w:val="17A87124"/>
    <w:rsid w:val="19321279"/>
    <w:rsid w:val="198406C2"/>
    <w:rsid w:val="1AC25C00"/>
    <w:rsid w:val="1AFC55C5"/>
    <w:rsid w:val="1B8718BD"/>
    <w:rsid w:val="1C7E0EFA"/>
    <w:rsid w:val="1D00274A"/>
    <w:rsid w:val="1D3179D8"/>
    <w:rsid w:val="1D6B1BCD"/>
    <w:rsid w:val="1E652520"/>
    <w:rsid w:val="1F70071E"/>
    <w:rsid w:val="20233FE4"/>
    <w:rsid w:val="207A511C"/>
    <w:rsid w:val="20F36681"/>
    <w:rsid w:val="251848D6"/>
    <w:rsid w:val="251A637B"/>
    <w:rsid w:val="252117FE"/>
    <w:rsid w:val="253D11E7"/>
    <w:rsid w:val="272B348D"/>
    <w:rsid w:val="27DB542D"/>
    <w:rsid w:val="290F13DE"/>
    <w:rsid w:val="294B43E0"/>
    <w:rsid w:val="2951260C"/>
    <w:rsid w:val="297213DA"/>
    <w:rsid w:val="2CB03309"/>
    <w:rsid w:val="2D0003AF"/>
    <w:rsid w:val="2D096502"/>
    <w:rsid w:val="2F52536F"/>
    <w:rsid w:val="2F826F8F"/>
    <w:rsid w:val="2FA05E8A"/>
    <w:rsid w:val="2FD4002F"/>
    <w:rsid w:val="30A003C1"/>
    <w:rsid w:val="30B1364A"/>
    <w:rsid w:val="30F869DC"/>
    <w:rsid w:val="314C6763"/>
    <w:rsid w:val="316700A6"/>
    <w:rsid w:val="33B47147"/>
    <w:rsid w:val="347271FA"/>
    <w:rsid w:val="34D65ECE"/>
    <w:rsid w:val="358A7898"/>
    <w:rsid w:val="35D97A1E"/>
    <w:rsid w:val="361D66F0"/>
    <w:rsid w:val="363453AC"/>
    <w:rsid w:val="366364DD"/>
    <w:rsid w:val="370B6762"/>
    <w:rsid w:val="37C61FCD"/>
    <w:rsid w:val="386D3477"/>
    <w:rsid w:val="38A37E8A"/>
    <w:rsid w:val="3A2006D0"/>
    <w:rsid w:val="3AE02614"/>
    <w:rsid w:val="3AF14AE7"/>
    <w:rsid w:val="3B086FEC"/>
    <w:rsid w:val="3B2C234D"/>
    <w:rsid w:val="3B9D0ED2"/>
    <w:rsid w:val="3BB960B0"/>
    <w:rsid w:val="3C345A33"/>
    <w:rsid w:val="3C816684"/>
    <w:rsid w:val="3D034EFE"/>
    <w:rsid w:val="3DC83A3D"/>
    <w:rsid w:val="3F4B3416"/>
    <w:rsid w:val="40635190"/>
    <w:rsid w:val="42471970"/>
    <w:rsid w:val="42526F3A"/>
    <w:rsid w:val="43B32F29"/>
    <w:rsid w:val="44D5083A"/>
    <w:rsid w:val="44F36095"/>
    <w:rsid w:val="45713BCC"/>
    <w:rsid w:val="45F9639D"/>
    <w:rsid w:val="46E313D3"/>
    <w:rsid w:val="47E06849"/>
    <w:rsid w:val="483C2B04"/>
    <w:rsid w:val="4856511D"/>
    <w:rsid w:val="48ED43E7"/>
    <w:rsid w:val="49A27FA6"/>
    <w:rsid w:val="4A9A02FF"/>
    <w:rsid w:val="4ABD5BB6"/>
    <w:rsid w:val="4B2265F1"/>
    <w:rsid w:val="4B2409BF"/>
    <w:rsid w:val="4C993A62"/>
    <w:rsid w:val="4D440E5A"/>
    <w:rsid w:val="4DA572E6"/>
    <w:rsid w:val="4E9009AC"/>
    <w:rsid w:val="4F43539D"/>
    <w:rsid w:val="502C4AD6"/>
    <w:rsid w:val="511A3E9A"/>
    <w:rsid w:val="54DF5B6F"/>
    <w:rsid w:val="55781574"/>
    <w:rsid w:val="561F34E1"/>
    <w:rsid w:val="57835DB8"/>
    <w:rsid w:val="5827196A"/>
    <w:rsid w:val="5C165EE4"/>
    <w:rsid w:val="5EC24854"/>
    <w:rsid w:val="60A907EA"/>
    <w:rsid w:val="6145544E"/>
    <w:rsid w:val="61D0489F"/>
    <w:rsid w:val="61EB46D7"/>
    <w:rsid w:val="635C0724"/>
    <w:rsid w:val="64077397"/>
    <w:rsid w:val="649D2B1C"/>
    <w:rsid w:val="64E56931"/>
    <w:rsid w:val="66ED6582"/>
    <w:rsid w:val="69601685"/>
    <w:rsid w:val="69705D75"/>
    <w:rsid w:val="69841538"/>
    <w:rsid w:val="6A1E0EEC"/>
    <w:rsid w:val="6A2707EE"/>
    <w:rsid w:val="6C480AA4"/>
    <w:rsid w:val="6D3F16DD"/>
    <w:rsid w:val="7060179F"/>
    <w:rsid w:val="72370BE2"/>
    <w:rsid w:val="72D8269D"/>
    <w:rsid w:val="73213C95"/>
    <w:rsid w:val="74783063"/>
    <w:rsid w:val="74BC20C5"/>
    <w:rsid w:val="74F934CC"/>
    <w:rsid w:val="75220BF3"/>
    <w:rsid w:val="759A7DD8"/>
    <w:rsid w:val="777D05DE"/>
    <w:rsid w:val="786C2F6A"/>
    <w:rsid w:val="78C71D86"/>
    <w:rsid w:val="79880435"/>
    <w:rsid w:val="798D77BD"/>
    <w:rsid w:val="7BA6739A"/>
    <w:rsid w:val="7BC06D08"/>
    <w:rsid w:val="7D1F7C58"/>
    <w:rsid w:val="7D9A2DE9"/>
    <w:rsid w:val="7E8A1565"/>
    <w:rsid w:val="7EBA3C5F"/>
    <w:rsid w:val="7F013B96"/>
    <w:rsid w:val="7F792FE4"/>
    <w:rsid w:val="7FA0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6457</Words>
  <Characters>6811</Characters>
  <Lines>69</Lines>
  <Paragraphs>19</Paragraphs>
  <TotalTime>29</TotalTime>
  <ScaleCrop>false</ScaleCrop>
  <LinksUpToDate>false</LinksUpToDate>
  <CharactersWithSpaces>6840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文印室</cp:lastModifiedBy>
  <cp:lastPrinted>2022-07-27T12:55:00Z</cp:lastPrinted>
  <dcterms:modified xsi:type="dcterms:W3CDTF">2022-09-26T08:04:25Z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C02081F76A1C414C807C3137DC2EA958</vt:lpwstr>
  </property>
</Properties>
</file>