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ascii="黑体" w:hAnsi="黑体" w:eastAsia="黑体" w:cs="黑体"/>
          <w:bCs/>
          <w:sz w:val="32"/>
          <w:szCs w:val="32"/>
        </w:rPr>
      </w:pPr>
      <w:r>
        <w:rPr>
          <w:rFonts w:hint="eastAsia" w:ascii="黑体" w:hAnsi="黑体" w:eastAsia="黑体" w:cs="黑体"/>
          <w:bCs/>
          <w:sz w:val="32"/>
          <w:szCs w:val="32"/>
        </w:rPr>
        <w:t>附件2-1</w:t>
      </w:r>
    </w:p>
    <w:p>
      <w:pPr>
        <w:spacing w:line="348" w:lineRule="auto"/>
        <w:jc w:val="center"/>
        <w:rPr>
          <w:rFonts w:eastAsia="方正小标宋简体"/>
          <w:bCs/>
          <w:sz w:val="42"/>
          <w:szCs w:val="42"/>
        </w:rPr>
      </w:pPr>
    </w:p>
    <w:p>
      <w:pPr>
        <w:spacing w:line="800" w:lineRule="exact"/>
        <w:jc w:val="center"/>
        <w:rPr>
          <w:rFonts w:eastAsia="方正小标宋简体"/>
          <w:bCs/>
          <w:sz w:val="46"/>
          <w:szCs w:val="46"/>
        </w:rPr>
      </w:pPr>
      <w:r>
        <w:rPr>
          <w:rFonts w:hint="eastAsia" w:eastAsia="方正小标宋简体"/>
          <w:bCs/>
          <w:sz w:val="46"/>
          <w:szCs w:val="46"/>
        </w:rPr>
        <w:t>岳阳市202</w:t>
      </w:r>
      <w:r>
        <w:rPr>
          <w:rFonts w:hint="eastAsia" w:eastAsia="方正小标宋简体"/>
          <w:bCs/>
          <w:sz w:val="46"/>
          <w:szCs w:val="46"/>
          <w:lang w:val="en-US" w:eastAsia="zh-CN"/>
        </w:rPr>
        <w:t>1</w:t>
      </w:r>
      <w:r>
        <w:rPr>
          <w:rFonts w:hint="eastAsia" w:eastAsia="方正小标宋简体"/>
          <w:bCs/>
          <w:sz w:val="46"/>
          <w:szCs w:val="46"/>
        </w:rPr>
        <w:t>年度部门整体支出</w:t>
      </w:r>
    </w:p>
    <w:p>
      <w:pPr>
        <w:spacing w:line="800" w:lineRule="exact"/>
        <w:jc w:val="center"/>
        <w:rPr>
          <w:rFonts w:eastAsia="方正小标宋简体"/>
          <w:bCs/>
          <w:sz w:val="46"/>
          <w:szCs w:val="46"/>
        </w:rPr>
      </w:pPr>
      <w:r>
        <w:rPr>
          <w:rFonts w:hint="eastAsia" w:eastAsia="方正小标宋简体"/>
          <w:bCs/>
          <w:sz w:val="46"/>
          <w:szCs w:val="46"/>
        </w:rPr>
        <w:t>绩效评价自评报告</w:t>
      </w:r>
    </w:p>
    <w:p>
      <w:pPr>
        <w:rPr>
          <w:rFonts w:eastAsia="仿宋_GB2312"/>
          <w:b/>
          <w:sz w:val="32"/>
        </w:rPr>
      </w:pPr>
    </w:p>
    <w:p>
      <w:pPr>
        <w:rPr>
          <w:rFonts w:eastAsia="仿宋_GB2312"/>
          <w:b/>
          <w:sz w:val="32"/>
        </w:rPr>
      </w:pPr>
    </w:p>
    <w:p>
      <w:pPr>
        <w:rPr>
          <w:rFonts w:eastAsia="仿宋_GB2312"/>
          <w:b/>
          <w:sz w:val="32"/>
        </w:rPr>
      </w:pPr>
    </w:p>
    <w:p>
      <w:pPr>
        <w:spacing w:beforeLines="50" w:line="348" w:lineRule="auto"/>
        <w:ind w:firstLine="476" w:firstLineChars="150"/>
        <w:rPr>
          <w:rFonts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eastAsia="zh-CN"/>
        </w:rPr>
        <w:t>岳阳市第二社会福利院</w:t>
      </w:r>
      <w:r>
        <w:rPr>
          <w:rFonts w:hint="eastAsia" w:eastAsia="仿宋_GB2312"/>
          <w:sz w:val="32"/>
          <w:szCs w:val="32"/>
          <w:u w:val="single"/>
        </w:rPr>
        <w:t xml:space="preserve">                     </w:t>
      </w:r>
    </w:p>
    <w:p>
      <w:pPr>
        <w:spacing w:beforeLines="50" w:line="348" w:lineRule="auto"/>
        <w:ind w:firstLine="476" w:firstLineChars="150"/>
        <w:rPr>
          <w:rFonts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403006</w:t>
      </w:r>
      <w:r>
        <w:rPr>
          <w:rFonts w:hint="eastAsia" w:eastAsia="仿宋_GB2312"/>
          <w:spacing w:val="20"/>
          <w:sz w:val="32"/>
          <w:szCs w:val="32"/>
          <w:u w:val="single"/>
        </w:rPr>
        <w:t xml:space="preserve">                  </w:t>
      </w:r>
    </w:p>
    <w:p>
      <w:pPr>
        <w:spacing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pPr>
        <w:spacing w:beforeLines="50" w:line="348" w:lineRule="auto"/>
        <w:ind w:firstLine="476" w:firstLineChars="150"/>
        <w:rPr>
          <w:rFonts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348" w:lineRule="auto"/>
        <w:jc w:val="center"/>
        <w:rPr>
          <w:rFonts w:eastAsia="仿宋_GB2312"/>
          <w:sz w:val="32"/>
        </w:rPr>
      </w:pPr>
      <w:r>
        <w:rPr>
          <w:rFonts w:hint="eastAsia" w:eastAsia="仿宋_GB2312"/>
          <w:sz w:val="32"/>
        </w:rPr>
        <w:t xml:space="preserve">报告日期： </w:t>
      </w:r>
      <w:r>
        <w:rPr>
          <w:rFonts w:hint="eastAsia" w:eastAsia="仿宋_GB2312"/>
          <w:sz w:val="32"/>
          <w:lang w:val="en-US" w:eastAsia="zh-CN"/>
        </w:rPr>
        <w:t>2022</w:t>
      </w:r>
      <w:r>
        <w:rPr>
          <w:rFonts w:hint="eastAsia" w:eastAsia="仿宋_GB2312"/>
          <w:sz w:val="32"/>
        </w:rPr>
        <w:t xml:space="preserve">  年  </w:t>
      </w:r>
      <w:r>
        <w:rPr>
          <w:rFonts w:hint="eastAsia" w:eastAsia="仿宋_GB2312"/>
          <w:sz w:val="32"/>
          <w:lang w:val="en-US" w:eastAsia="zh-CN"/>
        </w:rPr>
        <w:t>6</w:t>
      </w:r>
      <w:r>
        <w:rPr>
          <w:rFonts w:hint="eastAsia" w:eastAsia="仿宋_GB2312"/>
          <w:sz w:val="32"/>
        </w:rPr>
        <w:t xml:space="preserve"> 月</w:t>
      </w:r>
      <w:r>
        <w:rPr>
          <w:rFonts w:hint="eastAsia" w:eastAsia="仿宋_GB2312"/>
          <w:sz w:val="32"/>
          <w:lang w:val="en-US" w:eastAsia="zh-CN"/>
        </w:rPr>
        <w:t xml:space="preserve">  12</w:t>
      </w:r>
      <w:r>
        <w:rPr>
          <w:rFonts w:hint="eastAsia" w:eastAsia="仿宋_GB2312"/>
          <w:sz w:val="32"/>
        </w:rPr>
        <w:t xml:space="preserve">  日</w:t>
      </w:r>
    </w:p>
    <w:p>
      <w:pPr>
        <w:autoSpaceDN w:val="0"/>
        <w:jc w:val="center"/>
        <w:textAlignment w:val="center"/>
        <w:rPr>
          <w:rFonts w:eastAsia="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247" w:right="1588" w:bottom="1247"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6"/>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080"/>
        <w:gridCol w:w="210"/>
        <w:gridCol w:w="1145"/>
        <w:gridCol w:w="272"/>
        <w:gridCol w:w="808"/>
        <w:gridCol w:w="1479"/>
        <w:gridCol w:w="226"/>
        <w:gridCol w:w="196"/>
        <w:gridCol w:w="259"/>
        <w:gridCol w:w="1080"/>
        <w:gridCol w:w="265"/>
        <w:gridCol w:w="139"/>
        <w:gridCol w:w="444"/>
        <w:gridCol w:w="4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余丽萍</w:t>
            </w:r>
          </w:p>
        </w:tc>
        <w:tc>
          <w:tcPr>
            <w:tcW w:w="1479"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8"/>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13873051992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28</w:t>
            </w:r>
          </w:p>
        </w:tc>
        <w:tc>
          <w:tcPr>
            <w:tcW w:w="1479"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106" w:type="dxa"/>
            <w:gridSpan w:val="8"/>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50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为残疾人劳动就业提供保障，社会老年人的寄养，社会孤寡老人和残疾退休老人的护养及相关社会服务。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64"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5"/>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任务1：</w:t>
            </w:r>
            <w:r>
              <w:rPr>
                <w:rFonts w:hint="eastAsia" w:ascii="仿宋_GB2312" w:hAnsi="仿宋_GB2312" w:eastAsia="仿宋_GB2312" w:cs="仿宋_GB2312"/>
                <w:color w:val="000000"/>
                <w:sz w:val="24"/>
                <w:lang w:eastAsia="zh-CN"/>
              </w:rPr>
              <w:t>完成上缴财政非税收入</w:t>
            </w:r>
            <w:r>
              <w:rPr>
                <w:rFonts w:hint="eastAsia" w:ascii="仿宋_GB2312" w:hAnsi="仿宋_GB2312" w:eastAsia="仿宋_GB2312" w:cs="仿宋_GB2312"/>
                <w:color w:val="000000"/>
                <w:sz w:val="24"/>
                <w:lang w:val="en-US" w:eastAsia="zh-CN"/>
              </w:rPr>
              <w:t>150万元</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任务2：</w:t>
            </w:r>
            <w:r>
              <w:rPr>
                <w:rFonts w:hint="eastAsia" w:ascii="仿宋_GB2312" w:hAnsi="仿宋_GB2312" w:eastAsia="仿宋_GB2312" w:cs="仿宋_GB2312"/>
                <w:color w:val="000000"/>
                <w:sz w:val="24"/>
                <w:lang w:eastAsia="zh-CN"/>
              </w:rPr>
              <w:t>保障对流浪人员的收养工作</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任务3：</w:t>
            </w:r>
            <w:r>
              <w:rPr>
                <w:rFonts w:hint="eastAsia" w:ascii="仿宋_GB2312" w:hAnsi="仿宋_GB2312" w:eastAsia="仿宋_GB2312" w:cs="仿宋_GB2312"/>
                <w:color w:val="000000"/>
                <w:sz w:val="24"/>
                <w:lang w:eastAsia="zh-CN"/>
              </w:rPr>
              <w:t>对社会老年人的寄养工作</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26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本单位全年共接收社会孤寡老人</w:t>
            </w:r>
            <w:r>
              <w:rPr>
                <w:rFonts w:hint="eastAsia" w:ascii="仿宋_GB2312" w:hAnsi="仿宋_GB2312" w:eastAsia="仿宋_GB2312" w:cs="仿宋_GB2312"/>
                <w:color w:val="000000"/>
                <w:sz w:val="24"/>
                <w:lang w:val="en-US" w:eastAsia="zh-CN"/>
              </w:rPr>
              <w:t>29人次，接受流浪乞讨的三无人员共41人次，接收社会老年人寄养150多人次，安排居家养老上门服务215户，医院陪护118余人次，培训安排居家养护员49人次，完成上缴财政非税收入款164.21万元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3"/>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700" w:type="dxa"/>
            <w:gridSpan w:val="3"/>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第二福利院</w:t>
            </w:r>
          </w:p>
        </w:tc>
        <w:tc>
          <w:tcPr>
            <w:tcW w:w="1080" w:type="dxa"/>
            <w:tcBorders>
              <w:right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801.09</w:t>
            </w:r>
          </w:p>
        </w:tc>
        <w:tc>
          <w:tcPr>
            <w:tcW w:w="1355" w:type="dxa"/>
            <w:gridSpan w:val="2"/>
            <w:tcBorders>
              <w:left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105.72</w:t>
            </w:r>
          </w:p>
        </w:tc>
        <w:tc>
          <w:tcPr>
            <w:tcW w:w="1080" w:type="dxa"/>
            <w:gridSpan w:val="2"/>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644.41</w:t>
            </w:r>
          </w:p>
        </w:tc>
        <w:tc>
          <w:tcPr>
            <w:tcW w:w="1705" w:type="dxa"/>
            <w:gridSpan w:val="2"/>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p>
        </w:tc>
        <w:tc>
          <w:tcPr>
            <w:tcW w:w="180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50.96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pPr>
              <w:snapToGri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675" w:type="dxa"/>
            <w:gridSpan w:val="9"/>
            <w:tcBorders>
              <w:left w:val="single" w:color="auto" w:sz="4" w:space="0"/>
              <w:bottom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345" w:type="dxa"/>
            <w:gridSpan w:val="4"/>
            <w:tcBorders>
              <w:left w:val="single" w:color="auto" w:sz="4" w:space="0"/>
              <w:bottom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240" w:type="dxa"/>
            <w:gridSpan w:val="6"/>
            <w:tcBorders>
              <w:top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0" w:type="dxa"/>
            <w:vMerge w:val="restart"/>
            <w:tcBorders>
              <w:top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848" w:type="dxa"/>
            <w:gridSpan w:val="3"/>
            <w:vMerge w:val="restart"/>
            <w:tcBorders>
              <w:top w:val="single" w:color="auto" w:sz="4" w:space="0"/>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497" w:type="dxa"/>
            <w:vMerge w:val="restart"/>
            <w:tcBorders>
              <w:top w:val="single" w:color="auto" w:sz="4" w:space="0"/>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48" w:type="dxa"/>
            <w:gridSpan w:val="3"/>
            <w:vMerge w:val="continue"/>
            <w:tcBorders>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497" w:type="dxa"/>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14" w:hRule="atLeast"/>
          <w:jc w:val="center"/>
        </w:trPr>
        <w:tc>
          <w:tcPr>
            <w:tcW w:w="1700" w:type="dxa"/>
            <w:gridSpan w:val="3"/>
            <w:vAlign w:val="center"/>
          </w:tcPr>
          <w:p>
            <w:pPr>
              <w:spacing w:line="320" w:lineRule="exact"/>
              <w:jc w:val="left"/>
              <w:rPr>
                <w:rFonts w:ascii="仿宋_GB2312" w:hAnsi="仿宋_GB2312" w:eastAsia="仿宋_GB2312" w:cs="仿宋_GB2312"/>
                <w:color w:val="000000"/>
                <w:sz w:val="24"/>
              </w:rPr>
            </w:pPr>
            <w:r>
              <w:rPr>
                <w:rFonts w:hint="eastAsia" w:ascii="仿宋_GB2312" w:hAnsi="仿宋_GB2312" w:eastAsia="仿宋_GB2312" w:cs="仿宋_GB2312"/>
                <w:sz w:val="24"/>
                <w:lang w:eastAsia="zh-CN"/>
              </w:rPr>
              <w:t>第二福利院</w:t>
            </w:r>
          </w:p>
        </w:tc>
        <w:tc>
          <w:tcPr>
            <w:tcW w:w="1080" w:type="dxa"/>
            <w:tcBorders>
              <w:right w:val="single" w:color="auto" w:sz="4" w:space="0"/>
            </w:tcBorders>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801.09</w:t>
            </w:r>
          </w:p>
        </w:tc>
        <w:tc>
          <w:tcPr>
            <w:tcW w:w="1355" w:type="dxa"/>
            <w:gridSpan w:val="2"/>
            <w:tcBorders>
              <w:left w:val="single" w:color="auto" w:sz="4" w:space="0"/>
            </w:tcBorders>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801.09</w:t>
            </w:r>
          </w:p>
        </w:tc>
        <w:tc>
          <w:tcPr>
            <w:tcW w:w="1080" w:type="dxa"/>
            <w:gridSpan w:val="2"/>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443.09</w:t>
            </w:r>
          </w:p>
        </w:tc>
        <w:tc>
          <w:tcPr>
            <w:tcW w:w="2160" w:type="dxa"/>
            <w:gridSpan w:val="4"/>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358.00</w:t>
            </w:r>
          </w:p>
        </w:tc>
        <w:tc>
          <w:tcPr>
            <w:tcW w:w="1080" w:type="dxa"/>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48" w:type="dxa"/>
            <w:gridSpan w:val="3"/>
            <w:tcBorders>
              <w:right w:val="single" w:color="auto" w:sz="4" w:space="0"/>
            </w:tcBorders>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p>
        </w:tc>
        <w:tc>
          <w:tcPr>
            <w:tcW w:w="497" w:type="dxa"/>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24" w:hRule="atLeast"/>
          <w:jc w:val="center"/>
        </w:trPr>
        <w:tc>
          <w:tcPr>
            <w:tcW w:w="1700" w:type="dxa"/>
            <w:gridSpan w:val="3"/>
            <w:vMerge w:val="restart"/>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3"/>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85"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lang w:eastAsia="zh-CN"/>
              </w:rPr>
              <w:t>第二福利院</w:t>
            </w:r>
          </w:p>
        </w:tc>
        <w:tc>
          <w:tcPr>
            <w:tcW w:w="1080" w:type="dxa"/>
            <w:tcBorders>
              <w:right w:val="single" w:color="auto" w:sz="4" w:space="0"/>
            </w:tcBorders>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p>
        </w:tc>
        <w:tc>
          <w:tcPr>
            <w:tcW w:w="1355" w:type="dxa"/>
            <w:gridSpan w:val="2"/>
            <w:tcBorders>
              <w:left w:val="single" w:color="auto" w:sz="4" w:space="0"/>
            </w:tcBorders>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84" w:hRule="atLeast"/>
          <w:jc w:val="center"/>
        </w:trPr>
        <w:tc>
          <w:tcPr>
            <w:tcW w:w="1700" w:type="dxa"/>
            <w:gridSpan w:val="3"/>
            <w:vMerge w:val="restart"/>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1"/>
            <w:tcBorders>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vMerge w:val="restart"/>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99"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7"/>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lang w:eastAsia="zh-CN"/>
              </w:rPr>
              <w:t>第二福利院</w:t>
            </w:r>
          </w:p>
        </w:tc>
        <w:tc>
          <w:tcPr>
            <w:tcW w:w="1080" w:type="dxa"/>
            <w:tcBorders>
              <w:right w:val="single" w:color="auto" w:sz="4" w:space="0"/>
            </w:tcBorders>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868.55</w:t>
            </w:r>
          </w:p>
        </w:tc>
        <w:tc>
          <w:tcPr>
            <w:tcW w:w="2435" w:type="dxa"/>
            <w:gridSpan w:val="4"/>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868.55</w:t>
            </w:r>
          </w:p>
        </w:tc>
        <w:tc>
          <w:tcPr>
            <w:tcW w:w="364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82"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97" w:hRule="atLeast"/>
          <w:jc w:val="center"/>
        </w:trPr>
        <w:tc>
          <w:tcPr>
            <w:tcW w:w="1441" w:type="dxa"/>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85" w:type="dxa"/>
            <w:gridSpan w:val="9"/>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33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3774" w:type="dxa"/>
            <w:gridSpan w:val="7"/>
            <w:vAlign w:val="center"/>
          </w:tcPr>
          <w:p>
            <w:pPr>
              <w:autoSpaceDN w:val="0"/>
              <w:spacing w:line="320" w:lineRule="exact"/>
              <w:ind w:left="1200" w:hanging="1200" w:hangingChars="500"/>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目标1：</w:t>
            </w:r>
            <w:r>
              <w:rPr>
                <w:rFonts w:hint="eastAsia" w:ascii="仿宋_GB2312" w:hAnsi="仿宋_GB2312" w:eastAsia="仿宋_GB2312" w:cs="仿宋_GB2312"/>
                <w:color w:val="000000"/>
                <w:sz w:val="24"/>
                <w:lang w:eastAsia="zh-CN"/>
              </w:rPr>
              <w:t>完成上缴财政非税收入款</w:t>
            </w:r>
            <w:r>
              <w:rPr>
                <w:rFonts w:hint="eastAsia" w:ascii="仿宋_GB2312" w:hAnsi="仿宋_GB2312" w:eastAsia="仿宋_GB2312" w:cs="仿宋_GB2312"/>
                <w:color w:val="000000"/>
                <w:sz w:val="24"/>
                <w:lang w:val="en-US" w:eastAsia="zh-CN"/>
              </w:rPr>
              <w:t>150万元</w:t>
            </w:r>
          </w:p>
          <w:p>
            <w:pPr>
              <w:autoSpaceDN w:val="0"/>
              <w:spacing w:line="320" w:lineRule="exact"/>
              <w:ind w:left="960" w:hanging="960" w:hangingChars="400"/>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目标2：</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lang w:eastAsia="zh-CN"/>
              </w:rPr>
              <w:t>保障对流浪人员的收养工作</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目标3</w:t>
            </w:r>
            <w:r>
              <w:rPr>
                <w:rFonts w:hint="eastAsia" w:ascii="仿宋_GB2312" w:hAnsi="仿宋_GB2312" w:eastAsia="仿宋_GB2312" w:cs="仿宋_GB2312"/>
                <w:color w:val="000000"/>
                <w:sz w:val="24"/>
                <w:lang w:eastAsia="zh-CN"/>
              </w:rPr>
              <w:t>：对社会老年人的寄养工作</w:t>
            </w:r>
          </w:p>
          <w:p>
            <w:pPr>
              <w:autoSpaceDN w:val="0"/>
              <w:spacing w:line="320" w:lineRule="exact"/>
              <w:jc w:val="left"/>
              <w:textAlignment w:val="center"/>
              <w:rPr>
                <w:rFonts w:ascii="仿宋_GB2312" w:hAnsi="仿宋_GB2312" w:eastAsia="仿宋_GB2312" w:cs="仿宋_GB2312"/>
                <w:color w:val="000000"/>
                <w:sz w:val="24"/>
              </w:rPr>
            </w:pPr>
          </w:p>
        </w:tc>
        <w:tc>
          <w:tcPr>
            <w:tcW w:w="4585" w:type="dxa"/>
            <w:gridSpan w:val="9"/>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接收社会孤寡老人</w:t>
            </w:r>
            <w:r>
              <w:rPr>
                <w:rFonts w:hint="eastAsia" w:ascii="仿宋_GB2312" w:hAnsi="仿宋_GB2312" w:eastAsia="仿宋_GB2312" w:cs="仿宋_GB2312"/>
                <w:color w:val="000000"/>
                <w:sz w:val="24"/>
                <w:lang w:val="en-US" w:eastAsia="zh-CN"/>
              </w:rPr>
              <w:t>29人次，接受流浪乞讨的三无人员共41人次，接收社会老年人寄养150多人次，安排居家养老上门服务215户，医院陪护118余人次，培训安排居家养护员49人次，完成上缴财政非税收入款164.21万元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84"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3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709" w:type="dxa"/>
            <w:gridSpan w:val="4"/>
            <w:vAlign w:val="center"/>
          </w:tcPr>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提升养老服务水平</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多次组织护理员培训学习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5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spacing w:line="320" w:lineRule="exact"/>
              <w:rPr>
                <w:rFonts w:ascii="仿宋_GB2312" w:hAnsi="仿宋_GB2312" w:eastAsia="仿宋_GB2312" w:cs="仿宋_GB2312"/>
                <w:sz w:val="24"/>
              </w:rPr>
            </w:pPr>
          </w:p>
        </w:tc>
        <w:tc>
          <w:tcPr>
            <w:tcW w:w="2709" w:type="dxa"/>
            <w:gridSpan w:val="4"/>
            <w:vAlign w:val="center"/>
          </w:tcPr>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推进医养融合发展</w:t>
            </w:r>
          </w:p>
        </w:tc>
        <w:tc>
          <w:tcPr>
            <w:tcW w:w="2684" w:type="dxa"/>
            <w:gridSpan w:val="6"/>
            <w:tcBorders/>
            <w:vAlign w:val="center"/>
          </w:tcPr>
          <w:p>
            <w:pPr>
              <w:autoSpaceDN w:val="0"/>
              <w:spacing w:line="320" w:lineRule="exact"/>
              <w:jc w:val="center"/>
              <w:textAlignment w:val="center"/>
              <w:rPr>
                <w:rFonts w:hint="eastAsia"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多次与医疗卫生单位合作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709" w:type="dxa"/>
            <w:gridSpan w:val="4"/>
            <w:vAlign w:val="center"/>
          </w:tcPr>
          <w:p>
            <w:pPr>
              <w:autoSpaceDN w:val="0"/>
              <w:spacing w:line="320" w:lineRule="exact"/>
              <w:jc w:val="left"/>
              <w:textAlignment w:val="center"/>
              <w:rPr>
                <w:rFonts w:hint="default"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接收三无人员</w:t>
            </w:r>
            <w:r>
              <w:rPr>
                <w:rFonts w:hint="eastAsia" w:ascii="仿宋_GB2312" w:hAnsi="仿宋_GB2312" w:eastAsia="仿宋_GB2312" w:cs="仿宋_GB2312"/>
                <w:color w:val="000000"/>
                <w:sz w:val="24"/>
                <w:lang w:val="en-US" w:eastAsia="zh-CN"/>
              </w:rPr>
              <w:t>20人次</w:t>
            </w:r>
          </w:p>
        </w:tc>
        <w:tc>
          <w:tcPr>
            <w:tcW w:w="2684" w:type="dxa"/>
            <w:gridSpan w:val="6"/>
            <w:vAlign w:val="center"/>
          </w:tcPr>
          <w:p>
            <w:pPr>
              <w:autoSpaceDN w:val="0"/>
              <w:spacing w:line="320" w:lineRule="exact"/>
              <w:jc w:val="center"/>
              <w:textAlignment w:val="center"/>
              <w:rPr>
                <w:rFonts w:hint="default"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完成接收三无人员</w:t>
            </w:r>
            <w:r>
              <w:rPr>
                <w:rFonts w:hint="eastAsia" w:ascii="仿宋_GB2312" w:hAnsi="仿宋_GB2312" w:eastAsia="仿宋_GB2312" w:cs="仿宋_GB2312"/>
                <w:b/>
                <w:color w:val="000000"/>
                <w:sz w:val="24"/>
                <w:lang w:val="en-US" w:eastAsia="zh-CN"/>
              </w:rPr>
              <w:t>41人次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9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sz w:val="24"/>
              </w:rPr>
            </w:pPr>
          </w:p>
        </w:tc>
        <w:tc>
          <w:tcPr>
            <w:tcW w:w="2709" w:type="dxa"/>
            <w:gridSpan w:val="4"/>
            <w:vAlign w:val="center"/>
          </w:tcPr>
          <w:p>
            <w:pPr>
              <w:autoSpaceDN w:val="0"/>
              <w:spacing w:line="320" w:lineRule="exact"/>
              <w:jc w:val="left"/>
              <w:textAlignment w:val="center"/>
              <w:rPr>
                <w:rFonts w:hint="default"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接收社会老年人</w:t>
            </w:r>
          </w:p>
        </w:tc>
        <w:tc>
          <w:tcPr>
            <w:tcW w:w="2684" w:type="dxa"/>
            <w:gridSpan w:val="6"/>
            <w:tcBorders/>
            <w:vAlign w:val="center"/>
          </w:tcPr>
          <w:p>
            <w:pPr>
              <w:autoSpaceDN w:val="0"/>
              <w:spacing w:line="320" w:lineRule="exact"/>
              <w:jc w:val="center"/>
              <w:textAlignment w:val="center"/>
              <w:rPr>
                <w:rFonts w:hint="default"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接收社会老年人寄养</w:t>
            </w:r>
            <w:r>
              <w:rPr>
                <w:rFonts w:hint="eastAsia" w:ascii="仿宋_GB2312" w:hAnsi="仿宋_GB2312" w:eastAsia="仿宋_GB2312" w:cs="仿宋_GB2312"/>
                <w:b/>
                <w:color w:val="000000"/>
                <w:sz w:val="24"/>
                <w:lang w:val="en-US" w:eastAsia="zh-CN"/>
              </w:rPr>
              <w:t>150多人次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709" w:type="dxa"/>
            <w:gridSpan w:val="4"/>
            <w:vAlign w:val="center"/>
          </w:tcPr>
          <w:p>
            <w:pPr>
              <w:autoSpaceDN w:val="0"/>
              <w:spacing w:line="320" w:lineRule="exact"/>
              <w:jc w:val="left"/>
              <w:textAlignment w:val="center"/>
              <w:rPr>
                <w:rFonts w:hint="default"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年度上缴财政收入</w:t>
            </w:r>
            <w:r>
              <w:rPr>
                <w:rFonts w:hint="eastAsia" w:ascii="仿宋_GB2312" w:hAnsi="仿宋_GB2312" w:eastAsia="仿宋_GB2312" w:cs="仿宋_GB2312"/>
                <w:color w:val="000000"/>
                <w:sz w:val="24"/>
                <w:lang w:val="en-US" w:eastAsia="zh-CN"/>
              </w:rPr>
              <w:t>150万元</w:t>
            </w:r>
          </w:p>
        </w:tc>
        <w:tc>
          <w:tcPr>
            <w:tcW w:w="2684" w:type="dxa"/>
            <w:gridSpan w:val="6"/>
            <w:vAlign w:val="center"/>
          </w:tcPr>
          <w:p>
            <w:pPr>
              <w:autoSpaceDN w:val="0"/>
              <w:spacing w:line="320" w:lineRule="exact"/>
              <w:jc w:val="center"/>
              <w:textAlignment w:val="center"/>
              <w:rPr>
                <w:rFonts w:hint="default"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实际本年度完成上缴财政非税收入款</w:t>
            </w:r>
            <w:r>
              <w:rPr>
                <w:rFonts w:hint="eastAsia" w:ascii="仿宋_GB2312" w:hAnsi="仿宋_GB2312" w:eastAsia="仿宋_GB2312" w:cs="仿宋_GB2312"/>
                <w:b/>
                <w:color w:val="000000"/>
                <w:sz w:val="24"/>
                <w:lang w:val="en-US" w:eastAsia="zh-CN"/>
              </w:rPr>
              <w:t>164.21万元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8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709" w:type="dxa"/>
            <w:gridSpan w:val="4"/>
            <w:vAlign w:val="center"/>
          </w:tcPr>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完成居家养老芋头田服务站建设</w:t>
            </w:r>
          </w:p>
        </w:tc>
        <w:tc>
          <w:tcPr>
            <w:tcW w:w="2684" w:type="dxa"/>
            <w:gridSpan w:val="6"/>
            <w:tcBorders/>
            <w:vAlign w:val="center"/>
          </w:tcPr>
          <w:p>
            <w:pPr>
              <w:autoSpaceDN w:val="0"/>
              <w:spacing w:line="320" w:lineRule="exact"/>
              <w:jc w:val="center"/>
              <w:textAlignment w:val="center"/>
              <w:rPr>
                <w:rFonts w:hint="eastAsia"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年度内已完成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3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709" w:type="dxa"/>
            <w:gridSpan w:val="4"/>
            <w:vAlign w:val="center"/>
          </w:tcPr>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护理员工资</w:t>
            </w:r>
            <w:r>
              <w:rPr>
                <w:rFonts w:hint="eastAsia" w:ascii="仿宋_GB2312" w:hAnsi="仿宋_GB2312" w:eastAsia="仿宋_GB2312" w:cs="仿宋_GB2312"/>
                <w:color w:val="000000"/>
                <w:sz w:val="24"/>
                <w:lang w:val="en-US" w:eastAsia="zh-CN"/>
              </w:rPr>
              <w:t>160万元</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实际护理员工资支出</w:t>
            </w:r>
            <w:r>
              <w:rPr>
                <w:rFonts w:hint="eastAsia" w:ascii="仿宋_GB2312" w:hAnsi="仿宋_GB2312" w:eastAsia="仿宋_GB2312" w:cs="仿宋_GB2312"/>
                <w:b/>
                <w:color w:val="000000"/>
                <w:sz w:val="24"/>
                <w:lang w:val="en-US" w:eastAsia="zh-CN"/>
              </w:rPr>
              <w:t>159.86万元左右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4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709" w:type="dxa"/>
            <w:gridSpan w:val="4"/>
            <w:vAlign w:val="center"/>
          </w:tcPr>
          <w:p>
            <w:pPr>
              <w:autoSpaceDN w:val="0"/>
              <w:spacing w:line="320" w:lineRule="exact"/>
              <w:jc w:val="left"/>
              <w:textAlignment w:val="center"/>
              <w:rPr>
                <w:rFonts w:hint="default"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水电支出</w:t>
            </w:r>
            <w:r>
              <w:rPr>
                <w:rFonts w:hint="eastAsia" w:ascii="仿宋_GB2312" w:hAnsi="仿宋_GB2312" w:eastAsia="仿宋_GB2312" w:cs="仿宋_GB2312"/>
                <w:color w:val="000000"/>
                <w:sz w:val="24"/>
                <w:lang w:val="en-US" w:eastAsia="zh-CN"/>
              </w:rPr>
              <w:t>25万元</w:t>
            </w:r>
          </w:p>
        </w:tc>
        <w:tc>
          <w:tcPr>
            <w:tcW w:w="2684" w:type="dxa"/>
            <w:gridSpan w:val="6"/>
            <w:tcBorders/>
            <w:vAlign w:val="center"/>
          </w:tcPr>
          <w:p>
            <w:pPr>
              <w:autoSpaceDN w:val="0"/>
              <w:spacing w:line="320" w:lineRule="exact"/>
              <w:jc w:val="center"/>
              <w:textAlignment w:val="center"/>
              <w:rPr>
                <w:rFonts w:hint="default"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实际支出水电费</w:t>
            </w:r>
            <w:r>
              <w:rPr>
                <w:rFonts w:hint="eastAsia" w:ascii="仿宋_GB2312" w:hAnsi="仿宋_GB2312" w:eastAsia="仿宋_GB2312" w:cs="仿宋_GB2312"/>
                <w:b/>
                <w:color w:val="000000"/>
                <w:sz w:val="24"/>
                <w:lang w:val="en-US" w:eastAsia="zh-CN"/>
              </w:rPr>
              <w:t>20万元左右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07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709"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满足老年人老有所养的需要</w:t>
            </w:r>
          </w:p>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保护老年人权益，</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lang w:eastAsia="zh-CN"/>
              </w:rPr>
              <w:t>提升养老服务水平</w:t>
            </w:r>
          </w:p>
          <w:p>
            <w:pPr>
              <w:autoSpaceDN w:val="0"/>
              <w:spacing w:line="320" w:lineRule="exact"/>
              <w:ind w:left="1170" w:leftChars="100" w:hanging="960" w:hangingChars="400"/>
              <w:jc w:val="both"/>
              <w:textAlignment w:val="center"/>
              <w:rPr>
                <w:rFonts w:hint="eastAsia" w:ascii="仿宋_GB2312" w:hAnsi="仿宋_GB2312" w:eastAsia="仿宋_GB2312" w:cs="仿宋_GB2312"/>
                <w:color w:val="000000"/>
                <w:kern w:val="2"/>
                <w:sz w:val="24"/>
                <w:szCs w:val="24"/>
                <w:lang w:val="en-US" w:eastAsia="zh-CN" w:bidi="ar-SA"/>
              </w:rPr>
            </w:pP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满足了老年人老有所养的需要，大大提高了护理员的服务水平。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9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709" w:type="dxa"/>
            <w:gridSpan w:val="4"/>
            <w:vAlign w:val="center"/>
          </w:tcPr>
          <w:p>
            <w:pPr>
              <w:autoSpaceDN w:val="0"/>
              <w:spacing w:line="320" w:lineRule="exact"/>
              <w:ind w:left="720" w:hanging="720" w:hangingChars="300"/>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上缴财政非税收入款</w:t>
            </w:r>
            <w:r>
              <w:rPr>
                <w:rFonts w:hint="eastAsia" w:ascii="仿宋_GB2312" w:hAnsi="仿宋_GB2312" w:eastAsia="仿宋_GB2312" w:cs="仿宋_GB2312"/>
                <w:color w:val="000000"/>
                <w:sz w:val="24"/>
                <w:lang w:val="en-US" w:eastAsia="zh-CN"/>
              </w:rPr>
              <w:t>150万元</w:t>
            </w:r>
          </w:p>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p>
        </w:tc>
        <w:tc>
          <w:tcPr>
            <w:tcW w:w="2684" w:type="dxa"/>
            <w:gridSpan w:val="6"/>
            <w:vAlign w:val="center"/>
          </w:tcPr>
          <w:p>
            <w:pPr>
              <w:autoSpaceDN w:val="0"/>
              <w:spacing w:line="320" w:lineRule="exact"/>
              <w:jc w:val="center"/>
              <w:textAlignment w:val="center"/>
              <w:rPr>
                <w:rFonts w:hint="default"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实际完成上缴财政非税收入款</w:t>
            </w:r>
            <w:r>
              <w:rPr>
                <w:rFonts w:hint="eastAsia" w:ascii="仿宋_GB2312" w:hAnsi="仿宋_GB2312" w:eastAsia="仿宋_GB2312" w:cs="仿宋_GB2312"/>
                <w:b/>
                <w:color w:val="000000"/>
                <w:sz w:val="24"/>
                <w:lang w:val="en-US" w:eastAsia="zh-CN"/>
              </w:rPr>
              <w:t>164.21万元。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08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709" w:type="dxa"/>
            <w:gridSpan w:val="4"/>
            <w:vAlign w:val="center"/>
          </w:tcPr>
          <w:p>
            <w:pPr>
              <w:autoSpaceDN w:val="0"/>
              <w:spacing w:line="320" w:lineRule="exact"/>
              <w:ind w:left="720" w:hanging="720" w:hangingChars="300"/>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安置流浪乞讨人员，维护社会安定</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安置社会孤寡老人</w:t>
            </w:r>
          </w:p>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3：院内环境改造，降低能耗指标</w:t>
            </w:r>
          </w:p>
        </w:tc>
        <w:tc>
          <w:tcPr>
            <w:tcW w:w="2684" w:type="dxa"/>
            <w:gridSpan w:val="6"/>
            <w:vAlign w:val="center"/>
          </w:tcPr>
          <w:p>
            <w:pPr>
              <w:autoSpaceDN w:val="0"/>
              <w:spacing w:line="320" w:lineRule="exact"/>
              <w:jc w:val="center"/>
              <w:textAlignment w:val="center"/>
              <w:rPr>
                <w:rFonts w:hint="default"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院内环境进行了改造，安置社会孤寡老人</w:t>
            </w:r>
            <w:r>
              <w:rPr>
                <w:rFonts w:hint="eastAsia" w:ascii="仿宋_GB2312" w:hAnsi="仿宋_GB2312" w:eastAsia="仿宋_GB2312" w:cs="仿宋_GB2312"/>
                <w:b/>
                <w:color w:val="000000"/>
                <w:sz w:val="24"/>
                <w:lang w:val="en-US" w:eastAsia="zh-CN"/>
              </w:rPr>
              <w:t>29人次，接收流浪乞讨人员41人次，维护了社会的安定。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47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709" w:type="dxa"/>
            <w:gridSpan w:val="4"/>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让老人感受到党的温暖和政府的人为关怀</w:t>
            </w:r>
          </w:p>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kern w:val="2"/>
                <w:sz w:val="24"/>
                <w:szCs w:val="24"/>
                <w:lang w:val="en-US" w:eastAsia="zh-CN" w:bidi="ar-SA"/>
              </w:rPr>
            </w:pPr>
            <w:r>
              <w:rPr>
                <w:rFonts w:hint="eastAsia" w:ascii="仿宋_GB2312" w:hAnsi="仿宋_GB2312" w:eastAsia="仿宋_GB2312" w:cs="仿宋_GB2312"/>
                <w:b/>
                <w:color w:val="000000"/>
                <w:sz w:val="24"/>
                <w:lang w:eastAsia="zh-CN"/>
              </w:rPr>
              <w:t>提升了服务水平，推进了医养融合发展，让老人的晚年生活更幸福。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2"/>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8"/>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胡喜军</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院长</w:t>
            </w:r>
          </w:p>
        </w:tc>
        <w:tc>
          <w:tcPr>
            <w:tcW w:w="1479" w:type="dxa"/>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市二福利院</w:t>
            </w:r>
          </w:p>
        </w:tc>
        <w:tc>
          <w:tcPr>
            <w:tcW w:w="3106" w:type="dxa"/>
            <w:gridSpan w:val="8"/>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兰碧海</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副院长</w:t>
            </w:r>
          </w:p>
        </w:tc>
        <w:tc>
          <w:tcPr>
            <w:tcW w:w="1479"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市二福利院</w:t>
            </w:r>
          </w:p>
        </w:tc>
        <w:tc>
          <w:tcPr>
            <w:tcW w:w="3106" w:type="dxa"/>
            <w:gridSpan w:val="8"/>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余丽萍</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会计</w:t>
            </w:r>
          </w:p>
        </w:tc>
        <w:tc>
          <w:tcPr>
            <w:tcW w:w="1479"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市二福利院</w:t>
            </w:r>
          </w:p>
        </w:tc>
        <w:tc>
          <w:tcPr>
            <w:tcW w:w="3106" w:type="dxa"/>
            <w:gridSpan w:val="8"/>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561"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479" w:type="dxa"/>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106" w:type="dxa"/>
            <w:gridSpan w:val="8"/>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800" w:type="dxa"/>
            <w:gridSpan w:val="17"/>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800" w:type="dxa"/>
            <w:gridSpan w:val="17"/>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94" w:hRule="atLeast"/>
          <w:jc w:val="center"/>
        </w:trPr>
        <w:tc>
          <w:tcPr>
            <w:tcW w:w="9800" w:type="dxa"/>
            <w:gridSpan w:val="17"/>
            <w:vAlign w:val="center"/>
          </w:tcPr>
          <w:p>
            <w:pPr>
              <w:spacing w:line="320" w:lineRule="exact"/>
              <w:rPr>
                <w:rFonts w:eastAsia="仿宋_GB2312"/>
                <w:sz w:val="24"/>
              </w:rPr>
            </w:pPr>
            <w:r>
              <w:rPr>
                <w:rFonts w:hint="eastAsia" w:eastAsia="仿宋_GB2312"/>
                <w:sz w:val="24"/>
              </w:rPr>
              <w:t>财政部门归口业务科室意见：</w:t>
            </w: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r>
              <w:rPr>
                <w:rFonts w:hint="eastAsia" w:eastAsia="仿宋_GB2312"/>
                <w:sz w:val="24"/>
              </w:rPr>
              <w:t xml:space="preserve">                                  财政部门归口业务科室负责人（签章）：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eastAsia="仿宋_GB2312"/>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 xml:space="preserve">填报人（签名）： </w:t>
      </w:r>
      <w:r>
        <w:rPr>
          <w:rFonts w:hint="eastAsia" w:eastAsia="仿宋_GB2312" w:cs="仿宋_GB2312"/>
          <w:bCs/>
          <w:sz w:val="28"/>
          <w:szCs w:val="28"/>
          <w:lang w:eastAsia="zh-CN"/>
        </w:rPr>
        <w:t>余丽萍</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13873051992</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Pr>
          <w:p>
            <w:pPr>
              <w:jc w:val="center"/>
              <w:rPr>
                <w:rFonts w:ascii="黑体" w:hAnsi="黑体" w:eastAsia="黑体" w:cs="黑体"/>
                <w:bCs/>
                <w:sz w:val="28"/>
                <w:szCs w:val="28"/>
              </w:rPr>
            </w:pPr>
            <w:r>
              <w:rPr>
                <w:rFonts w:hint="eastAsia" w:ascii="黑体" w:hAnsi="黑体" w:eastAsia="黑体" w:cs="黑体"/>
                <w:bCs/>
                <w:sz w:val="28"/>
                <w:szCs w:val="28"/>
              </w:rPr>
              <w:t>五、评价报告综述（文字部分）</w:t>
            </w:r>
          </w:p>
          <w:p>
            <w:pPr>
              <w:spacing w:line="440" w:lineRule="exact"/>
              <w:ind w:firstLine="640" w:firstLineChars="200"/>
              <w:rPr>
                <w:rFonts w:eastAsia="仿宋_GB2312"/>
                <w:sz w:val="32"/>
                <w:szCs w:val="32"/>
              </w:rPr>
            </w:pPr>
          </w:p>
          <w:p>
            <w:pPr>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一、部门（单位）概况</w:t>
            </w:r>
          </w:p>
          <w:p>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（一）</w:t>
            </w:r>
            <w:r>
              <w:rPr>
                <w:rFonts w:hint="eastAsia" w:ascii="仿宋_GB2312" w:hAnsi="仿宋_GB2312" w:eastAsia="仿宋_GB2312" w:cs="仿宋_GB2312"/>
                <w:bCs/>
                <w:sz w:val="28"/>
                <w:szCs w:val="28"/>
                <w:lang w:eastAsia="zh-CN"/>
              </w:rPr>
              <w:t>本</w:t>
            </w:r>
            <w:r>
              <w:rPr>
                <w:rFonts w:hint="eastAsia" w:ascii="仿宋_GB2312" w:hAnsi="仿宋_GB2312" w:eastAsia="仿宋_GB2312" w:cs="仿宋_GB2312"/>
                <w:bCs/>
                <w:sz w:val="28"/>
                <w:szCs w:val="28"/>
              </w:rPr>
              <w:t>单位</w:t>
            </w:r>
            <w:r>
              <w:rPr>
                <w:rFonts w:hint="eastAsia" w:ascii="仿宋_GB2312" w:hAnsi="仿宋_GB2312" w:eastAsia="仿宋_GB2312" w:cs="仿宋_GB2312"/>
                <w:bCs/>
                <w:sz w:val="28"/>
                <w:szCs w:val="28"/>
                <w:lang w:eastAsia="zh-CN"/>
              </w:rPr>
              <w:t>系市民政局一个下属机构。</w:t>
            </w:r>
          </w:p>
          <w:p>
            <w:pPr>
              <w:spacing w:line="560" w:lineRule="exact"/>
              <w:ind w:firstLine="560" w:firstLineChars="200"/>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bCs/>
                <w:sz w:val="28"/>
                <w:szCs w:val="28"/>
              </w:rPr>
              <w:t>（二）</w:t>
            </w:r>
            <w:r>
              <w:rPr>
                <w:rFonts w:hint="eastAsia" w:ascii="仿宋_GB2312" w:hAnsi="仿宋_GB2312" w:eastAsia="仿宋_GB2312" w:cs="仿宋_GB2312"/>
                <w:bCs/>
                <w:sz w:val="28"/>
                <w:szCs w:val="28"/>
                <w:lang w:eastAsia="zh-CN"/>
              </w:rPr>
              <w:t>机构职能：</w:t>
            </w:r>
            <w:r>
              <w:rPr>
                <w:rFonts w:hint="eastAsia" w:ascii="仿宋_GB2312" w:hAnsi="仿宋_GB2312" w:eastAsia="仿宋_GB2312" w:cs="仿宋_GB2312"/>
                <w:color w:val="000000"/>
                <w:sz w:val="28"/>
                <w:szCs w:val="28"/>
                <w:lang w:eastAsia="zh-CN"/>
              </w:rPr>
              <w:t>为残疾人劳动就业提供保障，对社会老年人的寄养，社会孤寡老人和残疾退休老人的护养及相关社会服务。</w:t>
            </w:r>
          </w:p>
          <w:p>
            <w:pPr>
              <w:spacing w:line="560" w:lineRule="exact"/>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eastAsia="zh-CN"/>
              </w:rPr>
              <w:t>（三）整体支出为</w:t>
            </w:r>
            <w:r>
              <w:rPr>
                <w:rFonts w:hint="eastAsia" w:ascii="仿宋_GB2312" w:hAnsi="仿宋_GB2312" w:eastAsia="仿宋_GB2312" w:cs="仿宋_GB2312"/>
                <w:color w:val="000000"/>
                <w:sz w:val="28"/>
                <w:szCs w:val="28"/>
                <w:lang w:val="en-US" w:eastAsia="zh-CN"/>
              </w:rPr>
              <w:t>801.09万元，其中：基本支出801.09万元，确保了社会老年人及社会孤寡老人的护养工作。</w:t>
            </w:r>
          </w:p>
          <w:p>
            <w:pPr>
              <w:spacing w:line="560" w:lineRule="exact"/>
              <w:ind w:firstLine="560" w:firstLineChars="200"/>
              <w:rPr>
                <w:rFonts w:hint="eastAsia" w:ascii="仿宋" w:hAnsi="仿宋" w:eastAsia="仿宋" w:cs="仿宋"/>
                <w:bCs/>
                <w:sz w:val="28"/>
                <w:szCs w:val="28"/>
              </w:rPr>
            </w:pPr>
            <w:r>
              <w:rPr>
                <w:rFonts w:hint="eastAsia" w:ascii="黑体" w:hAnsi="黑体" w:eastAsia="黑体" w:cs="黑体"/>
                <w:bCs/>
                <w:sz w:val="28"/>
                <w:szCs w:val="28"/>
              </w:rPr>
              <w:t>二、部门（单位）整体支出管理及使用情况</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eastAsia="zh-CN"/>
              </w:rPr>
              <w:t>本年度支出总额</w:t>
            </w:r>
            <w:r>
              <w:rPr>
                <w:rFonts w:hint="eastAsia" w:ascii="仿宋_GB2312" w:hAnsi="仿宋_GB2312" w:eastAsia="仿宋_GB2312" w:cs="仿宋_GB2312"/>
                <w:bCs/>
                <w:sz w:val="28"/>
                <w:szCs w:val="28"/>
                <w:lang w:val="en-US" w:eastAsia="zh-CN"/>
              </w:rPr>
              <w:t>801.09万元，全部为基本支出，主要用于：工资福利支出246.10万元，占本年支出 30.72%，商品的服务支出为355.44万元，占本年支出44.36%，对个人和家庭的补助支出为196.99万元，占本年支出的24.59%，资本性支出为2.56万元，占本年支出的0.33%。</w:t>
            </w: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三、部门（单位）专项组织实施情况</w:t>
            </w:r>
          </w:p>
          <w:p>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（一）专项组织情况分析</w:t>
            </w:r>
          </w:p>
          <w:p>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（二）专项管理情况分析</w:t>
            </w: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四、部门（单位）整体支出绩效情况</w:t>
            </w:r>
          </w:p>
          <w:p>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本单位全年共接收社会孤寡老人</w:t>
            </w:r>
            <w:r>
              <w:rPr>
                <w:rFonts w:hint="eastAsia" w:ascii="仿宋_GB2312" w:hAnsi="仿宋_GB2312" w:eastAsia="仿宋_GB2312" w:cs="仿宋_GB2312"/>
                <w:bCs/>
                <w:sz w:val="28"/>
                <w:szCs w:val="28"/>
                <w:lang w:val="en-US" w:eastAsia="zh-CN"/>
              </w:rPr>
              <w:t>29人次，接受流浪乞讨的三无人员共41人次，接收社会老年人寄养150多人次，安排居家养老上门服务215户，医院陪护118余人次，培训安排居家养护员49人次，完成上缴财政非税收入款164.21万元。</w:t>
            </w:r>
          </w:p>
          <w:p>
            <w:pPr>
              <w:numPr>
                <w:ilvl w:val="0"/>
                <w:numId w:val="2"/>
              </w:num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存在的主要问题</w:t>
            </w:r>
          </w:p>
          <w:p>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因部门整体支出的预算资金安排和使用上仍有不可预见性，还需加强预算管理，科学编制预算。随着人们生活水平的逐步提高，各项资金的投入就更需加大。</w:t>
            </w:r>
          </w:p>
          <w:p>
            <w:pPr>
              <w:numPr>
                <w:ilvl w:val="0"/>
                <w:numId w:val="2"/>
              </w:numPr>
              <w:spacing w:line="560" w:lineRule="exact"/>
              <w:ind w:left="0" w:leftChars="0" w:firstLine="560" w:firstLineChars="200"/>
              <w:rPr>
                <w:rFonts w:hint="eastAsia" w:ascii="黑体" w:hAnsi="黑体" w:eastAsia="黑体" w:cs="黑体"/>
                <w:bCs/>
                <w:sz w:val="28"/>
                <w:szCs w:val="28"/>
              </w:rPr>
            </w:pPr>
            <w:r>
              <w:rPr>
                <w:rFonts w:hint="eastAsia" w:ascii="黑体" w:hAnsi="黑体" w:eastAsia="黑体" w:cs="黑体"/>
                <w:bCs/>
                <w:sz w:val="28"/>
                <w:szCs w:val="28"/>
              </w:rPr>
              <w:t>改进措施和有关建议</w:t>
            </w:r>
          </w:p>
          <w:p>
            <w:pPr>
              <w:spacing w:line="560" w:lineRule="exact"/>
              <w:ind w:firstLine="560" w:firstLineChars="200"/>
              <w:rPr>
                <w:rFonts w:hint="eastAsia" w:ascii="仿宋_GB2312" w:hAnsi="仿宋_GB2312" w:eastAsia="仿宋_GB2312" w:cs="仿宋_GB2312"/>
                <w:bCs/>
                <w:sz w:val="28"/>
                <w:szCs w:val="28"/>
                <w:lang w:eastAsia="zh-CN"/>
              </w:rPr>
            </w:pPr>
            <w:bookmarkStart w:id="0" w:name="_GoBack"/>
            <w:r>
              <w:rPr>
                <w:rFonts w:hint="eastAsia" w:ascii="仿宋_GB2312" w:hAnsi="仿宋_GB2312" w:eastAsia="仿宋_GB2312" w:cs="仿宋_GB2312"/>
                <w:bCs/>
                <w:sz w:val="28"/>
                <w:szCs w:val="28"/>
                <w:lang w:eastAsia="zh-CN"/>
              </w:rPr>
              <w:t>加强各部门协作、社会参与机制，整合社会资源，优化社会资源配置，建立监督机制，加大奖惩力度；加强各部门的队伍建设和业务指导，培养部门的绩效管理队伍，建立绩效评价的长期机制。</w:t>
            </w:r>
          </w:p>
          <w:bookmarkEnd w:id="0"/>
          <w:p>
            <w:pPr>
              <w:numPr>
                <w:ilvl w:val="0"/>
                <w:numId w:val="0"/>
              </w:numPr>
              <w:spacing w:line="560" w:lineRule="exact"/>
              <w:ind w:leftChars="200"/>
              <w:rPr>
                <w:rFonts w:hint="eastAsia" w:ascii="黑体" w:hAnsi="黑体" w:eastAsia="黑体" w:cs="黑体"/>
                <w:bCs/>
                <w:sz w:val="28"/>
                <w:szCs w:val="28"/>
              </w:rPr>
            </w:pPr>
          </w:p>
          <w:p>
            <w:pPr>
              <w:rPr>
                <w:rFonts w:eastAsia="楷体_GB2312"/>
                <w:bCs/>
                <w:sz w:val="28"/>
                <w:szCs w:val="28"/>
              </w:rPr>
            </w:pPr>
          </w:p>
        </w:tc>
      </w:tr>
    </w:tbl>
    <w:p>
      <w:pPr>
        <w:spacing w:line="348" w:lineRule="auto"/>
        <w:rPr>
          <w:rFonts w:eastAsia="楷体_GB2312"/>
          <w:bCs/>
          <w:sz w:val="28"/>
          <w:szCs w:val="28"/>
        </w:rPr>
      </w:pPr>
    </w:p>
    <w:p>
      <w:pPr>
        <w:rPr>
          <w:rFonts w:ascii="黑体" w:hAnsi="黑体" w:eastAsia="黑体"/>
          <w:sz w:val="32"/>
          <w:szCs w:val="32"/>
        </w:rPr>
      </w:pPr>
      <w:r>
        <w:rPr>
          <w:rFonts w:eastAsia="楷体_GB2312"/>
          <w:bCs/>
          <w:sz w:val="28"/>
          <w:szCs w:val="28"/>
        </w:rPr>
        <w:br w:type="page"/>
      </w:r>
    </w:p>
    <w:p>
      <w:pPr>
        <w:rPr>
          <w:rFonts w:ascii="黑体" w:hAnsi="黑体" w:eastAsia="黑体"/>
          <w:sz w:val="32"/>
          <w:szCs w:val="32"/>
        </w:rPr>
      </w:pPr>
      <w:r>
        <w:rPr>
          <w:rFonts w:hint="eastAsia" w:ascii="黑体" w:hAnsi="黑体" w:eastAsia="黑体"/>
          <w:sz w:val="32"/>
          <w:szCs w:val="32"/>
        </w:rPr>
        <w:t>附件3-1</w:t>
      </w:r>
    </w:p>
    <w:p>
      <w:pPr>
        <w:spacing w:beforeLines="100" w:afterLines="100"/>
        <w:jc w:val="center"/>
        <w:rPr>
          <w:rFonts w:ascii="方正小标宋简体" w:eastAsia="方正小标宋简体"/>
          <w:sz w:val="38"/>
          <w:szCs w:val="38"/>
        </w:rPr>
      </w:pPr>
      <w:r>
        <w:rPr>
          <w:rFonts w:hint="eastAsia" w:ascii="方正小标宋简体" w:eastAsia="方正小标宋简体"/>
          <w:sz w:val="38"/>
          <w:szCs w:val="38"/>
        </w:rPr>
        <w:t>部门整体支出绩效评价评分表（参考样表）</w:t>
      </w:r>
    </w:p>
    <w:tbl>
      <w:tblPr>
        <w:tblStyle w:val="6"/>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投  入</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预算配置</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lang w:val="en-US" w:eastAsia="zh-CN" w:bidi="ar-SA"/>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“三公经费”</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lang w:val="en-US" w:eastAsia="zh-CN" w:bidi="ar-SA"/>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重点支出</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lang w:val="en-US" w:eastAsia="zh-CN" w:bidi="ar-SA"/>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预算执行</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lang w:val="en-US" w:eastAsia="zh-CN" w:bidi="ar-SA"/>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春节前下达全部专项资金的50%；6月底前所有专项资金指标全部下达完。</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eastAsia="zh-CN"/>
              </w:rPr>
              <w:t>支付进度有所偏差</w:t>
            </w: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lang w:val="en-US" w:eastAsia="zh-CN" w:bidi="ar-SA"/>
              </w:rPr>
            </w:pP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“三公经费”</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6</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lang w:val="en-US" w:eastAsia="zh-CN" w:bidi="ar-SA"/>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预算管理</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管理制度</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①已制定或具有预算资金管理办法，内部财务管理制度、会计核算制度等管理制度，1分；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②相关管理制度合法、合规、完整，1分；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lang w:val="en-US" w:eastAsia="zh-CN" w:bidi="ar-SA"/>
              </w:rPr>
            </w:pP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资金使用</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①支出符合国家财经法规和财务管理制度规定以及有关专项资金管理办法的规定；</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②资金拨付有完整的审批程序和手续；</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③项目支出按规定经过评估论证；</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④支出符合部门预算批复的用途；</w:t>
            </w:r>
          </w:p>
          <w:p>
            <w:pPr>
              <w:widowControl/>
              <w:spacing w:line="240" w:lineRule="exact"/>
              <w:jc w:val="left"/>
              <w:rPr>
                <w:rFonts w:hint="eastAsia" w:ascii="仿宋_GB2312" w:hAnsi="宋体" w:eastAsia="仿宋_GB2312" w:cs="宋体"/>
                <w:spacing w:val="-6"/>
                <w:kern w:val="0"/>
                <w:sz w:val="18"/>
                <w:szCs w:val="18"/>
                <w:lang w:eastAsia="zh-CN"/>
              </w:rPr>
            </w:pPr>
            <w:r>
              <w:rPr>
                <w:rFonts w:hint="eastAsia" w:ascii="仿宋_GB2312" w:hAnsi="宋体" w:eastAsia="仿宋_GB2312" w:cs="宋体"/>
                <w:spacing w:val="-6"/>
                <w:kern w:val="0"/>
                <w:sz w:val="18"/>
                <w:szCs w:val="18"/>
              </w:rPr>
              <w:t>⑤资金使用无截留、挤占、挪用、虚列支出等情况。</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lang w:val="en-US" w:eastAsia="zh-CN" w:bidi="ar-SA"/>
              </w:rPr>
            </w:pP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①按规定内容公开预决算信息，1分；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②按规定时限公开预决算信息，0.5分；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③基础数据信息和会计信息资料真实，0.5分；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④基础数据信息和会计信息资料完整，0.5分；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政府采购执行率等于100%的，得3分；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both"/>
              <w:rPr>
                <w:rFonts w:hint="eastAsia"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公务卡刷卡率达50％以上的，得3分。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资产管理</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管理制度</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①已制定或具有资产管理制度，且相关资产管理制度合法、合规、完整，2分；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bl>
    <w:p/>
    <w:tbl>
      <w:tblPr>
        <w:tblStyle w:val="6"/>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资产管理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资产管理</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①资产保存完整；</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②资产配置合理；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 xml:space="preserve">③资产处置规范； </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④资产账务管理合规，帐实相符；</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⑤资产有偿使用及处置收入及时足额上缴；</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3</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eastAsia="zh-CN"/>
              </w:rPr>
              <w:t>因工作性质资产处置的时间有些没到年限</w:t>
            </w:r>
          </w:p>
        </w:tc>
      </w:tr>
      <w:tr>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固定资产</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CN"/>
              </w:rPr>
              <w:t>根据当年年末综合绩效考评情况评分</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10</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10</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效  果</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履职效益</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此三项指标为设置部门整体支出绩效评价指标时必须考虑的共性要素。</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15</w:t>
            </w:r>
          </w:p>
          <w:p>
            <w:pPr>
              <w:widowControl/>
              <w:spacing w:line="240" w:lineRule="exact"/>
              <w:jc w:val="center"/>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lang w:val="en-US" w:eastAsia="zh-CN" w:bidi="ar-SA"/>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b/>
                <w:bCs/>
                <w:kern w:val="0"/>
                <w:sz w:val="18"/>
                <w:szCs w:val="18"/>
                <w:lang w:val="en-US" w:eastAsia="zh-CN" w:bidi="ar-SA"/>
              </w:rPr>
            </w:pPr>
            <w:r>
              <w:rPr>
                <w:rFonts w:hint="eastAsia" w:ascii="仿宋_GB2312" w:hAnsi="宋体" w:eastAsia="仿宋_GB2312" w:cs="宋体"/>
                <w:b/>
                <w:bCs/>
                <w:kern w:val="0"/>
                <w:sz w:val="18"/>
                <w:szCs w:val="18"/>
                <w:lang w:val="en-US" w:eastAsia="zh-CN"/>
              </w:rPr>
              <w:t>98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lang w:val="en-US" w:eastAsia="zh-CN" w:bidi="ar-SA"/>
              </w:rPr>
            </w:pPr>
          </w:p>
        </w:tc>
      </w:tr>
    </w:tbl>
    <w:p>
      <w:pPr>
        <w:spacing w:beforeLines="50"/>
        <w:rPr>
          <w:rFonts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备注：如部门（单位）根据本部门实际情况修改调整了附件3《部门整体支出绩效评价指标体系（参考样表）》，须相应修改调整本表中的对应部分。</w:t>
      </w:r>
    </w:p>
    <w:p>
      <w:pPr>
        <w:spacing w:beforeLines="50" w:line="560" w:lineRule="exact"/>
        <w:rPr>
          <w:rFonts w:hint="eastAsia" w:ascii="黑体" w:hAnsi="黑体" w:eastAsia="黑体"/>
          <w:sz w:val="32"/>
          <w:szCs w:val="32"/>
        </w:rPr>
      </w:pPr>
    </w:p>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sz w:val="24"/>
        <w:szCs w:val="24"/>
      </w:rPr>
    </w:pPr>
    <w:r>
      <w:rPr>
        <w:rStyle w:val="8"/>
        <w:rFonts w:hint="eastAsia"/>
        <w:sz w:val="24"/>
        <w:szCs w:val="24"/>
      </w:rPr>
      <w:t xml:space="preserve">— </w:t>
    </w:r>
    <w:r>
      <w:rPr>
        <w:sz w:val="24"/>
        <w:szCs w:val="24"/>
      </w:rPr>
      <w:fldChar w:fldCharType="begin"/>
    </w:r>
    <w:r>
      <w:rPr>
        <w:rStyle w:val="8"/>
        <w:sz w:val="24"/>
        <w:szCs w:val="24"/>
      </w:rPr>
      <w:instrText xml:space="preserve">PAGE  </w:instrText>
    </w:r>
    <w:r>
      <w:rPr>
        <w:sz w:val="24"/>
        <w:szCs w:val="24"/>
      </w:rPr>
      <w:fldChar w:fldCharType="separate"/>
    </w:r>
    <w:r>
      <w:rPr>
        <w:rStyle w:val="8"/>
        <w:sz w:val="24"/>
        <w:szCs w:val="24"/>
      </w:rPr>
      <w:t>9</w:t>
    </w:r>
    <w:r>
      <w:rPr>
        <w:sz w:val="24"/>
        <w:szCs w:val="24"/>
      </w:rPr>
      <w:fldChar w:fldCharType="end"/>
    </w:r>
    <w:r>
      <w:rPr>
        <w:rStyle w:val="8"/>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5"/>
      <w:lvlText w:val="%1."/>
      <w:lvlJc w:val="left"/>
      <w:pPr>
        <w:tabs>
          <w:tab w:val="left" w:pos="780"/>
        </w:tabs>
        <w:ind w:left="780" w:hanging="360"/>
      </w:pPr>
    </w:lvl>
  </w:abstractNum>
  <w:abstractNum w:abstractNumId="1">
    <w:nsid w:val="38342126"/>
    <w:multiLevelType w:val="singleLevel"/>
    <w:tmpl w:val="38342126"/>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3"/>
  <w:drawingGridVerticalSpacing w:val="30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RiYzBkNzgwZTc4YmNlMGYyZGY3MGE5OGUxMjI5ZDQifQ=="/>
  </w:docVars>
  <w:rsids>
    <w:rsidRoot w:val="00BB5306"/>
    <w:rsid w:val="00001D7D"/>
    <w:rsid w:val="00002B44"/>
    <w:rsid w:val="000058D1"/>
    <w:rsid w:val="00006387"/>
    <w:rsid w:val="0001044B"/>
    <w:rsid w:val="0001699C"/>
    <w:rsid w:val="00016D19"/>
    <w:rsid w:val="00017B32"/>
    <w:rsid w:val="00017CE5"/>
    <w:rsid w:val="00017F5B"/>
    <w:rsid w:val="0002003A"/>
    <w:rsid w:val="000269E0"/>
    <w:rsid w:val="0003152A"/>
    <w:rsid w:val="00032AC5"/>
    <w:rsid w:val="000352A8"/>
    <w:rsid w:val="000414CD"/>
    <w:rsid w:val="000471D1"/>
    <w:rsid w:val="0005025E"/>
    <w:rsid w:val="00050401"/>
    <w:rsid w:val="00050ABD"/>
    <w:rsid w:val="00051A4B"/>
    <w:rsid w:val="00052FB2"/>
    <w:rsid w:val="0005578D"/>
    <w:rsid w:val="00057E54"/>
    <w:rsid w:val="0006014D"/>
    <w:rsid w:val="00064585"/>
    <w:rsid w:val="0006597B"/>
    <w:rsid w:val="00066126"/>
    <w:rsid w:val="0006759F"/>
    <w:rsid w:val="000676EE"/>
    <w:rsid w:val="00067A1A"/>
    <w:rsid w:val="00071BA9"/>
    <w:rsid w:val="000732FC"/>
    <w:rsid w:val="0007515C"/>
    <w:rsid w:val="000755E9"/>
    <w:rsid w:val="00077DD8"/>
    <w:rsid w:val="000847C6"/>
    <w:rsid w:val="00084A6B"/>
    <w:rsid w:val="00085E11"/>
    <w:rsid w:val="0008705D"/>
    <w:rsid w:val="00094A1A"/>
    <w:rsid w:val="0009541C"/>
    <w:rsid w:val="00096A1A"/>
    <w:rsid w:val="000A1B62"/>
    <w:rsid w:val="000A1F4D"/>
    <w:rsid w:val="000A2B58"/>
    <w:rsid w:val="000A3CD5"/>
    <w:rsid w:val="000A62CB"/>
    <w:rsid w:val="000B1955"/>
    <w:rsid w:val="000B20D1"/>
    <w:rsid w:val="000B433E"/>
    <w:rsid w:val="000B4823"/>
    <w:rsid w:val="000B6B92"/>
    <w:rsid w:val="000C2BFF"/>
    <w:rsid w:val="000C3D7C"/>
    <w:rsid w:val="000D2269"/>
    <w:rsid w:val="000D2AED"/>
    <w:rsid w:val="000D38A1"/>
    <w:rsid w:val="000D5F58"/>
    <w:rsid w:val="000E06B9"/>
    <w:rsid w:val="000E08EC"/>
    <w:rsid w:val="000E1727"/>
    <w:rsid w:val="000E4939"/>
    <w:rsid w:val="000E5435"/>
    <w:rsid w:val="000E5B40"/>
    <w:rsid w:val="000F0217"/>
    <w:rsid w:val="000F083B"/>
    <w:rsid w:val="000F1727"/>
    <w:rsid w:val="000F1C29"/>
    <w:rsid w:val="000F345A"/>
    <w:rsid w:val="000F41F8"/>
    <w:rsid w:val="000F4D04"/>
    <w:rsid w:val="000F5FE0"/>
    <w:rsid w:val="000F66D4"/>
    <w:rsid w:val="000F72B2"/>
    <w:rsid w:val="001073B7"/>
    <w:rsid w:val="00112F29"/>
    <w:rsid w:val="00114E12"/>
    <w:rsid w:val="00115044"/>
    <w:rsid w:val="00115C77"/>
    <w:rsid w:val="001169AC"/>
    <w:rsid w:val="0012160F"/>
    <w:rsid w:val="00125DA1"/>
    <w:rsid w:val="0012601D"/>
    <w:rsid w:val="00131A96"/>
    <w:rsid w:val="00131F92"/>
    <w:rsid w:val="001347CC"/>
    <w:rsid w:val="001403A1"/>
    <w:rsid w:val="0014369C"/>
    <w:rsid w:val="00145559"/>
    <w:rsid w:val="00146AA7"/>
    <w:rsid w:val="001507F9"/>
    <w:rsid w:val="00150E9F"/>
    <w:rsid w:val="001515E1"/>
    <w:rsid w:val="00152C42"/>
    <w:rsid w:val="001537BA"/>
    <w:rsid w:val="001538AF"/>
    <w:rsid w:val="00155E57"/>
    <w:rsid w:val="0015664A"/>
    <w:rsid w:val="00161BD6"/>
    <w:rsid w:val="00161CAA"/>
    <w:rsid w:val="00170110"/>
    <w:rsid w:val="0017567A"/>
    <w:rsid w:val="001767DA"/>
    <w:rsid w:val="00176999"/>
    <w:rsid w:val="00177AAB"/>
    <w:rsid w:val="00177B4F"/>
    <w:rsid w:val="00180C85"/>
    <w:rsid w:val="00182471"/>
    <w:rsid w:val="0018432B"/>
    <w:rsid w:val="00184B97"/>
    <w:rsid w:val="00185ECC"/>
    <w:rsid w:val="001979FE"/>
    <w:rsid w:val="00197E5F"/>
    <w:rsid w:val="001A21AA"/>
    <w:rsid w:val="001A2732"/>
    <w:rsid w:val="001A2F0D"/>
    <w:rsid w:val="001A3B0D"/>
    <w:rsid w:val="001A66A4"/>
    <w:rsid w:val="001A7CFC"/>
    <w:rsid w:val="001B0285"/>
    <w:rsid w:val="001B15D1"/>
    <w:rsid w:val="001B19D0"/>
    <w:rsid w:val="001B34BA"/>
    <w:rsid w:val="001B70B8"/>
    <w:rsid w:val="001B7175"/>
    <w:rsid w:val="001B77FA"/>
    <w:rsid w:val="001B7D3C"/>
    <w:rsid w:val="001C015E"/>
    <w:rsid w:val="001C2413"/>
    <w:rsid w:val="001C4226"/>
    <w:rsid w:val="001C434C"/>
    <w:rsid w:val="001D02F5"/>
    <w:rsid w:val="001D1C45"/>
    <w:rsid w:val="001D41DE"/>
    <w:rsid w:val="001D6B97"/>
    <w:rsid w:val="001D781B"/>
    <w:rsid w:val="001E2EF2"/>
    <w:rsid w:val="001E55DD"/>
    <w:rsid w:val="001E5CAD"/>
    <w:rsid w:val="001E7711"/>
    <w:rsid w:val="001E7890"/>
    <w:rsid w:val="001F1534"/>
    <w:rsid w:val="001F26E0"/>
    <w:rsid w:val="001F4FB9"/>
    <w:rsid w:val="001F53D6"/>
    <w:rsid w:val="001F5EB0"/>
    <w:rsid w:val="001F6074"/>
    <w:rsid w:val="001F7BE4"/>
    <w:rsid w:val="00202878"/>
    <w:rsid w:val="00202925"/>
    <w:rsid w:val="00202C4D"/>
    <w:rsid w:val="00203959"/>
    <w:rsid w:val="00203DA5"/>
    <w:rsid w:val="0020691C"/>
    <w:rsid w:val="002079A4"/>
    <w:rsid w:val="002125D7"/>
    <w:rsid w:val="00213429"/>
    <w:rsid w:val="0021427E"/>
    <w:rsid w:val="00214659"/>
    <w:rsid w:val="00215498"/>
    <w:rsid w:val="00217512"/>
    <w:rsid w:val="00220FD4"/>
    <w:rsid w:val="0022118A"/>
    <w:rsid w:val="0022593B"/>
    <w:rsid w:val="0022649A"/>
    <w:rsid w:val="002268A6"/>
    <w:rsid w:val="00226F3D"/>
    <w:rsid w:val="00227CA0"/>
    <w:rsid w:val="00230AAD"/>
    <w:rsid w:val="00230D55"/>
    <w:rsid w:val="00231EF6"/>
    <w:rsid w:val="00233462"/>
    <w:rsid w:val="002335B2"/>
    <w:rsid w:val="00234E2D"/>
    <w:rsid w:val="0023598E"/>
    <w:rsid w:val="00235E64"/>
    <w:rsid w:val="00241479"/>
    <w:rsid w:val="00241A04"/>
    <w:rsid w:val="002434E9"/>
    <w:rsid w:val="0024403C"/>
    <w:rsid w:val="0024534C"/>
    <w:rsid w:val="00246DC8"/>
    <w:rsid w:val="00252F6F"/>
    <w:rsid w:val="0025448C"/>
    <w:rsid w:val="0025497E"/>
    <w:rsid w:val="00254FD7"/>
    <w:rsid w:val="00255504"/>
    <w:rsid w:val="00257A87"/>
    <w:rsid w:val="00263171"/>
    <w:rsid w:val="00263A4A"/>
    <w:rsid w:val="00263E7E"/>
    <w:rsid w:val="00264E50"/>
    <w:rsid w:val="002662B4"/>
    <w:rsid w:val="00267B0F"/>
    <w:rsid w:val="002719C2"/>
    <w:rsid w:val="00272C11"/>
    <w:rsid w:val="00273998"/>
    <w:rsid w:val="00274C45"/>
    <w:rsid w:val="002750DB"/>
    <w:rsid w:val="00281FBC"/>
    <w:rsid w:val="002825A0"/>
    <w:rsid w:val="00283D80"/>
    <w:rsid w:val="00290A4B"/>
    <w:rsid w:val="00293D68"/>
    <w:rsid w:val="002943DC"/>
    <w:rsid w:val="002969D9"/>
    <w:rsid w:val="0029749C"/>
    <w:rsid w:val="00297F2C"/>
    <w:rsid w:val="002A0EFD"/>
    <w:rsid w:val="002A1763"/>
    <w:rsid w:val="002A4163"/>
    <w:rsid w:val="002A4861"/>
    <w:rsid w:val="002A66DA"/>
    <w:rsid w:val="002A67B1"/>
    <w:rsid w:val="002A763D"/>
    <w:rsid w:val="002A79AA"/>
    <w:rsid w:val="002B2428"/>
    <w:rsid w:val="002B35A2"/>
    <w:rsid w:val="002B5B9D"/>
    <w:rsid w:val="002C0F44"/>
    <w:rsid w:val="002C1CC0"/>
    <w:rsid w:val="002C26F7"/>
    <w:rsid w:val="002D012B"/>
    <w:rsid w:val="002D0C45"/>
    <w:rsid w:val="002D196C"/>
    <w:rsid w:val="002D257D"/>
    <w:rsid w:val="002D4C75"/>
    <w:rsid w:val="002D7A7D"/>
    <w:rsid w:val="002E172A"/>
    <w:rsid w:val="002E4165"/>
    <w:rsid w:val="002E5BB6"/>
    <w:rsid w:val="002E5BF7"/>
    <w:rsid w:val="002E5EEA"/>
    <w:rsid w:val="002F1297"/>
    <w:rsid w:val="002F2089"/>
    <w:rsid w:val="002F4CEA"/>
    <w:rsid w:val="002F50F8"/>
    <w:rsid w:val="002F7533"/>
    <w:rsid w:val="002F7976"/>
    <w:rsid w:val="00300EFF"/>
    <w:rsid w:val="00305368"/>
    <w:rsid w:val="00305F50"/>
    <w:rsid w:val="00306F74"/>
    <w:rsid w:val="003104D2"/>
    <w:rsid w:val="00310D79"/>
    <w:rsid w:val="00311FCA"/>
    <w:rsid w:val="0031241D"/>
    <w:rsid w:val="00314362"/>
    <w:rsid w:val="00314E51"/>
    <w:rsid w:val="0031624E"/>
    <w:rsid w:val="00321818"/>
    <w:rsid w:val="00322908"/>
    <w:rsid w:val="00323587"/>
    <w:rsid w:val="00324C6F"/>
    <w:rsid w:val="003276EA"/>
    <w:rsid w:val="0033143D"/>
    <w:rsid w:val="00341977"/>
    <w:rsid w:val="00341EF7"/>
    <w:rsid w:val="00342F27"/>
    <w:rsid w:val="00343E6F"/>
    <w:rsid w:val="003543F8"/>
    <w:rsid w:val="003553B0"/>
    <w:rsid w:val="00356327"/>
    <w:rsid w:val="00356FB0"/>
    <w:rsid w:val="00364501"/>
    <w:rsid w:val="0036595A"/>
    <w:rsid w:val="0036651C"/>
    <w:rsid w:val="00371EDA"/>
    <w:rsid w:val="00373F8F"/>
    <w:rsid w:val="00375281"/>
    <w:rsid w:val="003757C5"/>
    <w:rsid w:val="00381DB2"/>
    <w:rsid w:val="0038399C"/>
    <w:rsid w:val="00385A6B"/>
    <w:rsid w:val="003865EB"/>
    <w:rsid w:val="003869A3"/>
    <w:rsid w:val="00387C03"/>
    <w:rsid w:val="00395C64"/>
    <w:rsid w:val="003960D7"/>
    <w:rsid w:val="003977CF"/>
    <w:rsid w:val="00397B9F"/>
    <w:rsid w:val="003A33EE"/>
    <w:rsid w:val="003A500F"/>
    <w:rsid w:val="003B22B9"/>
    <w:rsid w:val="003B255B"/>
    <w:rsid w:val="003B26E5"/>
    <w:rsid w:val="003B44C0"/>
    <w:rsid w:val="003B4B79"/>
    <w:rsid w:val="003B5458"/>
    <w:rsid w:val="003C1E98"/>
    <w:rsid w:val="003C2D84"/>
    <w:rsid w:val="003C2FD9"/>
    <w:rsid w:val="003C33CA"/>
    <w:rsid w:val="003C6CEB"/>
    <w:rsid w:val="003D1614"/>
    <w:rsid w:val="003D3670"/>
    <w:rsid w:val="003D43DB"/>
    <w:rsid w:val="003E0D5E"/>
    <w:rsid w:val="003E0F73"/>
    <w:rsid w:val="003E1DEE"/>
    <w:rsid w:val="003E3E09"/>
    <w:rsid w:val="003E46FE"/>
    <w:rsid w:val="003E6574"/>
    <w:rsid w:val="003F0CFE"/>
    <w:rsid w:val="003F11AA"/>
    <w:rsid w:val="003F272B"/>
    <w:rsid w:val="003F366A"/>
    <w:rsid w:val="003F4DA3"/>
    <w:rsid w:val="003F4ECC"/>
    <w:rsid w:val="003F5664"/>
    <w:rsid w:val="003F58DB"/>
    <w:rsid w:val="003F7910"/>
    <w:rsid w:val="003F7B27"/>
    <w:rsid w:val="003F7C23"/>
    <w:rsid w:val="003F7EFE"/>
    <w:rsid w:val="0040338F"/>
    <w:rsid w:val="00404403"/>
    <w:rsid w:val="0040744E"/>
    <w:rsid w:val="0041059D"/>
    <w:rsid w:val="004130C6"/>
    <w:rsid w:val="00414157"/>
    <w:rsid w:val="004202FA"/>
    <w:rsid w:val="00421DA8"/>
    <w:rsid w:val="004228A6"/>
    <w:rsid w:val="00426064"/>
    <w:rsid w:val="00430BBA"/>
    <w:rsid w:val="00435246"/>
    <w:rsid w:val="004424B0"/>
    <w:rsid w:val="00442DE9"/>
    <w:rsid w:val="00444828"/>
    <w:rsid w:val="00445F24"/>
    <w:rsid w:val="00452882"/>
    <w:rsid w:val="00455285"/>
    <w:rsid w:val="0045592D"/>
    <w:rsid w:val="00455EAF"/>
    <w:rsid w:val="00457154"/>
    <w:rsid w:val="00457553"/>
    <w:rsid w:val="00464364"/>
    <w:rsid w:val="004657EF"/>
    <w:rsid w:val="00465B2A"/>
    <w:rsid w:val="00467841"/>
    <w:rsid w:val="004741D7"/>
    <w:rsid w:val="00475E98"/>
    <w:rsid w:val="00480F04"/>
    <w:rsid w:val="00483309"/>
    <w:rsid w:val="0048529F"/>
    <w:rsid w:val="00487D33"/>
    <w:rsid w:val="00493027"/>
    <w:rsid w:val="004A05F6"/>
    <w:rsid w:val="004A15B0"/>
    <w:rsid w:val="004A2403"/>
    <w:rsid w:val="004A2DE4"/>
    <w:rsid w:val="004A5919"/>
    <w:rsid w:val="004A622D"/>
    <w:rsid w:val="004B073B"/>
    <w:rsid w:val="004B11C5"/>
    <w:rsid w:val="004B24ED"/>
    <w:rsid w:val="004B35F6"/>
    <w:rsid w:val="004B3FA1"/>
    <w:rsid w:val="004B7222"/>
    <w:rsid w:val="004C3B11"/>
    <w:rsid w:val="004C4724"/>
    <w:rsid w:val="004C532B"/>
    <w:rsid w:val="004C55A2"/>
    <w:rsid w:val="004C5D63"/>
    <w:rsid w:val="004C669C"/>
    <w:rsid w:val="004C6CBF"/>
    <w:rsid w:val="004D0306"/>
    <w:rsid w:val="004D0B47"/>
    <w:rsid w:val="004D0B9D"/>
    <w:rsid w:val="004D0EEF"/>
    <w:rsid w:val="004D3B49"/>
    <w:rsid w:val="004D4E78"/>
    <w:rsid w:val="004D5D9D"/>
    <w:rsid w:val="004D604E"/>
    <w:rsid w:val="004E010C"/>
    <w:rsid w:val="004E0D88"/>
    <w:rsid w:val="004F14C0"/>
    <w:rsid w:val="004F274C"/>
    <w:rsid w:val="004F2A04"/>
    <w:rsid w:val="004F3C76"/>
    <w:rsid w:val="004F4D46"/>
    <w:rsid w:val="004F6DF6"/>
    <w:rsid w:val="004F74FB"/>
    <w:rsid w:val="005009DA"/>
    <w:rsid w:val="00505358"/>
    <w:rsid w:val="005103FC"/>
    <w:rsid w:val="0051214D"/>
    <w:rsid w:val="005135F8"/>
    <w:rsid w:val="00520740"/>
    <w:rsid w:val="005224E5"/>
    <w:rsid w:val="00527DA0"/>
    <w:rsid w:val="005303A5"/>
    <w:rsid w:val="005307D8"/>
    <w:rsid w:val="00530C26"/>
    <w:rsid w:val="00530E24"/>
    <w:rsid w:val="005311DA"/>
    <w:rsid w:val="005320FC"/>
    <w:rsid w:val="00532ACB"/>
    <w:rsid w:val="00532F66"/>
    <w:rsid w:val="00534324"/>
    <w:rsid w:val="00535BEC"/>
    <w:rsid w:val="00536704"/>
    <w:rsid w:val="00540C9D"/>
    <w:rsid w:val="0054794C"/>
    <w:rsid w:val="005530D1"/>
    <w:rsid w:val="00556947"/>
    <w:rsid w:val="00560634"/>
    <w:rsid w:val="00560DAC"/>
    <w:rsid w:val="00560E4D"/>
    <w:rsid w:val="00565206"/>
    <w:rsid w:val="00571596"/>
    <w:rsid w:val="005761BC"/>
    <w:rsid w:val="0058157B"/>
    <w:rsid w:val="00585469"/>
    <w:rsid w:val="0058594A"/>
    <w:rsid w:val="00586143"/>
    <w:rsid w:val="005862BF"/>
    <w:rsid w:val="005929C4"/>
    <w:rsid w:val="00592A3A"/>
    <w:rsid w:val="005954E8"/>
    <w:rsid w:val="00596CC9"/>
    <w:rsid w:val="00597608"/>
    <w:rsid w:val="00597E90"/>
    <w:rsid w:val="005A1488"/>
    <w:rsid w:val="005A397F"/>
    <w:rsid w:val="005A4C92"/>
    <w:rsid w:val="005B0661"/>
    <w:rsid w:val="005B134D"/>
    <w:rsid w:val="005B515D"/>
    <w:rsid w:val="005B64C0"/>
    <w:rsid w:val="005C06C1"/>
    <w:rsid w:val="005C43DA"/>
    <w:rsid w:val="005C4EAD"/>
    <w:rsid w:val="005C5770"/>
    <w:rsid w:val="005C5E91"/>
    <w:rsid w:val="005D007E"/>
    <w:rsid w:val="005D04C8"/>
    <w:rsid w:val="005D4478"/>
    <w:rsid w:val="005D4A22"/>
    <w:rsid w:val="005D4CA4"/>
    <w:rsid w:val="005D5245"/>
    <w:rsid w:val="005D6D49"/>
    <w:rsid w:val="005D7087"/>
    <w:rsid w:val="005D765E"/>
    <w:rsid w:val="005E007B"/>
    <w:rsid w:val="005E0340"/>
    <w:rsid w:val="005E05F5"/>
    <w:rsid w:val="005E06BD"/>
    <w:rsid w:val="005E1CD1"/>
    <w:rsid w:val="005E2F06"/>
    <w:rsid w:val="005E38C4"/>
    <w:rsid w:val="005E44BD"/>
    <w:rsid w:val="005E4D75"/>
    <w:rsid w:val="005E59B8"/>
    <w:rsid w:val="005F11DF"/>
    <w:rsid w:val="005F18A6"/>
    <w:rsid w:val="005F1DAE"/>
    <w:rsid w:val="005F43C0"/>
    <w:rsid w:val="005F4703"/>
    <w:rsid w:val="005F6F5B"/>
    <w:rsid w:val="005F7A92"/>
    <w:rsid w:val="00603DB7"/>
    <w:rsid w:val="006045FB"/>
    <w:rsid w:val="006124FB"/>
    <w:rsid w:val="00612F8A"/>
    <w:rsid w:val="00612FB0"/>
    <w:rsid w:val="006178E0"/>
    <w:rsid w:val="0062051F"/>
    <w:rsid w:val="0062077E"/>
    <w:rsid w:val="00620A34"/>
    <w:rsid w:val="00621618"/>
    <w:rsid w:val="00623F5A"/>
    <w:rsid w:val="006249CC"/>
    <w:rsid w:val="006260D7"/>
    <w:rsid w:val="0063153E"/>
    <w:rsid w:val="00632761"/>
    <w:rsid w:val="00632D23"/>
    <w:rsid w:val="006426C9"/>
    <w:rsid w:val="006446A7"/>
    <w:rsid w:val="00646E20"/>
    <w:rsid w:val="00652B4E"/>
    <w:rsid w:val="00653E56"/>
    <w:rsid w:val="00655303"/>
    <w:rsid w:val="006608B5"/>
    <w:rsid w:val="006611AB"/>
    <w:rsid w:val="006630AF"/>
    <w:rsid w:val="00665073"/>
    <w:rsid w:val="00667221"/>
    <w:rsid w:val="006715F3"/>
    <w:rsid w:val="00671BD6"/>
    <w:rsid w:val="006737F0"/>
    <w:rsid w:val="00673EB3"/>
    <w:rsid w:val="00674208"/>
    <w:rsid w:val="00675EC8"/>
    <w:rsid w:val="00676B17"/>
    <w:rsid w:val="0067724B"/>
    <w:rsid w:val="00677514"/>
    <w:rsid w:val="00681610"/>
    <w:rsid w:val="00681EBB"/>
    <w:rsid w:val="006902DF"/>
    <w:rsid w:val="006903A8"/>
    <w:rsid w:val="0069079F"/>
    <w:rsid w:val="00691009"/>
    <w:rsid w:val="00697134"/>
    <w:rsid w:val="006A12EF"/>
    <w:rsid w:val="006A16B0"/>
    <w:rsid w:val="006A3BA9"/>
    <w:rsid w:val="006A4A94"/>
    <w:rsid w:val="006A5D87"/>
    <w:rsid w:val="006A5F04"/>
    <w:rsid w:val="006B2A3D"/>
    <w:rsid w:val="006B7806"/>
    <w:rsid w:val="006C0390"/>
    <w:rsid w:val="006C1FC4"/>
    <w:rsid w:val="006C28ED"/>
    <w:rsid w:val="006C35BF"/>
    <w:rsid w:val="006C49D8"/>
    <w:rsid w:val="006C646C"/>
    <w:rsid w:val="006D05A2"/>
    <w:rsid w:val="006D30B1"/>
    <w:rsid w:val="006D384A"/>
    <w:rsid w:val="006D6579"/>
    <w:rsid w:val="006E09A9"/>
    <w:rsid w:val="006E2301"/>
    <w:rsid w:val="006E23D9"/>
    <w:rsid w:val="006E2B71"/>
    <w:rsid w:val="006E2C64"/>
    <w:rsid w:val="006E62B6"/>
    <w:rsid w:val="006E6B11"/>
    <w:rsid w:val="006F0DEB"/>
    <w:rsid w:val="006F31FA"/>
    <w:rsid w:val="006F4251"/>
    <w:rsid w:val="006F503E"/>
    <w:rsid w:val="006F6464"/>
    <w:rsid w:val="006F76F4"/>
    <w:rsid w:val="006F7D2F"/>
    <w:rsid w:val="0070421D"/>
    <w:rsid w:val="0070445F"/>
    <w:rsid w:val="00705509"/>
    <w:rsid w:val="00707C81"/>
    <w:rsid w:val="00707D23"/>
    <w:rsid w:val="007110FB"/>
    <w:rsid w:val="007128A0"/>
    <w:rsid w:val="0071517A"/>
    <w:rsid w:val="00723F49"/>
    <w:rsid w:val="00725B5C"/>
    <w:rsid w:val="00732F18"/>
    <w:rsid w:val="00736A3F"/>
    <w:rsid w:val="00741B0F"/>
    <w:rsid w:val="007425CD"/>
    <w:rsid w:val="00742925"/>
    <w:rsid w:val="007464F7"/>
    <w:rsid w:val="0074697C"/>
    <w:rsid w:val="00751CAE"/>
    <w:rsid w:val="00754AE6"/>
    <w:rsid w:val="00757171"/>
    <w:rsid w:val="00763B43"/>
    <w:rsid w:val="00764956"/>
    <w:rsid w:val="00764D92"/>
    <w:rsid w:val="007657F5"/>
    <w:rsid w:val="00765C74"/>
    <w:rsid w:val="00766C08"/>
    <w:rsid w:val="00766F3A"/>
    <w:rsid w:val="00770C15"/>
    <w:rsid w:val="0077174A"/>
    <w:rsid w:val="007749BE"/>
    <w:rsid w:val="00777FF5"/>
    <w:rsid w:val="007848D7"/>
    <w:rsid w:val="00787416"/>
    <w:rsid w:val="00790480"/>
    <w:rsid w:val="00791532"/>
    <w:rsid w:val="007916A4"/>
    <w:rsid w:val="00794023"/>
    <w:rsid w:val="0079766E"/>
    <w:rsid w:val="007A10EC"/>
    <w:rsid w:val="007A29E2"/>
    <w:rsid w:val="007A3188"/>
    <w:rsid w:val="007A5A03"/>
    <w:rsid w:val="007A6B3C"/>
    <w:rsid w:val="007B089E"/>
    <w:rsid w:val="007C1182"/>
    <w:rsid w:val="007C17C4"/>
    <w:rsid w:val="007C32CB"/>
    <w:rsid w:val="007C37DB"/>
    <w:rsid w:val="007C4288"/>
    <w:rsid w:val="007C488F"/>
    <w:rsid w:val="007C581F"/>
    <w:rsid w:val="007D0E60"/>
    <w:rsid w:val="007D149B"/>
    <w:rsid w:val="007D2D82"/>
    <w:rsid w:val="007D2E62"/>
    <w:rsid w:val="007D6A2D"/>
    <w:rsid w:val="007D6DF8"/>
    <w:rsid w:val="007E0262"/>
    <w:rsid w:val="007E0A1F"/>
    <w:rsid w:val="007E583B"/>
    <w:rsid w:val="007E5C08"/>
    <w:rsid w:val="007F068E"/>
    <w:rsid w:val="007F08C7"/>
    <w:rsid w:val="007F2BE9"/>
    <w:rsid w:val="007F3A95"/>
    <w:rsid w:val="007F4269"/>
    <w:rsid w:val="007F4498"/>
    <w:rsid w:val="007F4880"/>
    <w:rsid w:val="007F76E8"/>
    <w:rsid w:val="00800186"/>
    <w:rsid w:val="00801857"/>
    <w:rsid w:val="0080259C"/>
    <w:rsid w:val="00803357"/>
    <w:rsid w:val="008071D4"/>
    <w:rsid w:val="008076D1"/>
    <w:rsid w:val="00812C9A"/>
    <w:rsid w:val="008148B7"/>
    <w:rsid w:val="00815E3B"/>
    <w:rsid w:val="008162B4"/>
    <w:rsid w:val="008172DC"/>
    <w:rsid w:val="00817FB7"/>
    <w:rsid w:val="008228CB"/>
    <w:rsid w:val="00823B8A"/>
    <w:rsid w:val="008256F2"/>
    <w:rsid w:val="00825D5B"/>
    <w:rsid w:val="00826475"/>
    <w:rsid w:val="00832833"/>
    <w:rsid w:val="008328AA"/>
    <w:rsid w:val="00837C17"/>
    <w:rsid w:val="00841862"/>
    <w:rsid w:val="00843511"/>
    <w:rsid w:val="008437FF"/>
    <w:rsid w:val="00846061"/>
    <w:rsid w:val="0084634E"/>
    <w:rsid w:val="0085215E"/>
    <w:rsid w:val="00852DC9"/>
    <w:rsid w:val="00853450"/>
    <w:rsid w:val="008537B7"/>
    <w:rsid w:val="00853B36"/>
    <w:rsid w:val="00854473"/>
    <w:rsid w:val="0086075A"/>
    <w:rsid w:val="008620D0"/>
    <w:rsid w:val="0086381F"/>
    <w:rsid w:val="00863984"/>
    <w:rsid w:val="0086557B"/>
    <w:rsid w:val="00865BD7"/>
    <w:rsid w:val="00865F4A"/>
    <w:rsid w:val="00870FD0"/>
    <w:rsid w:val="00872033"/>
    <w:rsid w:val="0087306C"/>
    <w:rsid w:val="008761D0"/>
    <w:rsid w:val="00876D44"/>
    <w:rsid w:val="00880428"/>
    <w:rsid w:val="008809FE"/>
    <w:rsid w:val="00880B6B"/>
    <w:rsid w:val="00882E96"/>
    <w:rsid w:val="00884E1A"/>
    <w:rsid w:val="008865FC"/>
    <w:rsid w:val="00890E92"/>
    <w:rsid w:val="00893D57"/>
    <w:rsid w:val="008955DC"/>
    <w:rsid w:val="00897FBF"/>
    <w:rsid w:val="008A0946"/>
    <w:rsid w:val="008A1DFB"/>
    <w:rsid w:val="008A37EF"/>
    <w:rsid w:val="008A3D61"/>
    <w:rsid w:val="008A4D06"/>
    <w:rsid w:val="008A545F"/>
    <w:rsid w:val="008A5AD3"/>
    <w:rsid w:val="008A6C14"/>
    <w:rsid w:val="008A785B"/>
    <w:rsid w:val="008B307E"/>
    <w:rsid w:val="008B3890"/>
    <w:rsid w:val="008B607B"/>
    <w:rsid w:val="008B7839"/>
    <w:rsid w:val="008C0026"/>
    <w:rsid w:val="008C1923"/>
    <w:rsid w:val="008C248C"/>
    <w:rsid w:val="008C6C53"/>
    <w:rsid w:val="008D106C"/>
    <w:rsid w:val="008D3A00"/>
    <w:rsid w:val="008D3DEB"/>
    <w:rsid w:val="008D4395"/>
    <w:rsid w:val="008D5085"/>
    <w:rsid w:val="008E0410"/>
    <w:rsid w:val="008E2BC7"/>
    <w:rsid w:val="008E3748"/>
    <w:rsid w:val="008E452C"/>
    <w:rsid w:val="008E6AA0"/>
    <w:rsid w:val="008F0863"/>
    <w:rsid w:val="008F0CAD"/>
    <w:rsid w:val="008F1DDF"/>
    <w:rsid w:val="008F1DF7"/>
    <w:rsid w:val="008F369A"/>
    <w:rsid w:val="008F5307"/>
    <w:rsid w:val="0090513D"/>
    <w:rsid w:val="009058A2"/>
    <w:rsid w:val="00911CE1"/>
    <w:rsid w:val="0092164C"/>
    <w:rsid w:val="0092366F"/>
    <w:rsid w:val="0092392B"/>
    <w:rsid w:val="00926C98"/>
    <w:rsid w:val="0093062A"/>
    <w:rsid w:val="0093298A"/>
    <w:rsid w:val="009364C1"/>
    <w:rsid w:val="00941AAB"/>
    <w:rsid w:val="00947481"/>
    <w:rsid w:val="0095061F"/>
    <w:rsid w:val="00950E5E"/>
    <w:rsid w:val="00951AC4"/>
    <w:rsid w:val="00951E00"/>
    <w:rsid w:val="00953D31"/>
    <w:rsid w:val="00954B1E"/>
    <w:rsid w:val="0095546E"/>
    <w:rsid w:val="00956669"/>
    <w:rsid w:val="00964E18"/>
    <w:rsid w:val="00967BF7"/>
    <w:rsid w:val="00972A72"/>
    <w:rsid w:val="00972CF9"/>
    <w:rsid w:val="009743C3"/>
    <w:rsid w:val="00977540"/>
    <w:rsid w:val="00977FB8"/>
    <w:rsid w:val="009808FA"/>
    <w:rsid w:val="00981489"/>
    <w:rsid w:val="009838CF"/>
    <w:rsid w:val="00983A3A"/>
    <w:rsid w:val="00983E70"/>
    <w:rsid w:val="00983F9B"/>
    <w:rsid w:val="00985F39"/>
    <w:rsid w:val="0098614B"/>
    <w:rsid w:val="00994650"/>
    <w:rsid w:val="009954D4"/>
    <w:rsid w:val="00997645"/>
    <w:rsid w:val="009A0D12"/>
    <w:rsid w:val="009A1F96"/>
    <w:rsid w:val="009A69A7"/>
    <w:rsid w:val="009A716C"/>
    <w:rsid w:val="009B0DF3"/>
    <w:rsid w:val="009B1039"/>
    <w:rsid w:val="009B1E67"/>
    <w:rsid w:val="009B2EEC"/>
    <w:rsid w:val="009B2F9A"/>
    <w:rsid w:val="009B3259"/>
    <w:rsid w:val="009B5BF6"/>
    <w:rsid w:val="009B6E0D"/>
    <w:rsid w:val="009C1EEB"/>
    <w:rsid w:val="009C24F2"/>
    <w:rsid w:val="009C2AF7"/>
    <w:rsid w:val="009C409F"/>
    <w:rsid w:val="009C5A5E"/>
    <w:rsid w:val="009C617F"/>
    <w:rsid w:val="009D18F0"/>
    <w:rsid w:val="009D2D29"/>
    <w:rsid w:val="009D330E"/>
    <w:rsid w:val="009D4A1F"/>
    <w:rsid w:val="009D5457"/>
    <w:rsid w:val="009D56A4"/>
    <w:rsid w:val="009D621D"/>
    <w:rsid w:val="009D7804"/>
    <w:rsid w:val="009D792C"/>
    <w:rsid w:val="009E56C9"/>
    <w:rsid w:val="009E780B"/>
    <w:rsid w:val="009F02C1"/>
    <w:rsid w:val="009F2416"/>
    <w:rsid w:val="009F2433"/>
    <w:rsid w:val="009F5799"/>
    <w:rsid w:val="00A008D1"/>
    <w:rsid w:val="00A01289"/>
    <w:rsid w:val="00A014F6"/>
    <w:rsid w:val="00A02A02"/>
    <w:rsid w:val="00A03E61"/>
    <w:rsid w:val="00A062A9"/>
    <w:rsid w:val="00A114D9"/>
    <w:rsid w:val="00A12317"/>
    <w:rsid w:val="00A14318"/>
    <w:rsid w:val="00A14376"/>
    <w:rsid w:val="00A24937"/>
    <w:rsid w:val="00A25015"/>
    <w:rsid w:val="00A256CB"/>
    <w:rsid w:val="00A26B82"/>
    <w:rsid w:val="00A27BEB"/>
    <w:rsid w:val="00A30DAC"/>
    <w:rsid w:val="00A3281C"/>
    <w:rsid w:val="00A329EC"/>
    <w:rsid w:val="00A348FD"/>
    <w:rsid w:val="00A34BC9"/>
    <w:rsid w:val="00A35550"/>
    <w:rsid w:val="00A36965"/>
    <w:rsid w:val="00A36B60"/>
    <w:rsid w:val="00A40079"/>
    <w:rsid w:val="00A416C4"/>
    <w:rsid w:val="00A43818"/>
    <w:rsid w:val="00A43933"/>
    <w:rsid w:val="00A439A9"/>
    <w:rsid w:val="00A45EED"/>
    <w:rsid w:val="00A469DF"/>
    <w:rsid w:val="00A51282"/>
    <w:rsid w:val="00A51FE7"/>
    <w:rsid w:val="00A52BFC"/>
    <w:rsid w:val="00A53520"/>
    <w:rsid w:val="00A548F8"/>
    <w:rsid w:val="00A54DE0"/>
    <w:rsid w:val="00A600AE"/>
    <w:rsid w:val="00A611B1"/>
    <w:rsid w:val="00A61A4C"/>
    <w:rsid w:val="00A61D98"/>
    <w:rsid w:val="00A62677"/>
    <w:rsid w:val="00A6405F"/>
    <w:rsid w:val="00A66342"/>
    <w:rsid w:val="00A71017"/>
    <w:rsid w:val="00A71859"/>
    <w:rsid w:val="00A74CE7"/>
    <w:rsid w:val="00A76A54"/>
    <w:rsid w:val="00A77408"/>
    <w:rsid w:val="00A8029A"/>
    <w:rsid w:val="00A80F53"/>
    <w:rsid w:val="00A90CE9"/>
    <w:rsid w:val="00A91970"/>
    <w:rsid w:val="00A941D3"/>
    <w:rsid w:val="00A9494B"/>
    <w:rsid w:val="00A96951"/>
    <w:rsid w:val="00A97FF9"/>
    <w:rsid w:val="00AA0A0B"/>
    <w:rsid w:val="00AA0F98"/>
    <w:rsid w:val="00AA150E"/>
    <w:rsid w:val="00AA1CB7"/>
    <w:rsid w:val="00AA1FCE"/>
    <w:rsid w:val="00AA32E7"/>
    <w:rsid w:val="00AA6299"/>
    <w:rsid w:val="00AA73FF"/>
    <w:rsid w:val="00AA7B72"/>
    <w:rsid w:val="00AB0F8F"/>
    <w:rsid w:val="00AB1926"/>
    <w:rsid w:val="00AB1B89"/>
    <w:rsid w:val="00AB228E"/>
    <w:rsid w:val="00AB244D"/>
    <w:rsid w:val="00AB32BB"/>
    <w:rsid w:val="00AB7205"/>
    <w:rsid w:val="00AB7C34"/>
    <w:rsid w:val="00AC20F0"/>
    <w:rsid w:val="00AC2884"/>
    <w:rsid w:val="00AC2AE6"/>
    <w:rsid w:val="00AC3C3A"/>
    <w:rsid w:val="00AC5C95"/>
    <w:rsid w:val="00AC5F8C"/>
    <w:rsid w:val="00AC68A9"/>
    <w:rsid w:val="00AD33F1"/>
    <w:rsid w:val="00AD77F0"/>
    <w:rsid w:val="00AE0986"/>
    <w:rsid w:val="00AE29E9"/>
    <w:rsid w:val="00AE391E"/>
    <w:rsid w:val="00AE552E"/>
    <w:rsid w:val="00AE68C4"/>
    <w:rsid w:val="00AF099A"/>
    <w:rsid w:val="00AF36B8"/>
    <w:rsid w:val="00AF3708"/>
    <w:rsid w:val="00AF65B7"/>
    <w:rsid w:val="00B0223F"/>
    <w:rsid w:val="00B05877"/>
    <w:rsid w:val="00B05EA2"/>
    <w:rsid w:val="00B07149"/>
    <w:rsid w:val="00B10D53"/>
    <w:rsid w:val="00B11056"/>
    <w:rsid w:val="00B112C3"/>
    <w:rsid w:val="00B11C82"/>
    <w:rsid w:val="00B12E4C"/>
    <w:rsid w:val="00B130EE"/>
    <w:rsid w:val="00B146B2"/>
    <w:rsid w:val="00B16BAB"/>
    <w:rsid w:val="00B17FCC"/>
    <w:rsid w:val="00B2041C"/>
    <w:rsid w:val="00B21FDE"/>
    <w:rsid w:val="00B22513"/>
    <w:rsid w:val="00B22C19"/>
    <w:rsid w:val="00B24491"/>
    <w:rsid w:val="00B255F9"/>
    <w:rsid w:val="00B26163"/>
    <w:rsid w:val="00B26904"/>
    <w:rsid w:val="00B2743A"/>
    <w:rsid w:val="00B27E3E"/>
    <w:rsid w:val="00B3092F"/>
    <w:rsid w:val="00B30E53"/>
    <w:rsid w:val="00B32CAF"/>
    <w:rsid w:val="00B40D1C"/>
    <w:rsid w:val="00B45DDA"/>
    <w:rsid w:val="00B47F8B"/>
    <w:rsid w:val="00B52C4D"/>
    <w:rsid w:val="00B53165"/>
    <w:rsid w:val="00B5611D"/>
    <w:rsid w:val="00B6150D"/>
    <w:rsid w:val="00B64A2E"/>
    <w:rsid w:val="00B65C9F"/>
    <w:rsid w:val="00B66199"/>
    <w:rsid w:val="00B67BA3"/>
    <w:rsid w:val="00B67CEC"/>
    <w:rsid w:val="00B67F73"/>
    <w:rsid w:val="00B73F44"/>
    <w:rsid w:val="00B73F4F"/>
    <w:rsid w:val="00B80ABA"/>
    <w:rsid w:val="00B837F5"/>
    <w:rsid w:val="00B86012"/>
    <w:rsid w:val="00B860D1"/>
    <w:rsid w:val="00B866D5"/>
    <w:rsid w:val="00B86D03"/>
    <w:rsid w:val="00B86D8C"/>
    <w:rsid w:val="00B92319"/>
    <w:rsid w:val="00B94D43"/>
    <w:rsid w:val="00B95B70"/>
    <w:rsid w:val="00B95C8D"/>
    <w:rsid w:val="00BA1B08"/>
    <w:rsid w:val="00BA1B51"/>
    <w:rsid w:val="00BA593B"/>
    <w:rsid w:val="00BA7952"/>
    <w:rsid w:val="00BB0914"/>
    <w:rsid w:val="00BB4BC9"/>
    <w:rsid w:val="00BB5306"/>
    <w:rsid w:val="00BB5618"/>
    <w:rsid w:val="00BB759B"/>
    <w:rsid w:val="00BB7FAC"/>
    <w:rsid w:val="00BC4FE3"/>
    <w:rsid w:val="00BD0EED"/>
    <w:rsid w:val="00BD1506"/>
    <w:rsid w:val="00BD1D1D"/>
    <w:rsid w:val="00BD3A4E"/>
    <w:rsid w:val="00BD3DAD"/>
    <w:rsid w:val="00BD48F3"/>
    <w:rsid w:val="00BD4B98"/>
    <w:rsid w:val="00BD53DF"/>
    <w:rsid w:val="00BD640A"/>
    <w:rsid w:val="00BD6893"/>
    <w:rsid w:val="00BE0431"/>
    <w:rsid w:val="00BE118E"/>
    <w:rsid w:val="00BE146B"/>
    <w:rsid w:val="00BE15FE"/>
    <w:rsid w:val="00BE2D83"/>
    <w:rsid w:val="00BF0854"/>
    <w:rsid w:val="00BF44F5"/>
    <w:rsid w:val="00BF63AE"/>
    <w:rsid w:val="00C01F4A"/>
    <w:rsid w:val="00C026C3"/>
    <w:rsid w:val="00C03B0B"/>
    <w:rsid w:val="00C06152"/>
    <w:rsid w:val="00C0747D"/>
    <w:rsid w:val="00C075AF"/>
    <w:rsid w:val="00C077A7"/>
    <w:rsid w:val="00C078E8"/>
    <w:rsid w:val="00C10374"/>
    <w:rsid w:val="00C109D7"/>
    <w:rsid w:val="00C1100C"/>
    <w:rsid w:val="00C1152B"/>
    <w:rsid w:val="00C140D4"/>
    <w:rsid w:val="00C2241C"/>
    <w:rsid w:val="00C22445"/>
    <w:rsid w:val="00C22F5B"/>
    <w:rsid w:val="00C23D42"/>
    <w:rsid w:val="00C26440"/>
    <w:rsid w:val="00C30131"/>
    <w:rsid w:val="00C35D38"/>
    <w:rsid w:val="00C35D9D"/>
    <w:rsid w:val="00C3778D"/>
    <w:rsid w:val="00C4168B"/>
    <w:rsid w:val="00C4231F"/>
    <w:rsid w:val="00C42C0F"/>
    <w:rsid w:val="00C44F7C"/>
    <w:rsid w:val="00C453ED"/>
    <w:rsid w:val="00C51945"/>
    <w:rsid w:val="00C51AF3"/>
    <w:rsid w:val="00C52A77"/>
    <w:rsid w:val="00C55928"/>
    <w:rsid w:val="00C5705C"/>
    <w:rsid w:val="00C64551"/>
    <w:rsid w:val="00C705D7"/>
    <w:rsid w:val="00C73925"/>
    <w:rsid w:val="00C7478F"/>
    <w:rsid w:val="00C747C8"/>
    <w:rsid w:val="00C7588A"/>
    <w:rsid w:val="00C768DA"/>
    <w:rsid w:val="00C80A86"/>
    <w:rsid w:val="00C87798"/>
    <w:rsid w:val="00C95085"/>
    <w:rsid w:val="00C95BB0"/>
    <w:rsid w:val="00C9770C"/>
    <w:rsid w:val="00CA0E84"/>
    <w:rsid w:val="00CA459F"/>
    <w:rsid w:val="00CA51B6"/>
    <w:rsid w:val="00CA69DC"/>
    <w:rsid w:val="00CA7D90"/>
    <w:rsid w:val="00CB207B"/>
    <w:rsid w:val="00CB22D4"/>
    <w:rsid w:val="00CB24FF"/>
    <w:rsid w:val="00CB2523"/>
    <w:rsid w:val="00CB28DC"/>
    <w:rsid w:val="00CC0815"/>
    <w:rsid w:val="00CC3C73"/>
    <w:rsid w:val="00CC3E2B"/>
    <w:rsid w:val="00CC5959"/>
    <w:rsid w:val="00CD06A9"/>
    <w:rsid w:val="00CD0BDB"/>
    <w:rsid w:val="00CD2365"/>
    <w:rsid w:val="00CD3341"/>
    <w:rsid w:val="00CD352E"/>
    <w:rsid w:val="00CD3D26"/>
    <w:rsid w:val="00CD4155"/>
    <w:rsid w:val="00CD520C"/>
    <w:rsid w:val="00CD64F3"/>
    <w:rsid w:val="00CD67B3"/>
    <w:rsid w:val="00CE2FA5"/>
    <w:rsid w:val="00CF275E"/>
    <w:rsid w:val="00CF28E1"/>
    <w:rsid w:val="00CF3282"/>
    <w:rsid w:val="00CF3790"/>
    <w:rsid w:val="00CF3B96"/>
    <w:rsid w:val="00CF72F1"/>
    <w:rsid w:val="00CF78B9"/>
    <w:rsid w:val="00D00EF3"/>
    <w:rsid w:val="00D01D95"/>
    <w:rsid w:val="00D0219E"/>
    <w:rsid w:val="00D02788"/>
    <w:rsid w:val="00D05897"/>
    <w:rsid w:val="00D068D9"/>
    <w:rsid w:val="00D06CB8"/>
    <w:rsid w:val="00D07EB0"/>
    <w:rsid w:val="00D11EAB"/>
    <w:rsid w:val="00D22386"/>
    <w:rsid w:val="00D25B53"/>
    <w:rsid w:val="00D25F51"/>
    <w:rsid w:val="00D3224C"/>
    <w:rsid w:val="00D3235C"/>
    <w:rsid w:val="00D3337B"/>
    <w:rsid w:val="00D33D3F"/>
    <w:rsid w:val="00D34E15"/>
    <w:rsid w:val="00D34EC0"/>
    <w:rsid w:val="00D355EB"/>
    <w:rsid w:val="00D356F8"/>
    <w:rsid w:val="00D41EBD"/>
    <w:rsid w:val="00D42696"/>
    <w:rsid w:val="00D43153"/>
    <w:rsid w:val="00D46A89"/>
    <w:rsid w:val="00D47B1F"/>
    <w:rsid w:val="00D533BC"/>
    <w:rsid w:val="00D53F3B"/>
    <w:rsid w:val="00D54AE2"/>
    <w:rsid w:val="00D55442"/>
    <w:rsid w:val="00D565E2"/>
    <w:rsid w:val="00D57CE5"/>
    <w:rsid w:val="00D608D8"/>
    <w:rsid w:val="00D67582"/>
    <w:rsid w:val="00D7011D"/>
    <w:rsid w:val="00D70652"/>
    <w:rsid w:val="00D71ABC"/>
    <w:rsid w:val="00D732D0"/>
    <w:rsid w:val="00D73BEB"/>
    <w:rsid w:val="00D750EC"/>
    <w:rsid w:val="00D768A5"/>
    <w:rsid w:val="00D824AD"/>
    <w:rsid w:val="00D972EE"/>
    <w:rsid w:val="00D976A4"/>
    <w:rsid w:val="00DA23FA"/>
    <w:rsid w:val="00DA4B3B"/>
    <w:rsid w:val="00DA56ED"/>
    <w:rsid w:val="00DB1E44"/>
    <w:rsid w:val="00DB30E6"/>
    <w:rsid w:val="00DB7F8A"/>
    <w:rsid w:val="00DC0174"/>
    <w:rsid w:val="00DC02CE"/>
    <w:rsid w:val="00DC3540"/>
    <w:rsid w:val="00DC4B75"/>
    <w:rsid w:val="00DC4D99"/>
    <w:rsid w:val="00DC55C5"/>
    <w:rsid w:val="00DC6593"/>
    <w:rsid w:val="00DC65D2"/>
    <w:rsid w:val="00DD25F6"/>
    <w:rsid w:val="00DD3053"/>
    <w:rsid w:val="00DD52A4"/>
    <w:rsid w:val="00DD69D4"/>
    <w:rsid w:val="00DE657A"/>
    <w:rsid w:val="00DF015D"/>
    <w:rsid w:val="00DF1132"/>
    <w:rsid w:val="00DF1322"/>
    <w:rsid w:val="00DF286F"/>
    <w:rsid w:val="00DF52C3"/>
    <w:rsid w:val="00DF6FA6"/>
    <w:rsid w:val="00DF76B2"/>
    <w:rsid w:val="00E00CF9"/>
    <w:rsid w:val="00E06053"/>
    <w:rsid w:val="00E07EA1"/>
    <w:rsid w:val="00E10C6D"/>
    <w:rsid w:val="00E12438"/>
    <w:rsid w:val="00E12E9C"/>
    <w:rsid w:val="00E1687A"/>
    <w:rsid w:val="00E17115"/>
    <w:rsid w:val="00E17E54"/>
    <w:rsid w:val="00E220E7"/>
    <w:rsid w:val="00E316F8"/>
    <w:rsid w:val="00E32974"/>
    <w:rsid w:val="00E331F9"/>
    <w:rsid w:val="00E33F21"/>
    <w:rsid w:val="00E37DC1"/>
    <w:rsid w:val="00E41285"/>
    <w:rsid w:val="00E43960"/>
    <w:rsid w:val="00E466E4"/>
    <w:rsid w:val="00E46FF3"/>
    <w:rsid w:val="00E51CA2"/>
    <w:rsid w:val="00E53278"/>
    <w:rsid w:val="00E5328E"/>
    <w:rsid w:val="00E55CE8"/>
    <w:rsid w:val="00E57083"/>
    <w:rsid w:val="00E57B64"/>
    <w:rsid w:val="00E6224F"/>
    <w:rsid w:val="00E6339D"/>
    <w:rsid w:val="00E656DE"/>
    <w:rsid w:val="00E67467"/>
    <w:rsid w:val="00E7262A"/>
    <w:rsid w:val="00E74FBE"/>
    <w:rsid w:val="00E770F6"/>
    <w:rsid w:val="00E84603"/>
    <w:rsid w:val="00E84697"/>
    <w:rsid w:val="00E86183"/>
    <w:rsid w:val="00E87764"/>
    <w:rsid w:val="00E908FE"/>
    <w:rsid w:val="00E91238"/>
    <w:rsid w:val="00E91BEB"/>
    <w:rsid w:val="00E9222A"/>
    <w:rsid w:val="00E9313F"/>
    <w:rsid w:val="00E96877"/>
    <w:rsid w:val="00E97E35"/>
    <w:rsid w:val="00EA4CE7"/>
    <w:rsid w:val="00EA5B90"/>
    <w:rsid w:val="00EA620C"/>
    <w:rsid w:val="00EA6B7D"/>
    <w:rsid w:val="00EA7C13"/>
    <w:rsid w:val="00EA7DBF"/>
    <w:rsid w:val="00EB0429"/>
    <w:rsid w:val="00EB044B"/>
    <w:rsid w:val="00EB4130"/>
    <w:rsid w:val="00EB47BD"/>
    <w:rsid w:val="00EB5AA5"/>
    <w:rsid w:val="00EC39B4"/>
    <w:rsid w:val="00EC47FE"/>
    <w:rsid w:val="00ED1216"/>
    <w:rsid w:val="00ED22E6"/>
    <w:rsid w:val="00ED5711"/>
    <w:rsid w:val="00ED5D51"/>
    <w:rsid w:val="00ED7041"/>
    <w:rsid w:val="00EE0EC3"/>
    <w:rsid w:val="00EE4F4D"/>
    <w:rsid w:val="00EF0C12"/>
    <w:rsid w:val="00EF231E"/>
    <w:rsid w:val="00EF294C"/>
    <w:rsid w:val="00EF3DA8"/>
    <w:rsid w:val="00EF77F1"/>
    <w:rsid w:val="00EF7F6D"/>
    <w:rsid w:val="00F030EE"/>
    <w:rsid w:val="00F051EF"/>
    <w:rsid w:val="00F063D9"/>
    <w:rsid w:val="00F102EF"/>
    <w:rsid w:val="00F1284B"/>
    <w:rsid w:val="00F134C1"/>
    <w:rsid w:val="00F13EA0"/>
    <w:rsid w:val="00F16154"/>
    <w:rsid w:val="00F16E9A"/>
    <w:rsid w:val="00F20C42"/>
    <w:rsid w:val="00F23E5E"/>
    <w:rsid w:val="00F25126"/>
    <w:rsid w:val="00F27B0F"/>
    <w:rsid w:val="00F30DDE"/>
    <w:rsid w:val="00F31816"/>
    <w:rsid w:val="00F3355E"/>
    <w:rsid w:val="00F3441D"/>
    <w:rsid w:val="00F350CA"/>
    <w:rsid w:val="00F369A7"/>
    <w:rsid w:val="00F4129D"/>
    <w:rsid w:val="00F44065"/>
    <w:rsid w:val="00F44173"/>
    <w:rsid w:val="00F45A56"/>
    <w:rsid w:val="00F46155"/>
    <w:rsid w:val="00F47BA8"/>
    <w:rsid w:val="00F47D50"/>
    <w:rsid w:val="00F54160"/>
    <w:rsid w:val="00F55D7F"/>
    <w:rsid w:val="00F56921"/>
    <w:rsid w:val="00F60DAA"/>
    <w:rsid w:val="00F620D2"/>
    <w:rsid w:val="00F63024"/>
    <w:rsid w:val="00F67451"/>
    <w:rsid w:val="00F74924"/>
    <w:rsid w:val="00F75464"/>
    <w:rsid w:val="00F76915"/>
    <w:rsid w:val="00F7710B"/>
    <w:rsid w:val="00F80802"/>
    <w:rsid w:val="00F81454"/>
    <w:rsid w:val="00F81CBB"/>
    <w:rsid w:val="00F853EC"/>
    <w:rsid w:val="00F8549E"/>
    <w:rsid w:val="00F87499"/>
    <w:rsid w:val="00F905B2"/>
    <w:rsid w:val="00F930C1"/>
    <w:rsid w:val="00FA1955"/>
    <w:rsid w:val="00FA1B97"/>
    <w:rsid w:val="00FA1E0B"/>
    <w:rsid w:val="00FA2E00"/>
    <w:rsid w:val="00FA6A7F"/>
    <w:rsid w:val="00FA6FA4"/>
    <w:rsid w:val="00FA7EF1"/>
    <w:rsid w:val="00FB03A9"/>
    <w:rsid w:val="00FB16DD"/>
    <w:rsid w:val="00FB3703"/>
    <w:rsid w:val="00FB3C30"/>
    <w:rsid w:val="00FB4DF7"/>
    <w:rsid w:val="00FB6D5F"/>
    <w:rsid w:val="00FB7907"/>
    <w:rsid w:val="00FC035B"/>
    <w:rsid w:val="00FC1B63"/>
    <w:rsid w:val="00FC1D95"/>
    <w:rsid w:val="00FC2426"/>
    <w:rsid w:val="00FC4EA9"/>
    <w:rsid w:val="00FC559C"/>
    <w:rsid w:val="00FC5B7E"/>
    <w:rsid w:val="00FD03BE"/>
    <w:rsid w:val="00FD6A5C"/>
    <w:rsid w:val="00FD6E97"/>
    <w:rsid w:val="00FE12FD"/>
    <w:rsid w:val="00FE14D3"/>
    <w:rsid w:val="00FE19EB"/>
    <w:rsid w:val="00FE3D9E"/>
    <w:rsid w:val="00FF1172"/>
    <w:rsid w:val="00FF3FE2"/>
    <w:rsid w:val="00FF4BBA"/>
    <w:rsid w:val="00FF6034"/>
    <w:rsid w:val="00FF7685"/>
    <w:rsid w:val="00FF774A"/>
    <w:rsid w:val="0A020435"/>
    <w:rsid w:val="1219783E"/>
    <w:rsid w:val="19F67AEF"/>
    <w:rsid w:val="1F0165EB"/>
    <w:rsid w:val="208B2C73"/>
    <w:rsid w:val="216B02C2"/>
    <w:rsid w:val="42DC2E58"/>
    <w:rsid w:val="43F21E06"/>
    <w:rsid w:val="51971445"/>
    <w:rsid w:val="6017473F"/>
    <w:rsid w:val="60351098"/>
    <w:rsid w:val="62367BBD"/>
    <w:rsid w:val="64ED4726"/>
    <w:rsid w:val="6A095387"/>
    <w:rsid w:val="70F63575"/>
    <w:rsid w:val="745C2677"/>
    <w:rsid w:val="761B5E76"/>
    <w:rsid w:val="7B625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3"/>
    <w:unhideWhenUsed/>
    <w:qFormat/>
    <w:uiPriority w:val="99"/>
    <w:pPr>
      <w:ind w:firstLine="588" w:firstLineChars="200"/>
    </w:pPr>
    <w:rPr>
      <w:rFonts w:ascii="仿宋_GB2312" w:hAnsi="Calibri" w:eastAsia="仿宋_GB2312"/>
      <w:sz w:val="32"/>
    </w:rPr>
  </w:style>
  <w:style w:type="paragraph" w:styleId="3">
    <w:name w:val="Balloon Text"/>
    <w:basedOn w:val="1"/>
    <w:link w:val="16"/>
    <w:semiHidden/>
    <w:qFormat/>
    <w:uiPriority w:val="0"/>
    <w:rPr>
      <w:sz w:val="18"/>
      <w:szCs w:val="18"/>
    </w:rPr>
  </w:style>
  <w:style w:type="paragraph" w:styleId="4">
    <w:name w:val="footer"/>
    <w:basedOn w:val="1"/>
    <w:link w:val="10"/>
    <w:unhideWhenUsed/>
    <w:qFormat/>
    <w:uiPriority w:val="0"/>
    <w:pPr>
      <w:tabs>
        <w:tab w:val="center" w:pos="4153"/>
        <w:tab w:val="right" w:pos="8306"/>
      </w:tabs>
      <w:snapToGrid w:val="0"/>
      <w:jc w:val="left"/>
    </w:pPr>
    <w:rPr>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qFormat/>
    <w:uiPriority w:val="0"/>
    <w:rPr>
      <w:sz w:val="18"/>
      <w:szCs w:val="18"/>
    </w:rPr>
  </w:style>
  <w:style w:type="character" w:customStyle="1" w:styleId="11">
    <w:name w:val="标题 3 Char Char"/>
    <w:qFormat/>
    <w:uiPriority w:val="0"/>
    <w:rPr>
      <w:rFonts w:eastAsia="楷体_GB2312"/>
      <w:b/>
      <w:kern w:val="2"/>
      <w:sz w:val="32"/>
      <w:szCs w:val="24"/>
      <w:lang w:val="en-US" w:eastAsia="zh-CN" w:bidi="ar-SA"/>
    </w:rPr>
  </w:style>
  <w:style w:type="paragraph" w:customStyle="1" w:styleId="12">
    <w:name w:val="Char"/>
    <w:basedOn w:val="1"/>
    <w:qFormat/>
    <w:uiPriority w:val="0"/>
    <w:pPr>
      <w:autoSpaceDE w:val="0"/>
      <w:autoSpaceDN w:val="0"/>
      <w:adjustRightInd w:val="0"/>
    </w:pPr>
    <w:rPr>
      <w:rFonts w:ascii="宋体" w:cs="宋体"/>
      <w:kern w:val="0"/>
      <w:sz w:val="20"/>
      <w:szCs w:val="20"/>
      <w:lang w:val="zh-CN"/>
    </w:rPr>
  </w:style>
  <w:style w:type="character" w:customStyle="1" w:styleId="13">
    <w:name w:val="正文文本缩进 2 Char"/>
    <w:basedOn w:val="7"/>
    <w:link w:val="2"/>
    <w:qFormat/>
    <w:uiPriority w:val="99"/>
    <w:rPr>
      <w:rFonts w:ascii="仿宋_GB2312" w:hAnsi="Calibri" w:eastAsia="仿宋_GB2312" w:cs="Times New Roman"/>
      <w:sz w:val="32"/>
      <w:szCs w:val="24"/>
    </w:rPr>
  </w:style>
  <w:style w:type="paragraph" w:customStyle="1" w:styleId="14">
    <w:name w:val="Char1"/>
    <w:basedOn w:val="1"/>
    <w:qFormat/>
    <w:uiPriority w:val="0"/>
    <w:rPr>
      <w:rFonts w:ascii="仿宋_GB2312" w:eastAsia="仿宋_GB2312"/>
      <w:sz w:val="32"/>
    </w:rPr>
  </w:style>
  <w:style w:type="paragraph" w:customStyle="1" w:styleId="15">
    <w:name w:val="Char Char Char Char Char Char Char Char Char Char Char Char1 Char Char Char Char"/>
    <w:basedOn w:val="1"/>
    <w:qFormat/>
    <w:uiPriority w:val="0"/>
    <w:pPr>
      <w:numPr>
        <w:ilvl w:val="0"/>
        <w:numId w:val="1"/>
      </w:numPr>
      <w:tabs>
        <w:tab w:val="left" w:pos="720"/>
      </w:tabs>
    </w:pPr>
    <w:rPr>
      <w:szCs w:val="20"/>
    </w:rPr>
  </w:style>
  <w:style w:type="character" w:customStyle="1" w:styleId="16">
    <w:name w:val="批注框文本 Char"/>
    <w:basedOn w:val="7"/>
    <w:link w:val="3"/>
    <w:semiHidden/>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3537</Words>
  <Characters>3864</Characters>
  <Lines>78</Lines>
  <Paragraphs>21</Paragraphs>
  <TotalTime>2</TotalTime>
  <ScaleCrop>false</ScaleCrop>
  <LinksUpToDate>false</LinksUpToDate>
  <CharactersWithSpaces>4402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2021-06-02T01:03:00Z</dcterms:created>
  <dc:creator>User</dc:creator>
  <cp:lastModifiedBy>文印室</cp:lastModifiedBy>
  <cp:lastPrinted>2021-06-18T02:46:00Z</cp:lastPrinted>
  <dcterms:modified xsi:type="dcterms:W3CDTF">2022-09-26T07:09:14Z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D57EB867B28C4AA6BE54D927A5E2018A</vt:lpwstr>
  </property>
</Properties>
</file>