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r>
        <w:rPr>
          <w:rFonts w:hint="eastAsia" w:eastAsia="黑体"/>
          <w:b/>
          <w:kern w:val="2"/>
          <w:sz w:val="36"/>
        </w:rPr>
        <w:t xml:space="preserve">              </w:t>
      </w:r>
    </w:p>
    <w:p>
      <w:pPr>
        <w:pStyle w:val="19"/>
        <w:keepNext w:val="0"/>
        <w:keepLines w:val="0"/>
        <w:pageBreakBefore w:val="0"/>
        <w:widowControl/>
        <w:kinsoku/>
        <w:wordWrap/>
        <w:overflowPunct/>
        <w:topLinePunct w:val="0"/>
        <w:autoSpaceDE/>
        <w:autoSpaceDN/>
        <w:bidi w:val="0"/>
        <w:adjustRightInd/>
        <w:snapToGrid/>
        <w:spacing w:line="480" w:lineRule="exact"/>
        <w:textAlignment w:val="top"/>
        <w:rPr>
          <w:rFonts w:hint="eastAsia" w:ascii="宋体" w:hAnsi="宋体" w:eastAsia="宋体" w:cs="宋体"/>
          <w:b w:val="0"/>
          <w:bCs/>
          <w:kern w:val="2"/>
          <w:sz w:val="36"/>
        </w:rPr>
      </w:pPr>
    </w:p>
    <w:p>
      <w:pPr>
        <w:pStyle w:val="19"/>
        <w:keepNext w:val="0"/>
        <w:keepLines w:val="0"/>
        <w:pageBreakBefore w:val="0"/>
        <w:widowControl/>
        <w:kinsoku/>
        <w:wordWrap/>
        <w:overflowPunct/>
        <w:topLinePunct w:val="0"/>
        <w:autoSpaceDE/>
        <w:autoSpaceDN/>
        <w:bidi w:val="0"/>
        <w:adjustRightInd/>
        <w:snapToGrid/>
        <w:spacing w:line="540" w:lineRule="exact"/>
        <w:textAlignment w:val="top"/>
        <w:rPr>
          <w:rFonts w:hint="eastAsia" w:ascii="宋体" w:hAnsi="宋体" w:eastAsia="宋体" w:cs="宋体"/>
          <w:b w:val="0"/>
          <w:bCs/>
          <w:kern w:val="2"/>
          <w:sz w:val="36"/>
        </w:rPr>
      </w:pPr>
    </w:p>
    <w:p>
      <w:pPr>
        <w:pStyle w:val="19"/>
        <w:keepNext w:val="0"/>
        <w:keepLines w:val="0"/>
        <w:pageBreakBefore w:val="0"/>
        <w:widowControl/>
        <w:kinsoku/>
        <w:wordWrap/>
        <w:overflowPunct/>
        <w:topLinePunct w:val="0"/>
        <w:autoSpaceDE/>
        <w:autoSpaceDN/>
        <w:bidi w:val="0"/>
        <w:adjustRightInd/>
        <w:snapToGrid/>
        <w:spacing w:line="660" w:lineRule="exact"/>
        <w:textAlignment w:val="top"/>
        <w:rPr>
          <w:rFonts w:hint="eastAsia" w:eastAsia="黑体"/>
          <w:b/>
          <w:kern w:val="2"/>
          <w:sz w:val="21"/>
          <w:szCs w:val="21"/>
        </w:rPr>
      </w:pPr>
      <w:r>
        <w:rPr>
          <w:rFonts w:hint="eastAsia" w:eastAsia="黑体"/>
          <w:b/>
          <w:kern w:val="2"/>
          <w:sz w:val="36"/>
        </w:rPr>
        <w:t xml:space="preserve">     </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hanging="300" w:hangingChars="100"/>
        <w:jc w:val="right"/>
        <w:textAlignment w:val="auto"/>
        <w:rPr>
          <w:rFonts w:hint="eastAsia" w:ascii="仿宋_GB2312" w:hAnsi="仿宋_GB2312" w:eastAsia="仿宋_GB2312" w:cs="仿宋_GB2312"/>
          <w:color w:val="000000"/>
          <w:sz w:val="32"/>
          <w:szCs w:val="32"/>
        </w:rPr>
      </w:pPr>
      <w:r>
        <w:rPr>
          <w:rFonts w:hint="eastAsia" w:eastAsia="楷体_GB2312"/>
          <w:color w:val="FF0000"/>
          <w:sz w:val="30"/>
          <w:szCs w:val="30"/>
        </w:rPr>
        <w:t xml:space="preserve">                                    </w:t>
      </w:r>
      <w:r>
        <w:rPr>
          <w:rFonts w:hint="eastAsia" w:ascii="仿宋_GB2312" w:hAnsi="仿宋_GB2312" w:eastAsia="仿宋_GB2312" w:cs="仿宋_GB2312"/>
          <w:color w:val="000000"/>
          <w:sz w:val="32"/>
          <w:szCs w:val="32"/>
        </w:rPr>
        <w:t>岳环评</w:t>
      </w:r>
      <w:r>
        <w:rPr>
          <w:rFonts w:hint="eastAsia" w:ascii="仿宋" w:hAnsi="仿宋" w:eastAsia="仿宋" w:cs="仿宋"/>
          <w:color w:val="000000"/>
          <w:sz w:val="32"/>
          <w:szCs w:val="32"/>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50</w:t>
      </w:r>
      <w:r>
        <w:rPr>
          <w:rFonts w:hint="eastAsia" w:ascii="仿宋_GB2312" w:hAnsi="仿宋_GB2312" w:eastAsia="仿宋_GB2312" w:cs="仿宋_GB2312"/>
          <w:color w:val="000000"/>
          <w:sz w:val="32"/>
          <w:szCs w:val="32"/>
        </w:rPr>
        <w:t>号</w:t>
      </w:r>
    </w:p>
    <w:p>
      <w:pPr>
        <w:adjustRightInd w:val="0"/>
        <w:snapToGrid w:val="0"/>
        <w:ind w:right="-100" w:rightChars="-50" w:firstLine="0" w:firstLineChars="0"/>
        <w:jc w:val="center"/>
        <w:rPr>
          <w:rFonts w:hint="eastAsia" w:asciiTheme="majorEastAsia" w:hAnsiTheme="majorEastAsia" w:eastAsiaTheme="majorEastAsia" w:cstheme="majorEastAsia"/>
          <w:b/>
          <w:bCs w:val="0"/>
          <w:color w:val="000000"/>
          <w:sz w:val="36"/>
          <w:szCs w:val="36"/>
        </w:rPr>
      </w:pPr>
      <w:r>
        <w:rPr>
          <w:rFonts w:hint="eastAsia" w:asciiTheme="majorEastAsia" w:hAnsiTheme="majorEastAsia" w:eastAsiaTheme="majorEastAsia" w:cstheme="majorEastAsia"/>
          <w:b/>
          <w:bCs w:val="0"/>
          <w:color w:val="000000"/>
          <w:sz w:val="36"/>
          <w:szCs w:val="36"/>
        </w:rPr>
        <w:t>关于</w:t>
      </w:r>
      <w:r>
        <w:rPr>
          <w:rFonts w:hint="eastAsia" w:asciiTheme="majorEastAsia" w:hAnsiTheme="majorEastAsia" w:eastAsiaTheme="majorEastAsia" w:cstheme="majorEastAsia"/>
          <w:b/>
          <w:bCs w:val="0"/>
          <w:color w:val="000000"/>
          <w:sz w:val="36"/>
          <w:szCs w:val="36"/>
          <w:lang w:val="en-US" w:eastAsia="zh-CN"/>
        </w:rPr>
        <w:t>湖南双阳高科（岳阳）电子级双氧水项目（年产30万吨27.5%浓度）</w:t>
      </w:r>
      <w:r>
        <w:rPr>
          <w:rFonts w:hint="eastAsia" w:asciiTheme="majorEastAsia" w:hAnsiTheme="majorEastAsia" w:eastAsiaTheme="majorEastAsia" w:cstheme="majorEastAsia"/>
          <w:b/>
          <w:bCs w:val="0"/>
          <w:color w:val="000000"/>
          <w:sz w:val="36"/>
          <w:szCs w:val="36"/>
        </w:rPr>
        <w:t>环境影响报</w:t>
      </w:r>
      <w:r>
        <w:rPr>
          <w:rFonts w:hint="eastAsia" w:asciiTheme="majorEastAsia" w:hAnsiTheme="majorEastAsia" w:eastAsiaTheme="majorEastAsia" w:cstheme="majorEastAsia"/>
          <w:b/>
          <w:bCs w:val="0"/>
          <w:color w:val="000000"/>
          <w:sz w:val="36"/>
          <w:szCs w:val="36"/>
          <w:lang w:val="en-US" w:eastAsia="zh-CN"/>
        </w:rPr>
        <w:t>告</w:t>
      </w:r>
      <w:r>
        <w:rPr>
          <w:rFonts w:hint="eastAsia" w:asciiTheme="majorEastAsia" w:hAnsiTheme="majorEastAsia" w:eastAsiaTheme="majorEastAsia" w:cstheme="majorEastAsia"/>
          <w:b/>
          <w:bCs w:val="0"/>
          <w:color w:val="000000"/>
          <w:sz w:val="36"/>
          <w:szCs w:val="36"/>
        </w:rPr>
        <w:t>书的批</w:t>
      </w:r>
      <w:bookmarkStart w:id="1" w:name="_GoBack"/>
      <w:bookmarkEnd w:id="1"/>
      <w:r>
        <w:rPr>
          <w:rFonts w:hint="eastAsia" w:asciiTheme="majorEastAsia" w:hAnsiTheme="majorEastAsia" w:eastAsiaTheme="majorEastAsia" w:cstheme="majorEastAsia"/>
          <w:b/>
          <w:bCs w:val="0"/>
          <w:color w:val="000000"/>
          <w:sz w:val="36"/>
          <w:szCs w:val="36"/>
        </w:rPr>
        <w:t>复</w:t>
      </w:r>
    </w:p>
    <w:p>
      <w:pPr>
        <w:adjustRightInd w:val="0"/>
        <w:snapToGrid w:val="0"/>
        <w:ind w:right="-100" w:rightChars="-50" w:firstLine="0" w:firstLineChars="0"/>
        <w:jc w:val="center"/>
        <w:rPr>
          <w:rFonts w:hint="eastAsia" w:ascii="华文中宋" w:hAnsi="华文中宋" w:eastAsia="华文中宋" w:cs="黑体"/>
          <w:b/>
          <w:color w:val="000000"/>
          <w:sz w:val="36"/>
          <w:szCs w:val="36"/>
        </w:rPr>
      </w:pPr>
    </w:p>
    <w:p>
      <w:pPr>
        <w:keepNext w:val="0"/>
        <w:keepLines w:val="0"/>
        <w:pageBreakBefore w:val="0"/>
        <w:widowControl w:val="0"/>
        <w:kinsoku/>
        <w:wordWrap/>
        <w:overflowPunct/>
        <w:topLinePunct w:val="0"/>
        <w:autoSpaceDN/>
        <w:bidi w:val="0"/>
        <w:adjustRightInd/>
        <w:snapToGrid/>
        <w:spacing w:line="480" w:lineRule="exact"/>
        <w:ind w:left="0" w:leftChars="0" w:firstLine="0" w:firstLineChars="0"/>
        <w:textAlignment w:val="auto"/>
        <w:rPr>
          <w:rFonts w:hint="eastAsia" w:ascii="仿宋" w:hAnsi="仿宋" w:eastAsia="仿宋" w:cs="Times New Roman"/>
          <w:b w:val="0"/>
          <w:kern w:val="2"/>
          <w:sz w:val="32"/>
          <w:szCs w:val="32"/>
          <w:u w:val="single"/>
          <w:lang w:eastAsia="zh-CN"/>
        </w:rPr>
      </w:pPr>
      <w:r>
        <w:rPr>
          <w:rFonts w:hint="eastAsia" w:ascii="仿宋" w:hAnsi="仿宋" w:eastAsia="仿宋" w:cs="Times New Roman"/>
          <w:b w:val="0"/>
          <w:kern w:val="2"/>
          <w:sz w:val="32"/>
          <w:szCs w:val="32"/>
          <w:u w:val="none"/>
          <w:lang w:eastAsia="zh-CN"/>
        </w:rPr>
        <w:t>湖南双阳高科化工有限公司岳阳分公司：</w:t>
      </w:r>
    </w:p>
    <w:p>
      <w:pPr>
        <w:keepNext w:val="0"/>
        <w:keepLines w:val="0"/>
        <w:pageBreakBefore w:val="0"/>
        <w:widowControl w:val="0"/>
        <w:kinsoku/>
        <w:wordWrap/>
        <w:overflowPunct/>
        <w:topLinePunct w:val="0"/>
        <w:autoSpaceDN/>
        <w:bidi w:val="0"/>
        <w:adjustRightInd/>
        <w:snapToGrid/>
        <w:spacing w:line="480" w:lineRule="exact"/>
        <w:ind w:firstLine="656" w:firstLineChars="205"/>
        <w:textAlignment w:val="auto"/>
        <w:rPr>
          <w:rFonts w:hint="eastAsia" w:ascii="仿宋" w:hAnsi="仿宋" w:eastAsia="仿宋" w:cs="Times New Roman"/>
          <w:b w:val="0"/>
          <w:kern w:val="2"/>
          <w:sz w:val="32"/>
          <w:szCs w:val="32"/>
          <w:u w:val="none"/>
          <w:lang w:eastAsia="zh-CN"/>
        </w:rPr>
      </w:pPr>
      <w:r>
        <w:rPr>
          <w:rFonts w:hint="eastAsia" w:ascii="仿宋" w:hAnsi="仿宋" w:eastAsia="仿宋" w:cs="Times New Roman"/>
          <w:b w:val="0"/>
          <w:kern w:val="2"/>
          <w:sz w:val="32"/>
          <w:szCs w:val="32"/>
          <w:u w:val="none"/>
          <w:lang w:eastAsia="zh-CN"/>
        </w:rPr>
        <w:t>你公司《申请&lt;</w:t>
      </w:r>
      <w:r>
        <w:rPr>
          <w:rFonts w:hint="eastAsia" w:ascii="仿宋" w:hAnsi="仿宋" w:eastAsia="仿宋" w:cs="Times New Roman"/>
          <w:b w:val="0"/>
          <w:kern w:val="2"/>
          <w:sz w:val="32"/>
          <w:szCs w:val="32"/>
          <w:u w:val="none"/>
          <w:lang w:val="en-US" w:eastAsia="zh-CN"/>
        </w:rPr>
        <w:t>湖南双阳高科（岳阳）电子级双氧水项目（年产30万吨27.5%浓度）环评</w:t>
      </w:r>
      <w:r>
        <w:rPr>
          <w:rFonts w:hint="eastAsia" w:ascii="仿宋" w:hAnsi="仿宋" w:eastAsia="仿宋" w:cs="Times New Roman"/>
          <w:b w:val="0"/>
          <w:kern w:val="2"/>
          <w:sz w:val="32"/>
          <w:szCs w:val="32"/>
          <w:u w:val="none"/>
          <w:lang w:eastAsia="zh-CN"/>
        </w:rPr>
        <w:t>批复的</w:t>
      </w:r>
      <w:r>
        <w:rPr>
          <w:rFonts w:hint="eastAsia" w:ascii="仿宋" w:hAnsi="仿宋" w:eastAsia="仿宋" w:cs="Times New Roman"/>
          <w:b w:val="0"/>
          <w:kern w:val="2"/>
          <w:sz w:val="32"/>
          <w:szCs w:val="32"/>
          <w:u w:val="none"/>
          <w:lang w:val="en-US" w:eastAsia="zh-CN"/>
        </w:rPr>
        <w:t>报告</w:t>
      </w:r>
      <w:r>
        <w:rPr>
          <w:rFonts w:hint="eastAsia" w:ascii="仿宋" w:hAnsi="仿宋" w:eastAsia="仿宋" w:cs="Times New Roman"/>
          <w:b w:val="0"/>
          <w:kern w:val="2"/>
          <w:sz w:val="32"/>
          <w:szCs w:val="32"/>
          <w:u w:val="none"/>
          <w:lang w:eastAsia="zh-CN"/>
        </w:rPr>
        <w:t>》、岳阳市生态环境事务中心《湖南双阳高科（岳阳）电子级双氧水项目（年产30万吨27.5%浓度）环境影响报告书技术评估报告》（岳环事评估〔2022〕</w:t>
      </w:r>
      <w:r>
        <w:rPr>
          <w:rFonts w:hint="eastAsia" w:ascii="仿宋" w:hAnsi="仿宋" w:eastAsia="仿宋" w:cs="Times New Roman"/>
          <w:b w:val="0"/>
          <w:kern w:val="2"/>
          <w:sz w:val="32"/>
          <w:szCs w:val="32"/>
          <w:u w:val="none"/>
          <w:lang w:val="en-US" w:eastAsia="zh-CN"/>
        </w:rPr>
        <w:t>29</w:t>
      </w:r>
      <w:r>
        <w:rPr>
          <w:rFonts w:hint="eastAsia" w:ascii="仿宋" w:hAnsi="仿宋" w:eastAsia="仿宋" w:cs="Times New Roman"/>
          <w:b w:val="0"/>
          <w:kern w:val="2"/>
          <w:sz w:val="32"/>
          <w:szCs w:val="32"/>
          <w:u w:val="none"/>
          <w:lang w:eastAsia="zh-CN"/>
        </w:rPr>
        <w:t>号）、岳阳市生态环境局临湘分局的预审意见及有关附件收悉。经研究，批复如下：</w:t>
      </w:r>
    </w:p>
    <w:p>
      <w:pPr>
        <w:keepNext w:val="0"/>
        <w:keepLines w:val="0"/>
        <w:pageBreakBefore w:val="0"/>
        <w:widowControl w:val="0"/>
        <w:numPr>
          <w:ilvl w:val="0"/>
          <w:numId w:val="0"/>
        </w:numPr>
        <w:kinsoku/>
        <w:wordWrap/>
        <w:overflowPunct/>
        <w:topLinePunct w:val="0"/>
        <w:autoSpaceDN/>
        <w:bidi w:val="0"/>
        <w:adjustRightInd/>
        <w:snapToGrid/>
        <w:spacing w:line="480" w:lineRule="exact"/>
        <w:ind w:firstLine="640" w:firstLineChars="200"/>
        <w:textAlignment w:val="auto"/>
        <w:rPr>
          <w:rFonts w:ascii="仿宋" w:hAnsi="仿宋" w:eastAsia="仿宋"/>
          <w:sz w:val="32"/>
          <w:szCs w:val="32"/>
          <w:u w:val="none"/>
        </w:rPr>
      </w:pPr>
      <w:r>
        <w:rPr>
          <w:rFonts w:hint="eastAsia" w:ascii="仿宋" w:hAnsi="仿宋" w:eastAsia="仿宋" w:cs="Times New Roman"/>
          <w:b w:val="0"/>
          <w:kern w:val="2"/>
          <w:sz w:val="32"/>
          <w:szCs w:val="32"/>
          <w:u w:val="none"/>
          <w:lang w:val="en-US" w:eastAsia="zh-CN"/>
        </w:rPr>
        <w:t>一、为拓展市场，</w:t>
      </w:r>
      <w:r>
        <w:rPr>
          <w:rFonts w:hint="eastAsia" w:ascii="仿宋" w:hAnsi="仿宋" w:eastAsia="仿宋" w:cs="Times New Roman"/>
          <w:b w:val="0"/>
          <w:kern w:val="2"/>
          <w:sz w:val="32"/>
          <w:szCs w:val="32"/>
          <w:u w:val="none"/>
          <w:lang w:eastAsia="zh-CN"/>
        </w:rPr>
        <w:t>湖南双阳高科化工有限公司岳阳分公司</w:t>
      </w:r>
      <w:r>
        <w:rPr>
          <w:rFonts w:hint="eastAsia" w:ascii="仿宋" w:hAnsi="仿宋" w:eastAsia="仿宋" w:cs="Times New Roman"/>
          <w:b w:val="0"/>
          <w:kern w:val="2"/>
          <w:sz w:val="32"/>
          <w:szCs w:val="32"/>
          <w:u w:val="none"/>
          <w:lang w:val="en-US" w:eastAsia="zh-CN"/>
        </w:rPr>
        <w:t>拟投资46231.96万元（其中环保投资3510万元），选址</w:t>
      </w:r>
      <w:r>
        <w:rPr>
          <w:rFonts w:hint="eastAsia" w:ascii="仿宋" w:hAnsi="仿宋" w:eastAsia="仿宋" w:cs="Times New Roman"/>
          <w:b w:val="0"/>
          <w:kern w:val="2"/>
          <w:sz w:val="32"/>
          <w:szCs w:val="32"/>
          <w:u w:val="none"/>
          <w:lang w:val="en-US" w:eastAsia="zh-CN"/>
        </w:rPr>
        <w:t>于临湘工业园滨江片区（岳阳绿色化工高新技术产业园临湘片区）</w:t>
      </w:r>
      <w:r>
        <w:rPr>
          <w:rFonts w:hint="eastAsia" w:ascii="仿宋" w:hAnsi="仿宋" w:eastAsia="仿宋" w:cs="Times New Roman"/>
          <w:b w:val="0"/>
          <w:kern w:val="2"/>
          <w:sz w:val="32"/>
          <w:szCs w:val="32"/>
          <w:u w:val="none"/>
          <w:lang w:val="en-US" w:eastAsia="zh-CN"/>
        </w:rPr>
        <w:t>新建湖南双阳高科（岳阳）电子级双氧水项目（年产30万吨27.5%浓度）。项目总占地180亩，主要建设内容为:主体工程：新建工业级双氧水生产厂房（设置一条稀品双氧水生产装置线及一条浓品双氧水生产装置线）、电子级双氧水生产厂房（设置食品级双氧水生产线、电子级双氧水生产线）和天然气制氢厂房；</w:t>
      </w:r>
      <w:r>
        <w:rPr>
          <w:rFonts w:hint="eastAsia" w:ascii="仿宋" w:hAnsi="仿宋" w:eastAsia="仿宋" w:cs="宋体"/>
          <w:sz w:val="32"/>
          <w:szCs w:val="32"/>
          <w:u w:val="none"/>
          <w:lang w:val="en-US" w:eastAsia="zh-CN" w:bidi="ar-SA"/>
        </w:rPr>
        <w:t>公用及</w:t>
      </w:r>
      <w:r>
        <w:rPr>
          <w:rFonts w:hint="eastAsia" w:ascii="仿宋" w:hAnsi="仿宋" w:eastAsia="仿宋" w:cs="Times New Roman"/>
          <w:b w:val="0"/>
          <w:kern w:val="2"/>
          <w:sz w:val="32"/>
          <w:szCs w:val="32"/>
          <w:u w:val="none"/>
          <w:lang w:val="en-US" w:eastAsia="zh-CN"/>
        </w:rPr>
        <w:t>辅助工程：给排水、供配电、纯水站、循环水站、</w:t>
      </w:r>
      <w:r>
        <w:rPr>
          <w:rFonts w:hint="eastAsia" w:ascii="仿宋" w:hAnsi="仿宋" w:eastAsia="仿宋" w:cs="宋体"/>
          <w:sz w:val="32"/>
          <w:szCs w:val="32"/>
          <w:u w:val="none"/>
          <w:lang w:val="en-US" w:eastAsia="zh-CN" w:bidi="ar-SA"/>
        </w:rPr>
        <w:t>供热、公用工程站（含制氮机组）</w:t>
      </w:r>
      <w:r>
        <w:rPr>
          <w:rFonts w:hint="eastAsia" w:ascii="仿宋" w:hAnsi="仿宋" w:eastAsia="仿宋" w:cs="Times New Roman"/>
          <w:b w:val="0"/>
          <w:kern w:val="2"/>
          <w:sz w:val="32"/>
          <w:szCs w:val="32"/>
          <w:u w:val="none"/>
          <w:lang w:val="en-US" w:eastAsia="zh-CN"/>
        </w:rPr>
        <w:t>、控制室、综合楼等；</w:t>
      </w:r>
      <w:r>
        <w:rPr>
          <w:rFonts w:hint="eastAsia" w:ascii="仿宋" w:hAnsi="仿宋" w:eastAsia="仿宋" w:cs="宋体"/>
          <w:sz w:val="32"/>
          <w:szCs w:val="32"/>
          <w:u w:val="none"/>
          <w:lang w:val="en-US" w:eastAsia="zh-CN" w:bidi="ar-SA"/>
        </w:rPr>
        <w:t>储运工程：</w:t>
      </w:r>
      <w:r>
        <w:rPr>
          <w:rFonts w:hint="eastAsia" w:ascii="仿宋" w:hAnsi="仿宋" w:eastAsia="仿宋" w:cs="Times New Roman"/>
          <w:b w:val="0"/>
          <w:kern w:val="2"/>
          <w:sz w:val="32"/>
          <w:szCs w:val="32"/>
          <w:u w:val="none"/>
          <w:lang w:val="en-US" w:eastAsia="zh-CN"/>
        </w:rPr>
        <w:t>双氧水仓库、产品罐区、原料罐区、化学品仓库、装卸栈场等</w:t>
      </w:r>
      <w:r>
        <w:rPr>
          <w:rFonts w:hint="eastAsia" w:ascii="仿宋" w:hAnsi="仿宋" w:eastAsia="仿宋" w:cs="宋体"/>
          <w:sz w:val="32"/>
          <w:szCs w:val="32"/>
          <w:u w:val="none"/>
          <w:lang w:val="en-US" w:eastAsia="zh-CN" w:bidi="ar-SA"/>
        </w:rPr>
        <w:t>；环保工程：配套建设废气处理、废水处理（含地下水污染防治）、噪声防治、固废处置（危险废物和一般固废暂存间）、环境风险防控设施（事故应急池等）。供气和和部分供热蒸汽依托园区。主要原辅材料为：天然气、钴钼氧化铝催化剂、转化催化剂、变换催化剂、脱硫剂(ZnO)、脱氯剂(CaO)、PSA吸附剂、钯触媒、2-乙基蒽醌、2-戊基蒽醌、重芳烃、磷酸三辛酯、四丁基脲、活性氧化铝、磷酸（80%）、硝酸（67%）、液碱（50%）、稳定剂等。产品方案为：年产30万吨折合27.5%浓度双氧水（分别为27.5%工业级6.6万吨、31%电子级33818吨、35%食品级25455吨、60%工业级131091吨、60%电子级过氧化氢43636吨）。</w:t>
      </w:r>
      <w:r>
        <w:rPr>
          <w:rFonts w:hint="eastAsia" w:ascii="仿宋" w:hAnsi="仿宋" w:eastAsia="仿宋" w:cs="仿宋"/>
          <w:color w:val="000000"/>
          <w:sz w:val="32"/>
          <w:szCs w:val="32"/>
          <w:u w:val="none"/>
        </w:rPr>
        <w:t>项目已取得</w:t>
      </w:r>
      <w:r>
        <w:rPr>
          <w:rFonts w:hint="eastAsia" w:ascii="仿宋" w:hAnsi="仿宋" w:eastAsia="仿宋"/>
          <w:color w:val="000000"/>
          <w:sz w:val="32"/>
          <w:szCs w:val="32"/>
          <w:u w:val="none"/>
          <w:lang w:eastAsia="zh-CN"/>
        </w:rPr>
        <w:t>临湘</w:t>
      </w:r>
      <w:r>
        <w:rPr>
          <w:rFonts w:hint="eastAsia" w:ascii="仿宋" w:hAnsi="仿宋" w:eastAsia="仿宋"/>
          <w:color w:val="000000"/>
          <w:sz w:val="32"/>
          <w:szCs w:val="32"/>
          <w:u w:val="none"/>
          <w:lang w:val="en-US" w:eastAsia="zh-CN"/>
        </w:rPr>
        <w:t>高新技术产业开发区管理委员会</w:t>
      </w:r>
      <w:r>
        <w:rPr>
          <w:rFonts w:ascii="仿宋" w:hAnsi="仿宋" w:eastAsia="仿宋"/>
          <w:color w:val="000000"/>
          <w:sz w:val="32"/>
          <w:szCs w:val="32"/>
          <w:u w:val="none"/>
        </w:rPr>
        <w:t>的备案</w:t>
      </w:r>
      <w:r>
        <w:rPr>
          <w:rFonts w:hint="eastAsia" w:ascii="仿宋" w:hAnsi="仿宋" w:eastAsia="仿宋"/>
          <w:color w:val="000000"/>
          <w:sz w:val="32"/>
          <w:szCs w:val="32"/>
          <w:u w:val="none"/>
          <w:lang w:val="en-US" w:eastAsia="zh-CN"/>
        </w:rPr>
        <w:t>证明</w:t>
      </w:r>
      <w:r>
        <w:rPr>
          <w:rFonts w:hint="eastAsia" w:ascii="仿宋" w:hAnsi="仿宋" w:eastAsia="仿宋" w:cs="仿宋"/>
          <w:color w:val="000000"/>
          <w:sz w:val="32"/>
          <w:szCs w:val="32"/>
          <w:u w:val="none"/>
        </w:rPr>
        <w:t>（</w:t>
      </w:r>
      <w:r>
        <w:rPr>
          <w:rFonts w:hint="eastAsia" w:ascii="仿宋" w:hAnsi="仿宋" w:eastAsia="仿宋"/>
          <w:color w:val="000000"/>
          <w:sz w:val="32"/>
          <w:szCs w:val="32"/>
          <w:u w:val="none"/>
          <w:lang w:eastAsia="zh-CN"/>
        </w:rPr>
        <w:t>临</w:t>
      </w:r>
      <w:r>
        <w:rPr>
          <w:rFonts w:hint="eastAsia" w:ascii="仿宋" w:hAnsi="仿宋" w:eastAsia="仿宋" w:cs="仿宋"/>
          <w:color w:val="000000"/>
          <w:sz w:val="32"/>
          <w:szCs w:val="32"/>
          <w:u w:val="none"/>
          <w:lang w:val="en-US" w:eastAsia="zh-CN"/>
        </w:rPr>
        <w:t>高</w:t>
      </w:r>
      <w:r>
        <w:rPr>
          <w:rFonts w:hint="eastAsia" w:ascii="仿宋" w:hAnsi="仿宋" w:eastAsia="仿宋" w:cs="仿宋"/>
          <w:color w:val="000000"/>
          <w:sz w:val="32"/>
          <w:szCs w:val="32"/>
          <w:u w:val="none"/>
        </w:rPr>
        <w:t>备</w:t>
      </w:r>
      <w:r>
        <w:rPr>
          <w:rFonts w:ascii="仿宋" w:hAnsi="仿宋" w:eastAsia="仿宋"/>
          <w:color w:val="000000"/>
          <w:sz w:val="32"/>
          <w:szCs w:val="32"/>
          <w:u w:val="none"/>
        </w:rPr>
        <w:t>案</w:t>
      </w:r>
      <w:r>
        <w:rPr>
          <w:rFonts w:hint="eastAsia" w:ascii="仿宋" w:hAnsi="仿宋" w:eastAsia="仿宋" w:cs="仿宋"/>
          <w:color w:val="000000"/>
          <w:sz w:val="32"/>
          <w:szCs w:val="32"/>
          <w:u w:val="none"/>
        </w:rPr>
        <w:t>〔202</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3</w:t>
      </w:r>
      <w:r>
        <w:rPr>
          <w:rFonts w:hint="eastAsia" w:ascii="仿宋" w:hAnsi="仿宋" w:eastAsia="仿宋" w:cs="仿宋"/>
          <w:color w:val="000000"/>
          <w:sz w:val="32"/>
          <w:szCs w:val="32"/>
          <w:u w:val="none"/>
        </w:rPr>
        <w:t>号）。</w:t>
      </w:r>
      <w:r>
        <w:rPr>
          <w:rFonts w:hint="eastAsia" w:ascii="仿宋" w:hAnsi="仿宋" w:eastAsia="仿宋"/>
          <w:sz w:val="32"/>
          <w:szCs w:val="32"/>
          <w:u w:val="none"/>
        </w:rPr>
        <w:t>根据</w:t>
      </w:r>
      <w:r>
        <w:rPr>
          <w:rFonts w:hint="eastAsia" w:ascii="仿宋" w:hAnsi="仿宋" w:eastAsia="仿宋" w:cs="仿宋"/>
          <w:color w:val="000000"/>
          <w:sz w:val="32"/>
          <w:szCs w:val="32"/>
          <w:u w:val="none"/>
          <w:lang w:eastAsia="zh-CN"/>
        </w:rPr>
        <w:t>湖南新瑞智环境科技有限责任公司</w:t>
      </w:r>
      <w:r>
        <w:rPr>
          <w:rFonts w:hint="eastAsia" w:ascii="仿宋" w:hAnsi="仿宋" w:eastAsia="仿宋"/>
          <w:sz w:val="32"/>
          <w:szCs w:val="32"/>
          <w:u w:val="none"/>
        </w:rPr>
        <w:t>编制的《</w:t>
      </w:r>
      <w:r>
        <w:rPr>
          <w:rFonts w:hint="eastAsia" w:ascii="仿宋" w:hAnsi="仿宋" w:eastAsia="仿宋"/>
          <w:sz w:val="32"/>
          <w:szCs w:val="32"/>
          <w:u w:val="none"/>
          <w:lang w:eastAsia="zh-CN"/>
        </w:rPr>
        <w:t>湖南双阳高科（岳阳）电子级双氧水项目（年产30万吨27.5%浓度）</w:t>
      </w:r>
      <w:r>
        <w:rPr>
          <w:rFonts w:hint="eastAsia" w:ascii="仿宋" w:hAnsi="仿宋" w:eastAsia="仿宋"/>
          <w:sz w:val="32"/>
          <w:szCs w:val="32"/>
          <w:u w:val="none"/>
        </w:rPr>
        <w:t>环境影响报告书（报批稿）》基本内容、结论、专家评审意见和</w:t>
      </w:r>
      <w:r>
        <w:rPr>
          <w:rFonts w:hint="eastAsia" w:ascii="仿宋" w:hAnsi="仿宋" w:eastAsia="仿宋"/>
          <w:color w:val="000000"/>
          <w:sz w:val="32"/>
          <w:szCs w:val="32"/>
          <w:u w:val="none"/>
        </w:rPr>
        <w:t>岳阳市生态环境事务中心《</w:t>
      </w:r>
      <w:r>
        <w:rPr>
          <w:rFonts w:hint="eastAsia" w:ascii="仿宋" w:hAnsi="仿宋" w:eastAsia="仿宋"/>
          <w:color w:val="000000"/>
          <w:sz w:val="32"/>
          <w:szCs w:val="32"/>
          <w:u w:val="none"/>
          <w:lang w:eastAsia="zh-CN"/>
        </w:rPr>
        <w:t>湖南双阳高科（岳阳）电子级双氧水项目（年产30万吨27.5%浓度）</w:t>
      </w:r>
      <w:r>
        <w:rPr>
          <w:rFonts w:hint="eastAsia" w:ascii="仿宋" w:hAnsi="仿宋" w:eastAsia="仿宋"/>
          <w:color w:val="000000"/>
          <w:sz w:val="32"/>
          <w:szCs w:val="32"/>
          <w:u w:val="none"/>
        </w:rPr>
        <w:t>环境影响报告书技术评估报告》以</w:t>
      </w:r>
      <w:r>
        <w:rPr>
          <w:rFonts w:hint="eastAsia" w:ascii="仿宋" w:hAnsi="仿宋" w:eastAsia="仿宋"/>
          <w:sz w:val="32"/>
          <w:szCs w:val="32"/>
          <w:u w:val="none"/>
        </w:rPr>
        <w:t>及岳阳市生态环境局</w:t>
      </w:r>
      <w:r>
        <w:rPr>
          <w:rFonts w:hint="eastAsia" w:ascii="仿宋" w:hAnsi="仿宋" w:eastAsia="仿宋"/>
          <w:sz w:val="32"/>
          <w:szCs w:val="32"/>
          <w:u w:val="none"/>
          <w:lang w:eastAsia="zh-CN"/>
        </w:rPr>
        <w:t>临湘</w:t>
      </w:r>
      <w:r>
        <w:rPr>
          <w:rFonts w:hint="eastAsia" w:ascii="仿宋" w:hAnsi="仿宋" w:eastAsia="仿宋"/>
          <w:sz w:val="32"/>
          <w:szCs w:val="32"/>
          <w:u w:val="none"/>
        </w:rPr>
        <w:t>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kern w:val="2"/>
          <w:sz w:val="32"/>
          <w:szCs w:val="32"/>
          <w:u w:val="none"/>
          <w:lang w:eastAsia="zh-CN"/>
        </w:rPr>
      </w:pPr>
      <w:r>
        <w:rPr>
          <w:rFonts w:hint="eastAsia" w:ascii="仿宋" w:hAnsi="仿宋" w:eastAsia="仿宋" w:cs="Times New Roman"/>
          <w:kern w:val="2"/>
          <w:sz w:val="32"/>
          <w:szCs w:val="32"/>
          <w:u w:val="none"/>
          <w:lang w:eastAsia="zh-CN"/>
        </w:rPr>
        <w:t>二、项目建设和运营必须全面落实环境影响报告书提出的各项环保措施，并着重做好以下工作：</w:t>
      </w:r>
    </w:p>
    <w:p>
      <w:pPr>
        <w:pStyle w:val="31"/>
        <w:keepNext w:val="0"/>
        <w:keepLines w:val="0"/>
        <w:pageBreakBefore w:val="0"/>
        <w:widowControl w:val="0"/>
        <w:kinsoku/>
        <w:wordWrap/>
        <w:overflowPunct/>
        <w:topLinePunct w:val="0"/>
        <w:autoSpaceDN/>
        <w:bidi w:val="0"/>
        <w:adjustRightInd/>
        <w:snapToGrid/>
        <w:spacing w:line="480" w:lineRule="exact"/>
        <w:ind w:firstLine="480"/>
        <w:textAlignment w:val="auto"/>
        <w:rPr>
          <w:rFonts w:hint="eastAsia" w:ascii="仿宋" w:hAnsi="仿宋" w:eastAsia="仿宋"/>
          <w:sz w:val="32"/>
          <w:szCs w:val="32"/>
          <w:u w:val="none"/>
        </w:rPr>
      </w:pPr>
      <w:bookmarkStart w:id="0" w:name="OLE_LINK2"/>
      <w:bookmarkEnd w:id="0"/>
      <w:r>
        <w:rPr>
          <w:rFonts w:hint="eastAsia" w:ascii="仿宋" w:hAnsi="仿宋" w:eastAsia="仿宋"/>
          <w:sz w:val="32"/>
          <w:szCs w:val="32"/>
          <w:u w:val="none"/>
        </w:rPr>
        <w:t>（一）施工期环境管理工作。加强施工期环境管理，优化施工工艺，科学施工。</w:t>
      </w:r>
      <w:r>
        <w:rPr>
          <w:rFonts w:hint="eastAsia" w:ascii="仿宋" w:hAnsi="仿宋" w:eastAsia="仿宋" w:cs="宋体"/>
          <w:sz w:val="32"/>
          <w:szCs w:val="32"/>
          <w:u w:val="none"/>
          <w:lang w:val="en-US" w:eastAsia="zh-CN"/>
        </w:rPr>
        <w:t>各类</w:t>
      </w:r>
      <w:r>
        <w:rPr>
          <w:rFonts w:hint="eastAsia" w:ascii="仿宋" w:hAnsi="仿宋" w:eastAsia="仿宋" w:cs="宋体"/>
          <w:sz w:val="32"/>
          <w:szCs w:val="32"/>
          <w:u w:val="none"/>
        </w:rPr>
        <w:t>施工废水经沉淀</w:t>
      </w:r>
      <w:r>
        <w:rPr>
          <w:rFonts w:hint="eastAsia" w:ascii="仿宋" w:hAnsi="仿宋" w:eastAsia="仿宋" w:cs="宋体"/>
          <w:sz w:val="32"/>
          <w:szCs w:val="32"/>
          <w:u w:val="none"/>
          <w:lang w:val="en-US" w:eastAsia="zh-CN"/>
        </w:rPr>
        <w:t>隔油隔渣</w:t>
      </w:r>
      <w:r>
        <w:rPr>
          <w:rFonts w:hint="eastAsia" w:ascii="仿宋" w:hAnsi="仿宋" w:eastAsia="仿宋" w:cs="宋体"/>
          <w:sz w:val="32"/>
          <w:szCs w:val="32"/>
          <w:u w:val="none"/>
        </w:rPr>
        <w:t>处理后回用</w:t>
      </w:r>
      <w:r>
        <w:rPr>
          <w:rFonts w:hint="eastAsia" w:ascii="仿宋" w:hAnsi="仿宋" w:eastAsia="仿宋" w:cs="宋体"/>
          <w:sz w:val="32"/>
          <w:szCs w:val="32"/>
          <w:u w:val="none"/>
          <w:lang w:eastAsia="zh-CN"/>
        </w:rPr>
        <w:t>，</w:t>
      </w:r>
      <w:r>
        <w:rPr>
          <w:rFonts w:hint="eastAsia" w:ascii="仿宋" w:hAnsi="仿宋" w:eastAsia="仿宋" w:cs="宋体"/>
          <w:sz w:val="32"/>
          <w:szCs w:val="32"/>
          <w:u w:val="none"/>
          <w:lang w:val="en-US" w:eastAsia="zh-CN"/>
        </w:rPr>
        <w:t>不外排。</w:t>
      </w:r>
      <w:r>
        <w:rPr>
          <w:rFonts w:hint="eastAsia" w:ascii="仿宋" w:hAnsi="仿宋" w:eastAsia="仿宋" w:cs="宋体"/>
          <w:sz w:val="32"/>
          <w:szCs w:val="32"/>
          <w:u w:val="none"/>
        </w:rPr>
        <w:t>施工人员生活污水</w:t>
      </w:r>
      <w:r>
        <w:rPr>
          <w:rFonts w:hint="eastAsia" w:ascii="仿宋" w:hAnsi="仿宋" w:eastAsia="仿宋" w:cs="宋体"/>
          <w:sz w:val="32"/>
          <w:szCs w:val="32"/>
          <w:u w:val="none"/>
          <w:lang w:val="en-US" w:eastAsia="zh-CN"/>
        </w:rPr>
        <w:t>经化粪池处理后回用于周边菜田，不外排</w:t>
      </w:r>
      <w:r>
        <w:rPr>
          <w:rFonts w:hint="eastAsia" w:ascii="仿宋" w:hAnsi="仿宋" w:eastAsia="仿宋" w:cs="宋体"/>
          <w:sz w:val="32"/>
          <w:szCs w:val="32"/>
          <w:u w:val="none"/>
          <w:lang w:eastAsia="zh-CN"/>
        </w:rPr>
        <w:t>。</w:t>
      </w:r>
      <w:r>
        <w:rPr>
          <w:rFonts w:hint="eastAsia" w:ascii="仿宋" w:hAnsi="仿宋" w:eastAsia="仿宋"/>
          <w:sz w:val="32"/>
          <w:szCs w:val="32"/>
          <w:u w:val="none"/>
        </w:rPr>
        <w:t>选用低噪声设备，合理安排施工时间和运输路线，确保施工噪声满足《建筑施工场界环境噪声排放标准》（GB12523-2011）要求。强化施工扬尘防治</w:t>
      </w:r>
      <w:r>
        <w:rPr>
          <w:rFonts w:hint="eastAsia" w:ascii="仿宋" w:hAnsi="仿宋" w:eastAsia="仿宋"/>
          <w:sz w:val="32"/>
          <w:szCs w:val="32"/>
          <w:u w:val="none"/>
          <w:lang w:val="en-US" w:eastAsia="zh-CN"/>
        </w:rPr>
        <w:t>工作</w:t>
      </w:r>
      <w:r>
        <w:rPr>
          <w:rFonts w:hint="eastAsia" w:ascii="仿宋" w:hAnsi="仿宋" w:eastAsia="仿宋"/>
          <w:sz w:val="32"/>
          <w:szCs w:val="32"/>
          <w:u w:val="none"/>
        </w:rPr>
        <w:t>，采取洒水抑尘、围挡、覆盖等措施，使用商品混凝土，</w:t>
      </w:r>
      <w:r>
        <w:rPr>
          <w:rFonts w:hint="eastAsia" w:ascii="仿宋" w:hAnsi="仿宋" w:eastAsia="仿宋"/>
          <w:sz w:val="32"/>
          <w:szCs w:val="32"/>
          <w:u w:val="none"/>
          <w:lang w:eastAsia="zh-CN"/>
        </w:rPr>
        <w:t>土石</w:t>
      </w:r>
      <w:r>
        <w:rPr>
          <w:rFonts w:hint="eastAsia" w:ascii="仿宋" w:hAnsi="仿宋" w:eastAsia="仿宋"/>
          <w:sz w:val="32"/>
          <w:szCs w:val="32"/>
          <w:u w:val="none"/>
          <w:lang w:val="en-US" w:eastAsia="zh-CN"/>
        </w:rPr>
        <w:t>等易产尘物料</w:t>
      </w:r>
      <w:r>
        <w:rPr>
          <w:rFonts w:hint="eastAsia" w:ascii="仿宋" w:hAnsi="仿宋" w:eastAsia="仿宋"/>
          <w:sz w:val="32"/>
          <w:szCs w:val="32"/>
          <w:u w:val="none"/>
          <w:lang w:eastAsia="zh-CN"/>
        </w:rPr>
        <w:t>密闭运输</w:t>
      </w:r>
      <w:r>
        <w:rPr>
          <w:rFonts w:hint="eastAsia" w:ascii="仿宋" w:hAnsi="仿宋" w:eastAsia="仿宋"/>
          <w:sz w:val="32"/>
          <w:szCs w:val="32"/>
          <w:u w:val="none"/>
        </w:rPr>
        <w:t>。建筑垃圾收集后交相关部门统一处理。</w:t>
      </w:r>
    </w:p>
    <w:p>
      <w:pPr>
        <w:keepNext w:val="0"/>
        <w:keepLines w:val="0"/>
        <w:pageBreakBefore w:val="0"/>
        <w:widowControl w:val="0"/>
        <w:kinsoku/>
        <w:wordWrap/>
        <w:overflowPunct/>
        <w:topLinePunct w:val="0"/>
        <w:autoSpaceDN/>
        <w:bidi w:val="0"/>
        <w:adjustRightInd/>
        <w:snapToGrid/>
        <w:spacing w:line="480" w:lineRule="exact"/>
        <w:textAlignment w:val="auto"/>
        <w:rPr>
          <w:rFonts w:hint="eastAsia" w:ascii="仿宋" w:hAnsi="仿宋" w:eastAsia="仿宋"/>
          <w:sz w:val="32"/>
          <w:szCs w:val="32"/>
          <w:u w:val="none"/>
          <w:lang w:val="en-US" w:eastAsia="zh-CN"/>
        </w:rPr>
      </w:pPr>
      <w:r>
        <w:rPr>
          <w:rFonts w:hint="eastAsia" w:ascii="仿宋" w:hAnsi="仿宋" w:eastAsia="仿宋" w:cs="宋体"/>
          <w:strike w:val="0"/>
          <w:dstrike w:val="0"/>
          <w:color w:val="auto"/>
          <w:sz w:val="32"/>
          <w:szCs w:val="32"/>
          <w:u w:val="none"/>
          <w:lang w:val="en-US" w:eastAsia="zh-CN" w:bidi="ar-SA"/>
        </w:rPr>
        <w:t>（二）废气污染防治工作。严格控制项目废气污染，规范建设各废气集排气系统和处理设施。项目氢化塔置换废气处理达标后由2</w:t>
      </w:r>
      <w:r>
        <w:rPr>
          <w:rFonts w:hint="eastAsia" w:ascii="仿宋" w:hAnsi="仿宋" w:eastAsia="仿宋" w:cs="宋体"/>
          <w:strike w:val="0"/>
          <w:dstrike w:val="0"/>
          <w:color w:val="auto"/>
          <w:sz w:val="32"/>
          <w:szCs w:val="32"/>
          <w:u w:val="none"/>
          <w:vertAlign w:val="superscript"/>
          <w:lang w:val="en-US" w:eastAsia="zh-CN" w:bidi="ar-SA"/>
        </w:rPr>
        <w:t>#</w:t>
      </w:r>
      <w:r>
        <w:rPr>
          <w:rFonts w:hint="eastAsia" w:ascii="仿宋" w:hAnsi="仿宋" w:eastAsia="仿宋" w:cs="宋体"/>
          <w:strike w:val="0"/>
          <w:dstrike w:val="0"/>
          <w:color w:val="auto"/>
          <w:sz w:val="32"/>
          <w:szCs w:val="32"/>
          <w:u w:val="none"/>
          <w:lang w:val="en-US" w:eastAsia="zh-CN" w:bidi="ar-SA"/>
        </w:rPr>
        <w:t>30米高排气筒外排，氧化尾气经处理达标后由3</w:t>
      </w:r>
      <w:r>
        <w:rPr>
          <w:rFonts w:hint="eastAsia" w:ascii="仿宋" w:hAnsi="仿宋" w:eastAsia="仿宋" w:cs="宋体"/>
          <w:strike w:val="0"/>
          <w:dstrike w:val="0"/>
          <w:color w:val="auto"/>
          <w:sz w:val="32"/>
          <w:szCs w:val="32"/>
          <w:u w:val="none"/>
          <w:vertAlign w:val="superscript"/>
          <w:lang w:val="en-US" w:eastAsia="zh-CN" w:bidi="ar-SA"/>
        </w:rPr>
        <w:t>#</w:t>
      </w:r>
      <w:r>
        <w:rPr>
          <w:rFonts w:hint="eastAsia" w:ascii="仿宋" w:hAnsi="仿宋" w:eastAsia="仿宋" w:cs="宋体"/>
          <w:strike w:val="0"/>
          <w:dstrike w:val="0"/>
          <w:color w:val="auto"/>
          <w:sz w:val="32"/>
          <w:szCs w:val="32"/>
          <w:u w:val="none"/>
          <w:lang w:val="en-US" w:eastAsia="zh-CN" w:bidi="ar-SA"/>
        </w:rPr>
        <w:t>30米高排气筒外排，危废间有机废气经活性炭吸咐处理达标后由5</w:t>
      </w:r>
      <w:r>
        <w:rPr>
          <w:rFonts w:hint="eastAsia" w:ascii="仿宋" w:hAnsi="仿宋" w:eastAsia="仿宋" w:cs="宋体"/>
          <w:strike w:val="0"/>
          <w:dstrike w:val="0"/>
          <w:color w:val="auto"/>
          <w:sz w:val="32"/>
          <w:szCs w:val="32"/>
          <w:u w:val="none"/>
          <w:vertAlign w:val="superscript"/>
          <w:lang w:val="en-US" w:eastAsia="zh-CN" w:bidi="ar-SA"/>
        </w:rPr>
        <w:t>#</w:t>
      </w:r>
      <w:r>
        <w:rPr>
          <w:rFonts w:hint="eastAsia" w:ascii="仿宋" w:hAnsi="仿宋" w:eastAsia="仿宋" w:cs="宋体"/>
          <w:strike w:val="0"/>
          <w:dstrike w:val="0"/>
          <w:color w:val="auto"/>
          <w:sz w:val="32"/>
          <w:szCs w:val="32"/>
          <w:u w:val="none"/>
          <w:lang w:val="en-US" w:eastAsia="zh-CN" w:bidi="ar-SA"/>
        </w:rPr>
        <w:t>15米高排气筒外排，以上3处排放均执行天津市地方标准《工业企业挥发性有机物排放控制标准》(DB12/524-20</w:t>
      </w:r>
      <w:r>
        <w:rPr>
          <w:rFonts w:hint="eastAsia" w:ascii="仿宋" w:hAnsi="仿宋" w:eastAsia="仿宋" w:cs="宋体"/>
          <w:strike w:val="0"/>
          <w:dstrike w:val="0"/>
          <w:sz w:val="32"/>
          <w:szCs w:val="32"/>
          <w:u w:val="none"/>
        </w:rPr>
        <w:t>20)</w:t>
      </w:r>
      <w:r>
        <w:rPr>
          <w:rFonts w:hint="eastAsia" w:ascii="仿宋" w:hAnsi="仿宋" w:eastAsia="仿宋" w:cs="宋体"/>
          <w:strike w:val="0"/>
          <w:dstrike w:val="0"/>
          <w:sz w:val="32"/>
          <w:szCs w:val="32"/>
          <w:u w:val="none"/>
          <w:lang w:eastAsia="zh-CN"/>
        </w:rPr>
        <w:t>表</w:t>
      </w:r>
      <w:r>
        <w:rPr>
          <w:rFonts w:hint="eastAsia" w:ascii="仿宋" w:hAnsi="仿宋" w:eastAsia="仿宋" w:cs="宋体"/>
          <w:strike w:val="0"/>
          <w:dstrike w:val="0"/>
          <w:sz w:val="32"/>
          <w:szCs w:val="32"/>
          <w:u w:val="none"/>
          <w:lang w:val="en-US" w:eastAsia="zh-CN"/>
        </w:rPr>
        <w:t>1石油炼制与石油化学行业标准要求；</w:t>
      </w:r>
      <w:r>
        <w:rPr>
          <w:rFonts w:hint="eastAsia" w:ascii="仿宋" w:hAnsi="仿宋" w:eastAsia="仿宋" w:cs="宋体"/>
          <w:strike w:val="0"/>
          <w:dstrike w:val="0"/>
          <w:color w:val="auto"/>
          <w:sz w:val="32"/>
          <w:szCs w:val="32"/>
          <w:u w:val="none"/>
          <w:lang w:val="en-US" w:eastAsia="zh-CN" w:bidi="ar-SA"/>
        </w:rPr>
        <w:t>制氢工序转化炉采用低氮燃烧设备，燃烧废气经处理，满足《锅炉大气污染物排放标准》（GB13271-2014）中表3大气污染物特别排放限值要求后，由1</w:t>
      </w:r>
      <w:r>
        <w:rPr>
          <w:rFonts w:hint="eastAsia" w:ascii="仿宋" w:hAnsi="仿宋" w:eastAsia="仿宋" w:cs="宋体"/>
          <w:strike w:val="0"/>
          <w:dstrike w:val="0"/>
          <w:color w:val="auto"/>
          <w:sz w:val="32"/>
          <w:szCs w:val="32"/>
          <w:u w:val="none"/>
          <w:vertAlign w:val="superscript"/>
          <w:lang w:val="en-US" w:eastAsia="zh-CN" w:bidi="ar-SA"/>
        </w:rPr>
        <w:t>#</w:t>
      </w:r>
      <w:r>
        <w:rPr>
          <w:rFonts w:hint="eastAsia" w:ascii="仿宋" w:hAnsi="仿宋" w:eastAsia="仿宋" w:cs="宋体"/>
          <w:strike w:val="0"/>
          <w:dstrike w:val="0"/>
          <w:color w:val="auto"/>
          <w:sz w:val="32"/>
          <w:szCs w:val="32"/>
          <w:u w:val="none"/>
          <w:lang w:val="en-US" w:eastAsia="zh-CN" w:bidi="ar-SA"/>
        </w:rPr>
        <w:t>30米高排气筒外排；污水处理站有机废气经收集处理，满足《工业企业挥发性有机物排放控制标准》(DB12/524-2020)表1石油炼制与石油化学行业和《恶臭污染物排放标准》（GB14554-93）表2限值要求后，由4</w:t>
      </w:r>
      <w:r>
        <w:rPr>
          <w:rFonts w:hint="eastAsia" w:ascii="仿宋" w:hAnsi="仿宋" w:eastAsia="仿宋" w:cs="宋体"/>
          <w:strike w:val="0"/>
          <w:dstrike w:val="0"/>
          <w:color w:val="auto"/>
          <w:sz w:val="32"/>
          <w:szCs w:val="32"/>
          <w:u w:val="none"/>
          <w:vertAlign w:val="superscript"/>
          <w:lang w:val="en-US" w:eastAsia="zh-CN" w:bidi="ar-SA"/>
        </w:rPr>
        <w:t>#</w:t>
      </w:r>
      <w:r>
        <w:rPr>
          <w:rFonts w:hint="eastAsia" w:ascii="仿宋" w:hAnsi="仿宋" w:eastAsia="仿宋" w:cs="宋体"/>
          <w:strike w:val="0"/>
          <w:dstrike w:val="0"/>
          <w:color w:val="auto"/>
          <w:sz w:val="32"/>
          <w:szCs w:val="32"/>
          <w:u w:val="none"/>
          <w:lang w:val="en-US" w:eastAsia="zh-CN" w:bidi="ar-SA"/>
        </w:rPr>
        <w:t>15米高排气筒外排。</w:t>
      </w:r>
      <w:r>
        <w:rPr>
          <w:rFonts w:hint="eastAsia" w:ascii="仿宋" w:hAnsi="仿宋" w:eastAsia="仿宋" w:cs="宋体"/>
          <w:strike w:val="0"/>
          <w:dstrike w:val="0"/>
          <w:sz w:val="32"/>
          <w:szCs w:val="32"/>
          <w:u w:val="none"/>
        </w:rPr>
        <w:t>加强</w:t>
      </w:r>
      <w:r>
        <w:rPr>
          <w:rFonts w:hint="eastAsia" w:ascii="仿宋" w:hAnsi="仿宋" w:eastAsia="仿宋" w:cs="宋体"/>
          <w:strike w:val="0"/>
          <w:dstrike w:val="0"/>
          <w:sz w:val="32"/>
          <w:szCs w:val="32"/>
          <w:u w:val="none"/>
          <w:lang w:val="en-US" w:eastAsia="zh-CN"/>
        </w:rPr>
        <w:t>项目</w:t>
      </w:r>
      <w:r>
        <w:rPr>
          <w:rFonts w:hint="eastAsia" w:ascii="仿宋" w:hAnsi="仿宋" w:eastAsia="仿宋" w:cs="宋体"/>
          <w:strike w:val="0"/>
          <w:dstrike w:val="0"/>
          <w:sz w:val="32"/>
          <w:szCs w:val="32"/>
          <w:u w:val="none"/>
        </w:rPr>
        <w:t>日常监管，定期对阀门、</w:t>
      </w:r>
      <w:r>
        <w:rPr>
          <w:rFonts w:hint="eastAsia" w:ascii="仿宋" w:hAnsi="仿宋" w:eastAsia="仿宋" w:cs="宋体"/>
          <w:strike w:val="0"/>
          <w:dstrike w:val="0"/>
          <w:sz w:val="32"/>
          <w:szCs w:val="32"/>
          <w:u w:val="none"/>
          <w:lang w:val="en-US" w:eastAsia="zh-CN"/>
        </w:rPr>
        <w:t>法兰、</w:t>
      </w:r>
      <w:r>
        <w:rPr>
          <w:rFonts w:hint="eastAsia" w:ascii="仿宋" w:hAnsi="仿宋" w:eastAsia="仿宋" w:cs="宋体"/>
          <w:strike w:val="0"/>
          <w:dstrike w:val="0"/>
          <w:sz w:val="32"/>
          <w:szCs w:val="32"/>
          <w:u w:val="none"/>
        </w:rPr>
        <w:t>管路管线、机泵等</w:t>
      </w:r>
      <w:r>
        <w:rPr>
          <w:rFonts w:hint="eastAsia" w:ascii="仿宋" w:hAnsi="仿宋" w:eastAsia="仿宋" w:cs="宋体"/>
          <w:strike w:val="0"/>
          <w:dstrike w:val="0"/>
          <w:sz w:val="32"/>
          <w:szCs w:val="32"/>
          <w:u w:val="none"/>
          <w:lang w:val="en-US" w:eastAsia="zh-CN"/>
        </w:rPr>
        <w:t>设施设备</w:t>
      </w:r>
      <w:r>
        <w:rPr>
          <w:rFonts w:hint="eastAsia" w:ascii="仿宋" w:hAnsi="仿宋" w:eastAsia="仿宋" w:cs="宋体"/>
          <w:strike w:val="0"/>
          <w:dstrike w:val="0"/>
          <w:sz w:val="32"/>
          <w:szCs w:val="32"/>
          <w:u w:val="none"/>
        </w:rPr>
        <w:t>进行维护和管理，</w:t>
      </w:r>
      <w:r>
        <w:rPr>
          <w:rFonts w:hint="eastAsia" w:ascii="仿宋" w:hAnsi="仿宋" w:eastAsia="仿宋" w:cs="宋体"/>
          <w:strike w:val="0"/>
          <w:dstrike w:val="0"/>
          <w:sz w:val="32"/>
          <w:szCs w:val="32"/>
          <w:u w:val="none"/>
          <w:lang w:val="en-US" w:eastAsia="zh-CN"/>
        </w:rPr>
        <w:t>强化密闭措施，</w:t>
      </w:r>
      <w:r>
        <w:rPr>
          <w:rFonts w:hint="eastAsia" w:ascii="仿宋" w:hAnsi="仿宋" w:eastAsia="仿宋" w:cs="宋体"/>
          <w:strike w:val="0"/>
          <w:dstrike w:val="0"/>
          <w:sz w:val="32"/>
          <w:szCs w:val="32"/>
          <w:u w:val="none"/>
        </w:rPr>
        <w:t>最大限度减少生产过程中的废气无组织排放，确保厂界大气污染物无组织废气</w:t>
      </w:r>
      <w:r>
        <w:rPr>
          <w:rFonts w:hint="eastAsia" w:ascii="仿宋" w:hAnsi="仿宋" w:eastAsia="仿宋" w:cs="宋体"/>
          <w:strike w:val="0"/>
          <w:dstrike w:val="0"/>
          <w:sz w:val="32"/>
          <w:szCs w:val="32"/>
          <w:u w:val="none"/>
          <w:lang w:val="en-US" w:eastAsia="zh-CN"/>
        </w:rPr>
        <w:t>排放</w:t>
      </w:r>
      <w:r>
        <w:rPr>
          <w:rFonts w:hint="eastAsia" w:ascii="仿宋" w:hAnsi="仿宋" w:eastAsia="仿宋" w:cs="宋体"/>
          <w:strike w:val="0"/>
          <w:dstrike w:val="0"/>
          <w:sz w:val="32"/>
          <w:szCs w:val="32"/>
          <w:u w:val="none"/>
        </w:rPr>
        <w:t>满足</w:t>
      </w:r>
      <w:r>
        <w:rPr>
          <w:rFonts w:hint="eastAsia" w:ascii="仿宋" w:hAnsi="仿宋" w:eastAsia="仿宋" w:cs="宋体"/>
          <w:strike w:val="0"/>
          <w:dstrike w:val="0"/>
          <w:sz w:val="32"/>
          <w:szCs w:val="32"/>
          <w:u w:val="none"/>
          <w:lang w:eastAsia="zh-CN"/>
        </w:rPr>
        <w:t>《大气污染物排放标准》（GB16297-1996）</w:t>
      </w:r>
      <w:r>
        <w:rPr>
          <w:rFonts w:hint="eastAsia" w:ascii="仿宋" w:hAnsi="仿宋" w:eastAsia="仿宋"/>
          <w:sz w:val="32"/>
          <w:szCs w:val="32"/>
          <w:u w:val="none"/>
          <w:lang w:val="en-US" w:eastAsia="zh-CN"/>
        </w:rPr>
        <w:t>表2中和</w:t>
      </w:r>
      <w:r>
        <w:rPr>
          <w:rFonts w:hint="eastAsia" w:ascii="仿宋" w:hAnsi="仿宋" w:eastAsia="仿宋"/>
          <w:sz w:val="32"/>
          <w:szCs w:val="32"/>
          <w:u w:val="none"/>
          <w:lang w:eastAsia="zh-CN"/>
        </w:rPr>
        <w:t>《恶臭污染物排放标准》（GB</w:t>
      </w:r>
      <w:r>
        <w:rPr>
          <w:rFonts w:hint="eastAsia" w:ascii="仿宋" w:hAnsi="仿宋" w:eastAsia="仿宋"/>
          <w:sz w:val="32"/>
          <w:szCs w:val="32"/>
          <w:u w:val="none"/>
          <w:lang w:val="en-US" w:eastAsia="zh-CN"/>
        </w:rPr>
        <w:t>14554-93</w:t>
      </w:r>
      <w:r>
        <w:rPr>
          <w:rFonts w:hint="eastAsia" w:ascii="仿宋" w:hAnsi="仿宋" w:eastAsia="仿宋"/>
          <w:sz w:val="32"/>
          <w:szCs w:val="32"/>
          <w:u w:val="none"/>
          <w:lang w:eastAsia="zh-CN"/>
        </w:rPr>
        <w:t>）表</w:t>
      </w:r>
      <w:r>
        <w:rPr>
          <w:rFonts w:hint="eastAsia" w:ascii="仿宋" w:hAnsi="仿宋" w:eastAsia="仿宋"/>
          <w:sz w:val="32"/>
          <w:szCs w:val="32"/>
          <w:u w:val="none"/>
          <w:lang w:val="en-US" w:eastAsia="zh-CN"/>
        </w:rPr>
        <w:t>1相关浓度</w:t>
      </w:r>
      <w:r>
        <w:rPr>
          <w:rFonts w:hint="eastAsia" w:ascii="仿宋" w:hAnsi="仿宋" w:eastAsia="仿宋"/>
          <w:sz w:val="32"/>
          <w:szCs w:val="32"/>
          <w:u w:val="none"/>
          <w:lang w:eastAsia="zh-CN"/>
        </w:rPr>
        <w:t>限值要求；</w:t>
      </w:r>
      <w:r>
        <w:rPr>
          <w:rFonts w:hint="eastAsia" w:ascii="仿宋" w:hAnsi="仿宋" w:eastAsia="仿宋"/>
          <w:sz w:val="32"/>
          <w:szCs w:val="32"/>
          <w:u w:val="none"/>
          <w:lang w:val="en-US" w:eastAsia="zh-CN"/>
        </w:rPr>
        <w:t>厂区内挥发性有机物无组织排放满足《挥发性有机物无组织排放控制标准》（GB37822-2019）表A.1中标准限值要求。</w:t>
      </w:r>
    </w:p>
    <w:p>
      <w:pPr>
        <w:keepNext w:val="0"/>
        <w:keepLines w:val="0"/>
        <w:pageBreakBefore w:val="0"/>
        <w:widowControl w:val="0"/>
        <w:kinsoku/>
        <w:wordWrap/>
        <w:overflowPunct/>
        <w:topLinePunct w:val="0"/>
        <w:autoSpaceDN/>
        <w:bidi w:val="0"/>
        <w:adjustRightInd/>
        <w:snapToGrid/>
        <w:spacing w:line="480" w:lineRule="exact"/>
        <w:textAlignment w:val="auto"/>
        <w:rPr>
          <w:rFonts w:hint="default" w:ascii="仿宋" w:hAnsi="仿宋" w:eastAsia="仿宋"/>
          <w:sz w:val="32"/>
          <w:szCs w:val="32"/>
          <w:u w:val="single"/>
          <w:lang w:val="en-US" w:eastAsia="zh-CN"/>
        </w:rPr>
      </w:pPr>
      <w:r>
        <w:rPr>
          <w:rFonts w:hint="eastAsia" w:ascii="仿宋" w:hAnsi="仿宋" w:eastAsia="仿宋"/>
          <w:sz w:val="32"/>
          <w:szCs w:val="32"/>
          <w:u w:val="none"/>
          <w:lang w:val="en-US" w:eastAsia="zh-CN"/>
        </w:rPr>
        <w:t>（三）废水污染防治工作。严格按“雨污分流、清污分流、污污分流”原则，规</w:t>
      </w:r>
      <w:r>
        <w:rPr>
          <w:rFonts w:hint="eastAsia" w:ascii="仿宋" w:hAnsi="仿宋" w:eastAsia="仿宋" w:cs="Times New Roman"/>
          <w:color w:val="auto"/>
          <w:sz w:val="32"/>
          <w:szCs w:val="32"/>
          <w:u w:val="none"/>
          <w:lang w:val="en-US" w:eastAsia="zh-CN" w:bidi="ar-SA"/>
        </w:rPr>
        <w:t>范建设厂区雨污管网并与园区管网做好对接工作。项目生产工序</w:t>
      </w:r>
      <w:r>
        <w:rPr>
          <w:rFonts w:hint="eastAsia" w:ascii="仿宋" w:hAnsi="仿宋" w:eastAsia="仿宋"/>
          <w:sz w:val="32"/>
          <w:szCs w:val="32"/>
          <w:u w:val="none"/>
        </w:rPr>
        <w:t>清洗废水、地面冲洗废水、初期雨水、实验分析废水</w:t>
      </w:r>
      <w:r>
        <w:rPr>
          <w:rFonts w:hint="eastAsia" w:ascii="仿宋" w:hAnsi="仿宋" w:eastAsia="仿宋"/>
          <w:sz w:val="32"/>
          <w:szCs w:val="32"/>
          <w:u w:val="none"/>
          <w:lang w:val="en-US" w:eastAsia="zh-CN"/>
        </w:rPr>
        <w:t>等生产废水经自建污水处理站（处理能力为</w:t>
      </w:r>
      <w:r>
        <w:rPr>
          <w:rFonts w:hint="eastAsia" w:ascii="仿宋" w:hAnsi="仿宋" w:eastAsia="仿宋"/>
          <w:sz w:val="32"/>
          <w:szCs w:val="32"/>
          <w:u w:val="none"/>
          <w:lang w:eastAsia="zh-CN"/>
        </w:rPr>
        <w:t>120</w:t>
      </w:r>
      <w:r>
        <w:rPr>
          <w:rFonts w:hint="eastAsia" w:ascii="仿宋" w:hAnsi="仿宋" w:eastAsia="仿宋"/>
          <w:sz w:val="32"/>
          <w:szCs w:val="32"/>
          <w:u w:val="none"/>
        </w:rPr>
        <w:t>m</w:t>
      </w:r>
      <w:r>
        <w:rPr>
          <w:rFonts w:hint="eastAsia" w:ascii="仿宋" w:hAnsi="仿宋" w:eastAsia="仿宋"/>
          <w:sz w:val="32"/>
          <w:szCs w:val="32"/>
          <w:u w:val="none"/>
          <w:vertAlign w:val="superscript"/>
        </w:rPr>
        <w:t>3</w:t>
      </w:r>
      <w:r>
        <w:rPr>
          <w:rFonts w:hint="eastAsia" w:ascii="仿宋" w:hAnsi="仿宋" w:eastAsia="仿宋"/>
          <w:sz w:val="32"/>
          <w:szCs w:val="32"/>
          <w:u w:val="none"/>
        </w:rPr>
        <w:t>/d</w:t>
      </w:r>
      <w:r>
        <w:rPr>
          <w:rFonts w:hint="eastAsia" w:ascii="仿宋" w:hAnsi="仿宋" w:eastAsia="仿宋"/>
          <w:sz w:val="32"/>
          <w:szCs w:val="32"/>
          <w:u w:val="none"/>
          <w:lang w:eastAsia="zh-CN"/>
        </w:rPr>
        <w:t>、</w:t>
      </w:r>
      <w:r>
        <w:rPr>
          <w:rFonts w:hint="eastAsia" w:ascii="仿宋" w:hAnsi="仿宋" w:eastAsia="仿宋"/>
          <w:sz w:val="32"/>
          <w:szCs w:val="32"/>
          <w:u w:val="none"/>
        </w:rPr>
        <w:t>处理工艺</w:t>
      </w:r>
      <w:r>
        <w:rPr>
          <w:rFonts w:hint="eastAsia" w:ascii="仿宋" w:hAnsi="仿宋" w:eastAsia="仿宋"/>
          <w:sz w:val="32"/>
          <w:szCs w:val="32"/>
          <w:u w:val="none"/>
          <w:lang w:val="en-US" w:eastAsia="zh-CN"/>
        </w:rPr>
        <w:t>为</w:t>
      </w:r>
      <w:r>
        <w:rPr>
          <w:rFonts w:hint="eastAsia" w:ascii="仿宋" w:hAnsi="仿宋" w:eastAsia="仿宋"/>
          <w:sz w:val="32"/>
          <w:szCs w:val="32"/>
          <w:u w:val="none"/>
        </w:rPr>
        <w:t>“隔油+芬顿氧化+HDS装置+絮凝沉降+生化处理+MBR"</w:t>
      </w:r>
      <w:r>
        <w:rPr>
          <w:rFonts w:hint="eastAsia" w:ascii="仿宋" w:hAnsi="仿宋" w:eastAsia="仿宋"/>
          <w:sz w:val="32"/>
          <w:szCs w:val="32"/>
          <w:u w:val="none"/>
          <w:lang w:val="en-US" w:eastAsia="zh-CN"/>
        </w:rPr>
        <w:t>）处理，</w:t>
      </w:r>
      <w:r>
        <w:rPr>
          <w:rFonts w:hint="eastAsia" w:ascii="仿宋" w:hAnsi="仿宋" w:eastAsia="仿宋"/>
          <w:sz w:val="32"/>
          <w:szCs w:val="32"/>
          <w:u w:val="none"/>
          <w:lang w:eastAsia="zh-CN"/>
        </w:rPr>
        <w:t>员工生活污水</w:t>
      </w:r>
      <w:r>
        <w:rPr>
          <w:rFonts w:hint="eastAsia" w:ascii="仿宋" w:hAnsi="仿宋" w:eastAsia="仿宋"/>
          <w:sz w:val="32"/>
          <w:szCs w:val="32"/>
          <w:u w:val="none"/>
          <w:lang w:val="en-US" w:eastAsia="zh-CN"/>
        </w:rPr>
        <w:t>经生化处理，同时满足《无机化学工业污染物排放标准》(GB31573-2015)中表1间接排放限值和园区污水处理厂纳管要求后，一并经园区污水管网进入园区污水处理厂进一步达标处理。项目投产前园区与污水处理厂的污水管网如未碰通，则生产系统不得投入运行</w:t>
      </w:r>
      <w:r>
        <w:rPr>
          <w:rFonts w:hint="eastAsia" w:ascii="仿宋" w:hAnsi="仿宋" w:eastAsia="仿宋" w:cs="仿宋"/>
          <w:sz w:val="32"/>
          <w:szCs w:val="32"/>
          <w:u w:val="none"/>
          <w:lang w:val="en-US" w:eastAsia="zh-CN"/>
        </w:rPr>
        <w:t>。</w:t>
      </w:r>
    </w:p>
    <w:p>
      <w:pPr>
        <w:pStyle w:val="5"/>
        <w:keepNext w:val="0"/>
        <w:keepLines w:val="0"/>
        <w:pageBreakBefore w:val="0"/>
        <w:widowControl w:val="0"/>
        <w:kinsoku/>
        <w:wordWrap/>
        <w:overflowPunct/>
        <w:topLinePunct w:val="0"/>
        <w:autoSpaceDN/>
        <w:bidi w:val="0"/>
        <w:adjustRightInd/>
        <w:snapToGrid/>
        <w:spacing w:after="0" w:line="480" w:lineRule="exact"/>
        <w:ind w:firstLine="640" w:firstLineChars="200"/>
        <w:textAlignment w:val="auto"/>
        <w:rPr>
          <w:rFonts w:hint="eastAsia" w:ascii="仿宋" w:hAnsi="仿宋" w:eastAsia="仿宋" w:cs="_4eff_5b8b_GB2312"/>
          <w:bCs/>
          <w:color w:val="000000"/>
          <w:sz w:val="32"/>
          <w:szCs w:val="32"/>
          <w:u w:val="single"/>
        </w:rPr>
      </w:pPr>
      <w:r>
        <w:rPr>
          <w:rFonts w:hint="eastAsia" w:ascii="仿宋" w:hAnsi="仿宋" w:eastAsia="仿宋" w:cs="_4eff_5b8b_GB2312"/>
          <w:bCs/>
          <w:color w:val="000000"/>
          <w:sz w:val="32"/>
          <w:szCs w:val="32"/>
          <w:u w:val="none"/>
        </w:rPr>
        <w:t>（四）地下水污染防治工作。按照分区防控的原则落实报告书提出的地下水污染防治措施，做好</w:t>
      </w:r>
      <w:r>
        <w:rPr>
          <w:rFonts w:hint="eastAsia" w:ascii="仿宋" w:hAnsi="仿宋" w:eastAsia="仿宋" w:cs="_4eff_5b8b_GB2312"/>
          <w:bCs/>
          <w:color w:val="000000"/>
          <w:sz w:val="32"/>
          <w:szCs w:val="32"/>
          <w:u w:val="none"/>
          <w:lang w:val="en-US" w:eastAsia="zh-CN"/>
        </w:rPr>
        <w:t>项目生产区、化学品仓库</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罐区、储存场、</w:t>
      </w:r>
      <w:r>
        <w:rPr>
          <w:rFonts w:hint="eastAsia" w:ascii="仿宋" w:hAnsi="仿宋" w:eastAsia="仿宋" w:cs="_4eff_5b8b_GB2312"/>
          <w:bCs/>
          <w:color w:val="000000"/>
          <w:sz w:val="32"/>
          <w:szCs w:val="32"/>
          <w:u w:val="none"/>
        </w:rPr>
        <w:t>事故池、危废暂存间</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污水处理站</w:t>
      </w:r>
      <w:r>
        <w:rPr>
          <w:rFonts w:hint="eastAsia" w:ascii="仿宋" w:hAnsi="仿宋" w:eastAsia="仿宋" w:cs="_4eff_5b8b_GB2312"/>
          <w:bCs/>
          <w:color w:val="000000"/>
          <w:sz w:val="32"/>
          <w:szCs w:val="32"/>
          <w:u w:val="none"/>
        </w:rPr>
        <w:t>和地下污水管网等</w:t>
      </w:r>
      <w:r>
        <w:rPr>
          <w:rFonts w:hint="eastAsia" w:ascii="仿宋" w:hAnsi="仿宋" w:eastAsia="仿宋" w:cs="_4eff_5b8b_GB2312"/>
          <w:bCs/>
          <w:color w:val="000000"/>
          <w:sz w:val="32"/>
          <w:szCs w:val="32"/>
          <w:u w:val="none"/>
          <w:lang w:val="en-US" w:eastAsia="zh-CN"/>
        </w:rPr>
        <w:t>区域</w:t>
      </w:r>
      <w:r>
        <w:rPr>
          <w:rFonts w:hint="eastAsia" w:ascii="仿宋" w:hAnsi="仿宋" w:eastAsia="仿宋" w:cs="_4eff_5b8b_GB2312"/>
          <w:bCs/>
          <w:color w:val="000000"/>
          <w:sz w:val="32"/>
          <w:szCs w:val="32"/>
          <w:u w:val="none"/>
        </w:rPr>
        <w:t>的防渗工作，避免由于</w:t>
      </w:r>
      <w:r>
        <w:rPr>
          <w:rFonts w:hint="eastAsia" w:ascii="仿宋" w:hAnsi="仿宋" w:eastAsia="仿宋" w:cs="仿宋"/>
          <w:sz w:val="32"/>
          <w:szCs w:val="32"/>
          <w:u w:val="none"/>
        </w:rPr>
        <w:t>泄漏</w:t>
      </w:r>
      <w:r>
        <w:rPr>
          <w:rFonts w:hint="eastAsia" w:ascii="仿宋" w:hAnsi="仿宋" w:eastAsia="仿宋" w:cs="_4eff_5b8b_GB2312"/>
          <w:bCs/>
          <w:color w:val="000000"/>
          <w:sz w:val="32"/>
          <w:szCs w:val="32"/>
          <w:u w:val="none"/>
        </w:rPr>
        <w:t>造成污染物下渗污染地下水；</w:t>
      </w:r>
      <w:r>
        <w:rPr>
          <w:rFonts w:hint="eastAsia" w:ascii="仿宋" w:hAnsi="仿宋" w:eastAsia="仿宋" w:cs="_4eff_5b8b_GB2312"/>
          <w:bCs/>
          <w:color w:val="000000"/>
          <w:sz w:val="32"/>
          <w:szCs w:val="32"/>
          <w:u w:val="none"/>
          <w:lang w:val="en-US" w:eastAsia="zh-CN"/>
        </w:rPr>
        <w:t>规范布置监测井，</w:t>
      </w:r>
      <w:r>
        <w:rPr>
          <w:rFonts w:hint="eastAsia" w:ascii="仿宋" w:hAnsi="仿宋" w:eastAsia="仿宋" w:cs="_4eff_5b8b_GB2312"/>
          <w:bCs/>
          <w:color w:val="000000"/>
          <w:sz w:val="32"/>
          <w:szCs w:val="32"/>
          <w:u w:val="none"/>
        </w:rPr>
        <w:t>根据《环境影响评价技术导则</w:t>
      </w:r>
      <w:r>
        <w:rPr>
          <w:rFonts w:hint="eastAsia" w:ascii="仿宋" w:hAnsi="仿宋" w:eastAsia="仿宋" w:cs="_4eff_5b8b_GB2312"/>
          <w:bCs/>
          <w:color w:val="000000"/>
          <w:sz w:val="32"/>
          <w:szCs w:val="32"/>
          <w:u w:val="none"/>
          <w:lang w:val="en-US" w:eastAsia="zh-CN"/>
        </w:rPr>
        <w:t xml:space="preserve"> </w:t>
      </w:r>
      <w:r>
        <w:rPr>
          <w:rFonts w:hint="eastAsia" w:ascii="仿宋" w:hAnsi="仿宋" w:eastAsia="仿宋" w:cs="_4eff_5b8b_GB2312"/>
          <w:bCs/>
          <w:color w:val="000000"/>
          <w:sz w:val="32"/>
          <w:szCs w:val="32"/>
          <w:u w:val="none"/>
        </w:rPr>
        <w:t>地下水环境》(HJ610-2016)要求，做好</w:t>
      </w:r>
      <w:r>
        <w:rPr>
          <w:rFonts w:hint="eastAsia" w:ascii="仿宋" w:hAnsi="仿宋" w:eastAsia="仿宋" w:cs="_4eff_5b8b_GB2312"/>
          <w:bCs/>
          <w:color w:val="000000"/>
          <w:sz w:val="32"/>
          <w:szCs w:val="32"/>
          <w:u w:val="none"/>
          <w:lang w:val="en-US" w:eastAsia="zh-CN"/>
        </w:rPr>
        <w:t>定期</w:t>
      </w:r>
      <w:r>
        <w:rPr>
          <w:rFonts w:hint="eastAsia" w:ascii="仿宋" w:hAnsi="仿宋" w:eastAsia="仿宋" w:cs="_4eff_5b8b_GB2312"/>
          <w:bCs/>
          <w:color w:val="000000"/>
          <w:sz w:val="32"/>
          <w:szCs w:val="32"/>
          <w:u w:val="none"/>
        </w:rPr>
        <w:t>跟踪监测工作，确保地下水环境安全。</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default" w:ascii="仿宋" w:hAnsi="仿宋" w:eastAsia="仿宋"/>
          <w:sz w:val="32"/>
          <w:szCs w:val="32"/>
          <w:u w:val="none"/>
          <w:lang w:val="en-US" w:eastAsia="zh-CN"/>
        </w:rPr>
      </w:pPr>
      <w:r>
        <w:rPr>
          <w:rFonts w:hint="eastAsia" w:ascii="仿宋" w:hAnsi="仿宋" w:eastAsia="仿宋"/>
          <w:sz w:val="32"/>
          <w:szCs w:val="32"/>
          <w:u w:val="none"/>
          <w:lang w:val="en-US" w:eastAsia="zh-CN"/>
        </w:rPr>
        <w:t>（五）土壤污染防治工作。按照“源头控制、分区防控、污染监控、应急响应”相结合的原则，初期雨水排入污水处理站处理，对</w:t>
      </w:r>
      <w:r>
        <w:rPr>
          <w:rFonts w:hint="eastAsia" w:ascii="仿宋" w:hAnsi="仿宋" w:eastAsia="仿宋" w:cs="_4eff_5b8b_GB2312"/>
          <w:bCs/>
          <w:color w:val="000000"/>
          <w:sz w:val="32"/>
          <w:szCs w:val="32"/>
          <w:u w:val="none"/>
          <w:lang w:val="en-US" w:eastAsia="zh-CN"/>
        </w:rPr>
        <w:t>生产区、化学品仓库</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罐区、储存场、</w:t>
      </w:r>
      <w:r>
        <w:rPr>
          <w:rFonts w:hint="eastAsia" w:ascii="仿宋" w:hAnsi="仿宋" w:eastAsia="仿宋" w:cs="_4eff_5b8b_GB2312"/>
          <w:bCs/>
          <w:color w:val="000000"/>
          <w:sz w:val="32"/>
          <w:szCs w:val="32"/>
          <w:u w:val="none"/>
        </w:rPr>
        <w:t>事故池、危废暂存间</w:t>
      </w:r>
      <w:r>
        <w:rPr>
          <w:rFonts w:hint="eastAsia" w:ascii="仿宋" w:hAnsi="仿宋" w:eastAsia="仿宋" w:cs="_4eff_5b8b_GB2312"/>
          <w:bCs/>
          <w:color w:val="000000"/>
          <w:sz w:val="32"/>
          <w:szCs w:val="32"/>
          <w:u w:val="none"/>
          <w:lang w:eastAsia="zh-CN"/>
        </w:rPr>
        <w:t>、</w:t>
      </w:r>
      <w:r>
        <w:rPr>
          <w:rFonts w:hint="eastAsia" w:ascii="仿宋" w:hAnsi="仿宋" w:eastAsia="仿宋" w:cs="_4eff_5b8b_GB2312"/>
          <w:bCs/>
          <w:color w:val="000000"/>
          <w:sz w:val="32"/>
          <w:szCs w:val="32"/>
          <w:u w:val="none"/>
          <w:lang w:val="en-US" w:eastAsia="zh-CN"/>
        </w:rPr>
        <w:t>污水处理站</w:t>
      </w:r>
      <w:r>
        <w:rPr>
          <w:rFonts w:hint="eastAsia" w:ascii="仿宋" w:hAnsi="仿宋" w:eastAsia="仿宋" w:cs="_4eff_5b8b_GB2312"/>
          <w:bCs/>
          <w:color w:val="000000"/>
          <w:sz w:val="32"/>
          <w:szCs w:val="32"/>
          <w:u w:val="none"/>
        </w:rPr>
        <w:t>和</w:t>
      </w:r>
      <w:r>
        <w:rPr>
          <w:rFonts w:hint="eastAsia" w:ascii="仿宋" w:hAnsi="仿宋" w:eastAsia="仿宋"/>
          <w:sz w:val="32"/>
          <w:szCs w:val="32"/>
          <w:u w:val="none"/>
          <w:lang w:val="en-US" w:eastAsia="zh-CN"/>
        </w:rPr>
        <w:t>污水、事故水管网等区域采取重点防渗。对</w:t>
      </w:r>
      <w:r>
        <w:rPr>
          <w:rFonts w:hint="eastAsia" w:ascii="仿宋" w:hAnsi="仿宋" w:eastAsia="仿宋" w:cs="Times New Roman"/>
          <w:sz w:val="32"/>
          <w:szCs w:val="32"/>
          <w:u w:val="none"/>
        </w:rPr>
        <w:t>工艺、管道、设备、排水</w:t>
      </w:r>
      <w:r>
        <w:rPr>
          <w:rFonts w:hint="eastAsia" w:ascii="仿宋" w:hAnsi="仿宋" w:eastAsia="仿宋" w:cs="Times New Roman"/>
          <w:sz w:val="32"/>
          <w:szCs w:val="32"/>
          <w:u w:val="none"/>
          <w:lang w:val="en-US" w:eastAsia="zh-CN"/>
        </w:rPr>
        <w:t>等</w:t>
      </w:r>
      <w:r>
        <w:rPr>
          <w:rFonts w:hint="eastAsia" w:ascii="仿宋" w:hAnsi="仿宋" w:eastAsia="仿宋"/>
          <w:sz w:val="32"/>
          <w:szCs w:val="32"/>
          <w:u w:val="none"/>
          <w:lang w:val="en-US" w:eastAsia="zh-CN"/>
        </w:rPr>
        <w:t>采取泄漏控制措施，并定期进行土壤保护目标跟踪监测，确保土壤</w:t>
      </w:r>
      <w:r>
        <w:rPr>
          <w:rFonts w:hint="eastAsia" w:ascii="仿宋" w:hAnsi="仿宋" w:eastAsia="仿宋" w:cs="_4eff_5b8b_GB2312"/>
          <w:bCs/>
          <w:color w:val="000000"/>
          <w:sz w:val="32"/>
          <w:szCs w:val="32"/>
          <w:u w:val="none"/>
        </w:rPr>
        <w:t>环境安全。</w:t>
      </w:r>
    </w:p>
    <w:p>
      <w:pPr>
        <w:keepNext w:val="0"/>
        <w:keepLines w:val="0"/>
        <w:pageBreakBefore w:val="0"/>
        <w:widowControl w:val="0"/>
        <w:kinsoku/>
        <w:wordWrap/>
        <w:overflowPunct/>
        <w:topLinePunct w:val="0"/>
        <w:autoSpaceDE w:val="0"/>
        <w:autoSpaceDN/>
        <w:bidi w:val="0"/>
        <w:adjustRightInd/>
        <w:snapToGrid/>
        <w:spacing w:line="480" w:lineRule="exact"/>
        <w:ind w:firstLine="640"/>
        <w:textAlignment w:val="auto"/>
        <w:rPr>
          <w:rFonts w:hint="default" w:ascii="仿宋" w:hAnsi="仿宋" w:eastAsia="仿宋"/>
          <w:sz w:val="32"/>
          <w:szCs w:val="32"/>
          <w:u w:val="none"/>
          <w:lang w:val="en-US" w:eastAsia="zh-CN"/>
        </w:rPr>
      </w:pPr>
      <w:r>
        <w:rPr>
          <w:rFonts w:hint="eastAsia" w:ascii="仿宋" w:hAnsi="仿宋" w:eastAsia="仿宋" w:cs="_4eff_5b8b_GB2312"/>
          <w:bCs/>
          <w:color w:val="000000"/>
          <w:sz w:val="32"/>
          <w:szCs w:val="32"/>
          <w:u w:val="none"/>
          <w:lang w:val="en-US" w:eastAsia="zh-CN" w:bidi="ar-SA"/>
        </w:rPr>
        <w:t>（六）噪声污染防治工作。合理布局，采用低噪声设备，加强生产设备的日常维护保养工作，对空压机、风机、制冷机组、冷却塔、各类泵等主要噪声源设备采取隔声</w:t>
      </w:r>
      <w:r>
        <w:rPr>
          <w:rFonts w:hint="eastAsia" w:ascii="仿宋" w:hAnsi="仿宋" w:eastAsia="仿宋" w:cs="仿宋"/>
          <w:color w:val="000000"/>
          <w:sz w:val="32"/>
          <w:szCs w:val="32"/>
          <w:u w:val="none"/>
        </w:rPr>
        <w:t>、消声</w:t>
      </w:r>
      <w:r>
        <w:rPr>
          <w:rFonts w:hint="eastAsia" w:ascii="仿宋" w:hAnsi="仿宋" w:eastAsia="仿宋" w:cs="_4eff_5b8b_GB2312"/>
          <w:bCs/>
          <w:color w:val="000000"/>
          <w:sz w:val="32"/>
          <w:szCs w:val="32"/>
          <w:u w:val="none"/>
          <w:lang w:val="en-US" w:eastAsia="zh-CN" w:bidi="ar-SA"/>
        </w:rPr>
        <w:t>、减振等措施，确保厂界噪声达到《工业企业厂界环境噪声排放标准》(GB12348-2008)中的3类和4a（交通干线侧）标准要求。</w:t>
      </w:r>
    </w:p>
    <w:p>
      <w:pPr>
        <w:pStyle w:val="5"/>
        <w:keepNext w:val="0"/>
        <w:keepLines w:val="0"/>
        <w:pageBreakBefore w:val="0"/>
        <w:widowControl w:val="0"/>
        <w:kinsoku/>
        <w:wordWrap/>
        <w:overflowPunct/>
        <w:topLinePunct w:val="0"/>
        <w:autoSpaceDN/>
        <w:bidi w:val="0"/>
        <w:adjustRightInd/>
        <w:snapToGrid/>
        <w:spacing w:after="0" w:line="480" w:lineRule="exact"/>
        <w:ind w:firstLine="640" w:firstLineChars="200"/>
        <w:textAlignment w:val="auto"/>
        <w:rPr>
          <w:rFonts w:hint="eastAsia" w:ascii="仿宋" w:hAnsi="仿宋" w:eastAsia="仿宋"/>
          <w:sz w:val="32"/>
          <w:szCs w:val="32"/>
          <w:u w:val="none"/>
        </w:rPr>
      </w:pPr>
      <w:r>
        <w:rPr>
          <w:rFonts w:hint="eastAsia" w:ascii="仿宋" w:hAnsi="仿宋" w:eastAsia="仿宋" w:cs="_4eff_5b8b_GB2312"/>
          <w:bCs/>
          <w:color w:val="000000"/>
          <w:sz w:val="32"/>
          <w:szCs w:val="32"/>
          <w:u w:val="none"/>
        </w:rPr>
        <w:t>（七）</w:t>
      </w:r>
      <w:r>
        <w:rPr>
          <w:rFonts w:hint="eastAsia" w:ascii="仿宋" w:hAnsi="仿宋" w:eastAsia="仿宋"/>
          <w:sz w:val="32"/>
          <w:szCs w:val="32"/>
          <w:u w:val="none"/>
        </w:rPr>
        <w:t>固体废物管理工作。根据“无害化、减量化、资源化”原则，严格落实《危险废物贮存污染控制标准（GB18597-2001）》及其2013年修改单和《危险废物收集贮存运输技术规范》（HJ 2025-2012）以及《</w:t>
      </w:r>
      <w:r>
        <w:rPr>
          <w:rFonts w:hint="eastAsia" w:ascii="仿宋" w:hAnsi="仿宋" w:eastAsia="仿宋"/>
          <w:sz w:val="32"/>
          <w:szCs w:val="32"/>
          <w:u w:val="none"/>
        </w:rPr>
        <w:fldChar w:fldCharType="begin"/>
      </w:r>
      <w:r>
        <w:rPr>
          <w:rFonts w:hint="eastAsia" w:ascii="仿宋" w:hAnsi="仿宋" w:eastAsia="仿宋"/>
          <w:sz w:val="32"/>
          <w:szCs w:val="32"/>
          <w:u w:val="none"/>
        </w:rPr>
        <w:instrText xml:space="preserve"> HYPERLINK "http://www.mee.gov.cn/ywgz/fgbz/bz/bzwb/gthw/gtfwwrkzbz/202012/W020201218695845325455.pdf" </w:instrText>
      </w:r>
      <w:r>
        <w:rPr>
          <w:rFonts w:hint="eastAsia" w:ascii="仿宋" w:hAnsi="仿宋" w:eastAsia="仿宋"/>
          <w:sz w:val="32"/>
          <w:szCs w:val="32"/>
          <w:u w:val="none"/>
        </w:rPr>
        <w:fldChar w:fldCharType="separate"/>
      </w:r>
      <w:r>
        <w:rPr>
          <w:rFonts w:hint="eastAsia" w:ascii="仿宋" w:hAnsi="仿宋" w:eastAsia="仿宋"/>
          <w:sz w:val="32"/>
          <w:szCs w:val="32"/>
          <w:u w:val="none"/>
        </w:rPr>
        <w:t>一般工业固体废物贮存和填埋污染控制标准（GB18599-2020）</w:t>
      </w:r>
      <w:r>
        <w:rPr>
          <w:rFonts w:hint="eastAsia" w:ascii="仿宋" w:hAnsi="仿宋" w:eastAsia="仿宋"/>
          <w:sz w:val="32"/>
          <w:szCs w:val="32"/>
          <w:u w:val="none"/>
        </w:rPr>
        <w:fldChar w:fldCharType="end"/>
      </w:r>
      <w:r>
        <w:rPr>
          <w:rFonts w:hint="eastAsia" w:ascii="仿宋" w:hAnsi="仿宋" w:eastAsia="仿宋"/>
          <w:sz w:val="32"/>
          <w:szCs w:val="32"/>
          <w:u w:val="none"/>
        </w:rPr>
        <w:t>》相关标准和规定要求，</w:t>
      </w:r>
      <w:r>
        <w:rPr>
          <w:rFonts w:hint="eastAsia" w:ascii="仿宋" w:hAnsi="仿宋" w:eastAsia="仿宋"/>
          <w:sz w:val="32"/>
          <w:szCs w:val="32"/>
          <w:u w:val="none"/>
          <w:lang w:val="en-US" w:eastAsia="zh-CN"/>
        </w:rPr>
        <w:t>规范建设危险废物暂存间和</w:t>
      </w:r>
      <w:r>
        <w:rPr>
          <w:rFonts w:hint="eastAsia" w:ascii="仿宋" w:hAnsi="仿宋" w:eastAsia="仿宋"/>
          <w:sz w:val="32"/>
          <w:szCs w:val="32"/>
          <w:u w:val="none"/>
        </w:rPr>
        <w:t>一般工业固体废物</w:t>
      </w:r>
      <w:r>
        <w:rPr>
          <w:rFonts w:hint="eastAsia" w:ascii="仿宋" w:hAnsi="仿宋" w:eastAsia="仿宋"/>
          <w:sz w:val="32"/>
          <w:szCs w:val="32"/>
          <w:u w:val="none"/>
          <w:lang w:val="en-US" w:eastAsia="zh-CN"/>
        </w:rPr>
        <w:t>暂存间</w:t>
      </w:r>
      <w:r>
        <w:rPr>
          <w:rFonts w:hint="eastAsia" w:ascii="仿宋" w:hAnsi="仿宋" w:eastAsia="仿宋" w:cs="仿宋"/>
          <w:color w:val="000000"/>
          <w:sz w:val="32"/>
          <w:szCs w:val="32"/>
          <w:u w:val="none"/>
          <w:lang w:eastAsia="zh-CN"/>
        </w:rPr>
        <w:t>。</w:t>
      </w:r>
      <w:r>
        <w:rPr>
          <w:rFonts w:hint="eastAsia" w:ascii="仿宋" w:hAnsi="仿宋" w:eastAsia="仿宋"/>
          <w:sz w:val="32"/>
          <w:szCs w:val="32"/>
          <w:u w:val="none"/>
        </w:rPr>
        <w:t>做好各类固体废物分类收集、暂存工作，</w:t>
      </w:r>
      <w:r>
        <w:rPr>
          <w:rFonts w:hint="eastAsia" w:ascii="仿宋" w:hAnsi="仿宋" w:eastAsia="仿宋"/>
          <w:sz w:val="32"/>
          <w:szCs w:val="32"/>
          <w:u w:val="none"/>
          <w:lang w:val="en-US" w:eastAsia="zh-CN"/>
        </w:rPr>
        <w:t>建立健全</w:t>
      </w:r>
      <w:r>
        <w:rPr>
          <w:rFonts w:hint="eastAsia" w:ascii="仿宋" w:hAnsi="仿宋" w:eastAsia="仿宋"/>
          <w:sz w:val="32"/>
          <w:szCs w:val="32"/>
          <w:u w:val="none"/>
        </w:rPr>
        <w:t>固体废物产生、收集、储存、转运、处置等相关管理台帐。</w:t>
      </w:r>
      <w:r>
        <w:rPr>
          <w:rFonts w:hint="eastAsia" w:ascii="仿宋" w:hAnsi="仿宋" w:eastAsia="仿宋" w:cs="Times New Roman"/>
          <w:sz w:val="32"/>
          <w:szCs w:val="32"/>
          <w:u w:val="none"/>
        </w:rPr>
        <w:t>项</w:t>
      </w:r>
      <w:r>
        <w:rPr>
          <w:rFonts w:hint="eastAsia" w:ascii="仿宋" w:hAnsi="仿宋" w:eastAsia="仿宋"/>
          <w:sz w:val="32"/>
          <w:szCs w:val="32"/>
          <w:u w:val="none"/>
        </w:rPr>
        <w:t>目产生的废转化催化剂</w:t>
      </w:r>
      <w:r>
        <w:rPr>
          <w:rFonts w:hint="eastAsia" w:ascii="仿宋" w:hAnsi="仿宋" w:eastAsia="仿宋"/>
          <w:sz w:val="32"/>
          <w:szCs w:val="32"/>
          <w:u w:val="none"/>
          <w:lang w:eastAsia="zh-CN"/>
        </w:rPr>
        <w:t>、</w:t>
      </w:r>
      <w:r>
        <w:rPr>
          <w:rFonts w:hint="eastAsia" w:ascii="仿宋" w:hAnsi="仿宋" w:eastAsia="仿宋"/>
          <w:sz w:val="32"/>
          <w:szCs w:val="32"/>
          <w:u w:val="none"/>
        </w:rPr>
        <w:t>失活钯触媒</w:t>
      </w:r>
      <w:r>
        <w:rPr>
          <w:rFonts w:hint="eastAsia" w:ascii="仿宋" w:hAnsi="仿宋" w:eastAsia="仿宋"/>
          <w:sz w:val="32"/>
          <w:szCs w:val="32"/>
          <w:u w:val="none"/>
          <w:lang w:eastAsia="zh-CN"/>
        </w:rPr>
        <w:t>、</w:t>
      </w:r>
      <w:r>
        <w:rPr>
          <w:rFonts w:hint="eastAsia" w:ascii="仿宋" w:hAnsi="仿宋" w:eastAsia="仿宋"/>
          <w:sz w:val="32"/>
          <w:szCs w:val="32"/>
          <w:u w:val="none"/>
        </w:rPr>
        <w:t>废稳定剂袋、磷酸空桶</w:t>
      </w:r>
      <w:r>
        <w:rPr>
          <w:rFonts w:hint="eastAsia" w:ascii="仿宋" w:hAnsi="仿宋" w:eastAsia="仿宋"/>
          <w:sz w:val="32"/>
          <w:szCs w:val="32"/>
          <w:u w:val="none"/>
          <w:lang w:eastAsia="zh-CN"/>
        </w:rPr>
        <w:t>、</w:t>
      </w:r>
      <w:r>
        <w:rPr>
          <w:rFonts w:hint="eastAsia" w:ascii="仿宋" w:hAnsi="仿宋" w:eastAsia="仿宋"/>
          <w:sz w:val="32"/>
          <w:szCs w:val="32"/>
          <w:u w:val="none"/>
        </w:rPr>
        <w:t>废活性炭</w:t>
      </w:r>
      <w:r>
        <w:rPr>
          <w:rFonts w:hint="eastAsia" w:ascii="仿宋" w:hAnsi="仿宋" w:eastAsia="仿宋"/>
          <w:sz w:val="32"/>
          <w:szCs w:val="32"/>
          <w:u w:val="none"/>
          <w:lang w:eastAsia="zh-CN"/>
        </w:rPr>
        <w:t>、</w:t>
      </w:r>
      <w:r>
        <w:rPr>
          <w:rFonts w:hint="eastAsia" w:ascii="仿宋" w:hAnsi="仿宋" w:eastAsia="仿宋"/>
          <w:sz w:val="32"/>
          <w:szCs w:val="32"/>
          <w:u w:val="none"/>
        </w:rPr>
        <w:t>废离子交换树脂</w:t>
      </w:r>
      <w:r>
        <w:rPr>
          <w:rFonts w:hint="eastAsia" w:ascii="仿宋" w:hAnsi="仿宋" w:eastAsia="仿宋"/>
          <w:sz w:val="32"/>
          <w:szCs w:val="32"/>
          <w:u w:val="none"/>
          <w:lang w:eastAsia="zh-CN"/>
        </w:rPr>
        <w:t>、</w:t>
      </w:r>
      <w:r>
        <w:rPr>
          <w:rFonts w:hint="eastAsia" w:ascii="仿宋" w:hAnsi="仿宋" w:eastAsia="仿宋"/>
          <w:sz w:val="32"/>
          <w:szCs w:val="32"/>
          <w:u w:val="none"/>
        </w:rPr>
        <w:t>废</w:t>
      </w:r>
      <w:r>
        <w:rPr>
          <w:rFonts w:hint="eastAsia" w:ascii="仿宋" w:hAnsi="仿宋" w:eastAsia="仿宋"/>
          <w:sz w:val="32"/>
          <w:szCs w:val="32"/>
          <w:u w:val="none"/>
          <w:lang w:val="en-US" w:eastAsia="zh-CN"/>
        </w:rPr>
        <w:t>矿物</w:t>
      </w:r>
      <w:r>
        <w:rPr>
          <w:rFonts w:hint="eastAsia" w:ascii="仿宋" w:hAnsi="仿宋" w:eastAsia="仿宋"/>
          <w:sz w:val="32"/>
          <w:szCs w:val="32"/>
          <w:u w:val="none"/>
        </w:rPr>
        <w:t>油</w:t>
      </w:r>
      <w:r>
        <w:rPr>
          <w:rFonts w:hint="eastAsia" w:ascii="仿宋" w:hAnsi="仿宋" w:eastAsia="仿宋"/>
          <w:sz w:val="32"/>
          <w:szCs w:val="32"/>
          <w:u w:val="none"/>
          <w:lang w:eastAsia="zh-CN"/>
        </w:rPr>
        <w:t>、</w:t>
      </w:r>
      <w:r>
        <w:rPr>
          <w:rFonts w:hint="eastAsia" w:ascii="仿宋" w:hAnsi="仿宋" w:eastAsia="仿宋"/>
          <w:sz w:val="32"/>
          <w:szCs w:val="32"/>
          <w:u w:val="none"/>
        </w:rPr>
        <w:t>废</w:t>
      </w:r>
      <w:r>
        <w:rPr>
          <w:rFonts w:hint="eastAsia" w:ascii="仿宋" w:hAnsi="仿宋" w:eastAsia="仿宋"/>
          <w:sz w:val="32"/>
          <w:szCs w:val="32"/>
          <w:u w:val="none"/>
          <w:lang w:eastAsia="zh-CN"/>
        </w:rPr>
        <w:t>工作液、</w:t>
      </w:r>
      <w:r>
        <w:rPr>
          <w:rFonts w:hint="eastAsia" w:ascii="仿宋" w:hAnsi="仿宋" w:eastAsia="仿宋"/>
          <w:sz w:val="32"/>
          <w:szCs w:val="32"/>
          <w:u w:val="none"/>
        </w:rPr>
        <w:t>分析室废液、废试剂瓶</w:t>
      </w:r>
      <w:r>
        <w:rPr>
          <w:rFonts w:hint="eastAsia" w:ascii="仿宋" w:hAnsi="仿宋" w:eastAsia="仿宋"/>
          <w:sz w:val="32"/>
          <w:szCs w:val="32"/>
          <w:u w:val="none"/>
          <w:lang w:eastAsia="zh-CN"/>
        </w:rPr>
        <w:t>、</w:t>
      </w:r>
      <w:r>
        <w:rPr>
          <w:rFonts w:hint="eastAsia" w:ascii="仿宋" w:hAnsi="仿宋" w:eastAsia="仿宋"/>
          <w:sz w:val="32"/>
          <w:szCs w:val="32"/>
          <w:u w:val="none"/>
        </w:rPr>
        <w:t>废水站污泥等危险废物经收集交由有资质单位安全处置并严格执行转移联单制度</w:t>
      </w:r>
      <w:r>
        <w:rPr>
          <w:rFonts w:hint="eastAsia" w:ascii="仿宋" w:hAnsi="仿宋" w:eastAsia="仿宋"/>
          <w:sz w:val="32"/>
          <w:szCs w:val="32"/>
          <w:u w:val="none"/>
          <w:lang w:eastAsia="zh-CN"/>
        </w:rPr>
        <w:t>；</w:t>
      </w:r>
      <w:r>
        <w:rPr>
          <w:rFonts w:hint="eastAsia" w:ascii="仿宋" w:hAnsi="仿宋" w:eastAsia="仿宋"/>
          <w:sz w:val="32"/>
          <w:szCs w:val="32"/>
          <w:u w:val="none"/>
        </w:rPr>
        <w:t>废钴钼催化剂</w:t>
      </w:r>
      <w:r>
        <w:rPr>
          <w:rFonts w:hint="eastAsia" w:ascii="仿宋" w:hAnsi="仿宋" w:eastAsia="仿宋"/>
          <w:sz w:val="32"/>
          <w:szCs w:val="32"/>
          <w:u w:val="none"/>
          <w:lang w:eastAsia="zh-CN"/>
        </w:rPr>
        <w:t>、</w:t>
      </w:r>
      <w:r>
        <w:rPr>
          <w:rFonts w:hint="eastAsia" w:ascii="仿宋" w:hAnsi="仿宋" w:eastAsia="仿宋"/>
          <w:sz w:val="32"/>
          <w:szCs w:val="32"/>
          <w:u w:val="none"/>
        </w:rPr>
        <w:t>废脱硫剂</w:t>
      </w:r>
      <w:r>
        <w:rPr>
          <w:rFonts w:hint="eastAsia" w:ascii="仿宋" w:hAnsi="仿宋" w:eastAsia="仿宋"/>
          <w:sz w:val="32"/>
          <w:szCs w:val="32"/>
          <w:u w:val="none"/>
          <w:lang w:eastAsia="zh-CN"/>
        </w:rPr>
        <w:t>、</w:t>
      </w:r>
      <w:r>
        <w:rPr>
          <w:rFonts w:hint="eastAsia" w:ascii="仿宋" w:hAnsi="仿宋" w:eastAsia="仿宋"/>
          <w:sz w:val="32"/>
          <w:szCs w:val="32"/>
          <w:u w:val="none"/>
        </w:rPr>
        <w:t>废脱氯剂</w:t>
      </w:r>
      <w:r>
        <w:rPr>
          <w:rFonts w:hint="eastAsia" w:ascii="仿宋" w:hAnsi="仿宋" w:eastAsia="仿宋"/>
          <w:sz w:val="32"/>
          <w:szCs w:val="32"/>
          <w:u w:val="none"/>
          <w:lang w:eastAsia="zh-CN"/>
        </w:rPr>
        <w:t>、</w:t>
      </w:r>
      <w:r>
        <w:rPr>
          <w:rFonts w:hint="eastAsia" w:ascii="仿宋" w:hAnsi="仿宋" w:eastAsia="仿宋"/>
          <w:sz w:val="32"/>
          <w:szCs w:val="32"/>
          <w:u w:val="none"/>
        </w:rPr>
        <w:t>废变换吸附剂</w:t>
      </w:r>
      <w:r>
        <w:rPr>
          <w:rFonts w:hint="eastAsia" w:ascii="仿宋" w:hAnsi="仿宋" w:eastAsia="仿宋"/>
          <w:sz w:val="32"/>
          <w:szCs w:val="32"/>
          <w:u w:val="none"/>
          <w:lang w:eastAsia="zh-CN"/>
        </w:rPr>
        <w:t>、</w:t>
      </w:r>
      <w:r>
        <w:rPr>
          <w:rFonts w:hint="eastAsia" w:ascii="仿宋" w:hAnsi="仿宋" w:eastAsia="仿宋"/>
          <w:sz w:val="32"/>
          <w:szCs w:val="32"/>
          <w:u w:val="none"/>
        </w:rPr>
        <w:t>废变压吸附剂</w:t>
      </w:r>
      <w:r>
        <w:rPr>
          <w:rFonts w:hint="eastAsia" w:ascii="仿宋" w:hAnsi="仿宋" w:eastAsia="仿宋"/>
          <w:sz w:val="32"/>
          <w:szCs w:val="32"/>
          <w:u w:val="none"/>
          <w:lang w:eastAsia="zh-CN"/>
        </w:rPr>
        <w:t>、</w:t>
      </w:r>
      <w:r>
        <w:rPr>
          <w:rFonts w:hint="eastAsia" w:ascii="仿宋" w:hAnsi="仿宋" w:eastAsia="仿宋"/>
          <w:sz w:val="32"/>
          <w:szCs w:val="32"/>
          <w:u w:val="none"/>
        </w:rPr>
        <w:t>废瓷球</w:t>
      </w:r>
      <w:r>
        <w:rPr>
          <w:rFonts w:hint="eastAsia" w:ascii="仿宋" w:hAnsi="仿宋" w:eastAsia="仿宋"/>
          <w:sz w:val="32"/>
          <w:szCs w:val="32"/>
          <w:u w:val="none"/>
          <w:lang w:eastAsia="zh-CN"/>
        </w:rPr>
        <w:t>、</w:t>
      </w:r>
      <w:r>
        <w:rPr>
          <w:rFonts w:hint="eastAsia" w:ascii="仿宋" w:hAnsi="仿宋" w:eastAsia="仿宋"/>
          <w:sz w:val="32"/>
          <w:szCs w:val="32"/>
          <w:u w:val="none"/>
        </w:rPr>
        <w:t>废滤芯</w:t>
      </w:r>
      <w:r>
        <w:rPr>
          <w:rFonts w:hint="eastAsia" w:ascii="仿宋" w:hAnsi="仿宋" w:eastAsia="仿宋"/>
          <w:sz w:val="32"/>
          <w:szCs w:val="32"/>
          <w:u w:val="none"/>
          <w:lang w:eastAsia="zh-CN"/>
        </w:rPr>
        <w:t>、</w:t>
      </w:r>
      <w:r>
        <w:rPr>
          <w:rFonts w:hint="eastAsia" w:ascii="仿宋" w:hAnsi="仿宋" w:eastAsia="仿宋"/>
          <w:sz w:val="32"/>
          <w:szCs w:val="32"/>
          <w:u w:val="none"/>
        </w:rPr>
        <w:t>失活氧化铝</w:t>
      </w:r>
      <w:r>
        <w:rPr>
          <w:rFonts w:hint="eastAsia" w:ascii="仿宋" w:hAnsi="仿宋" w:eastAsia="仿宋"/>
          <w:sz w:val="32"/>
          <w:szCs w:val="32"/>
          <w:u w:val="none"/>
          <w:lang w:eastAsia="zh-CN"/>
        </w:rPr>
        <w:t>、</w:t>
      </w:r>
      <w:r>
        <w:rPr>
          <w:rFonts w:hint="eastAsia" w:ascii="仿宋" w:hAnsi="仿宋" w:eastAsia="仿宋"/>
          <w:sz w:val="32"/>
          <w:szCs w:val="32"/>
          <w:u w:val="none"/>
        </w:rPr>
        <w:t>废过滤膜</w:t>
      </w:r>
      <w:r>
        <w:rPr>
          <w:rFonts w:hint="eastAsia" w:ascii="仿宋" w:hAnsi="仿宋" w:eastAsia="仿宋"/>
          <w:sz w:val="32"/>
          <w:szCs w:val="32"/>
          <w:u w:val="none"/>
          <w:lang w:eastAsia="zh-CN"/>
        </w:rPr>
        <w:t>、</w:t>
      </w:r>
      <w:r>
        <w:rPr>
          <w:rFonts w:hint="eastAsia" w:ascii="仿宋" w:hAnsi="仿宋" w:eastAsia="仿宋"/>
          <w:sz w:val="32"/>
          <w:szCs w:val="32"/>
          <w:u w:val="none"/>
        </w:rPr>
        <w:t>废渗透膜</w:t>
      </w:r>
      <w:r>
        <w:rPr>
          <w:rFonts w:hint="eastAsia" w:ascii="仿宋" w:hAnsi="仿宋" w:eastAsia="仿宋"/>
          <w:sz w:val="32"/>
          <w:szCs w:val="32"/>
          <w:u w:val="none"/>
          <w:lang w:eastAsia="zh-CN"/>
        </w:rPr>
        <w:t>、</w:t>
      </w:r>
      <w:r>
        <w:rPr>
          <w:rFonts w:hint="eastAsia" w:ascii="仿宋" w:hAnsi="仿宋" w:eastAsia="仿宋"/>
          <w:sz w:val="32"/>
          <w:szCs w:val="32"/>
          <w:u w:val="none"/>
        </w:rPr>
        <w:t>废过滤芯</w:t>
      </w:r>
      <w:r>
        <w:rPr>
          <w:rFonts w:hint="eastAsia" w:ascii="仿宋" w:hAnsi="仿宋" w:eastAsia="仿宋"/>
          <w:sz w:val="32"/>
          <w:szCs w:val="32"/>
          <w:u w:val="none"/>
          <w:lang w:eastAsia="zh-CN"/>
        </w:rPr>
        <w:t>、</w:t>
      </w:r>
      <w:r>
        <w:rPr>
          <w:rFonts w:hint="eastAsia" w:ascii="仿宋" w:hAnsi="仿宋" w:eastAsia="仿宋"/>
          <w:sz w:val="32"/>
          <w:szCs w:val="32"/>
          <w:u w:val="none"/>
        </w:rPr>
        <w:t>废包装材料</w:t>
      </w:r>
      <w:r>
        <w:rPr>
          <w:rFonts w:hint="eastAsia" w:ascii="仿宋" w:hAnsi="仿宋" w:eastAsia="仿宋"/>
          <w:sz w:val="32"/>
          <w:szCs w:val="32"/>
          <w:u w:val="none"/>
          <w:lang w:val="en-US" w:eastAsia="zh-CN"/>
        </w:rPr>
        <w:t>等一般工业固体废物经收集合理处置</w:t>
      </w:r>
      <w:r>
        <w:rPr>
          <w:rFonts w:hint="eastAsia" w:ascii="仿宋" w:hAnsi="仿宋" w:eastAsia="仿宋"/>
          <w:sz w:val="32"/>
          <w:szCs w:val="32"/>
          <w:u w:val="none"/>
          <w:lang w:eastAsia="zh-CN"/>
        </w:rPr>
        <w:t>；</w:t>
      </w:r>
      <w:r>
        <w:rPr>
          <w:rFonts w:hint="eastAsia" w:ascii="仿宋" w:hAnsi="仿宋" w:eastAsia="仿宋"/>
          <w:sz w:val="32"/>
          <w:szCs w:val="32"/>
          <w:u w:val="none"/>
        </w:rPr>
        <w:t>生活垃圾交由环卫部门统一处理。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28"/>
          <w:szCs w:val="28"/>
          <w:u w:val="none"/>
          <w:lang w:eastAsia="zh-CN"/>
        </w:rPr>
      </w:pP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八</w:t>
      </w:r>
      <w:r>
        <w:rPr>
          <w:rFonts w:hint="eastAsia" w:ascii="仿宋" w:hAnsi="仿宋" w:eastAsia="仿宋"/>
          <w:sz w:val="32"/>
          <w:szCs w:val="32"/>
          <w:u w:val="none"/>
          <w:lang w:eastAsia="zh-CN"/>
        </w:rPr>
        <w:t>）</w:t>
      </w:r>
      <w:r>
        <w:rPr>
          <w:rFonts w:hint="eastAsia" w:ascii="仿宋" w:hAnsi="仿宋" w:eastAsia="仿宋"/>
          <w:sz w:val="32"/>
          <w:szCs w:val="32"/>
          <w:u w:val="none"/>
        </w:rPr>
        <w:t>环境管理和风险防范工作。设置专门环保机构，配备专职环保管理人员，加强生产设备和污防设施的检修、保养及</w:t>
      </w:r>
      <w:r>
        <w:rPr>
          <w:rFonts w:hint="eastAsia" w:ascii="仿宋" w:hAnsi="仿宋" w:eastAsia="仿宋"/>
          <w:sz w:val="32"/>
          <w:szCs w:val="32"/>
          <w:u w:val="none"/>
          <w:lang w:val="en-US" w:eastAsia="zh-CN"/>
        </w:rPr>
        <w:t>工人、</w:t>
      </w:r>
      <w:r>
        <w:rPr>
          <w:rFonts w:hint="eastAsia" w:ascii="仿宋" w:hAnsi="仿宋" w:eastAsia="仿宋"/>
          <w:sz w:val="32"/>
          <w:szCs w:val="32"/>
          <w:u w:val="none"/>
        </w:rPr>
        <w:t>管理人员培训工作，建立健全污染防治设施运行管理台帐。加强日常监管，杜绝生产过程中的跑、冒、滴、漏，确保各污染防治设施的正常运行，各类污染物稳定达标排放。做好运营期环境监测工作，严格落实报告书提出的各项环境风险防范措施，按要求配齐各类泄漏检测</w:t>
      </w:r>
      <w:r>
        <w:rPr>
          <w:rFonts w:hint="eastAsia" w:ascii="仿宋" w:hAnsi="仿宋" w:eastAsia="仿宋"/>
          <w:sz w:val="32"/>
          <w:szCs w:val="32"/>
          <w:u w:val="none"/>
          <w:lang w:val="en-US" w:eastAsia="zh-CN"/>
        </w:rPr>
        <w:t>探测</w:t>
      </w:r>
      <w:r>
        <w:rPr>
          <w:rFonts w:hint="eastAsia" w:ascii="仿宋" w:hAnsi="仿宋" w:eastAsia="仿宋"/>
          <w:sz w:val="32"/>
          <w:szCs w:val="32"/>
          <w:u w:val="none"/>
        </w:rPr>
        <w:t>报警仪器和</w:t>
      </w:r>
      <w:r>
        <w:rPr>
          <w:rFonts w:hint="eastAsia" w:ascii="仿宋" w:hAnsi="仿宋" w:eastAsia="仿宋"/>
          <w:sz w:val="32"/>
          <w:szCs w:val="32"/>
          <w:u w:val="none"/>
          <w:lang w:val="en-US" w:eastAsia="zh-CN"/>
        </w:rPr>
        <w:t>监控</w:t>
      </w:r>
      <w:r>
        <w:rPr>
          <w:rFonts w:hint="eastAsia" w:ascii="仿宋" w:hAnsi="仿宋" w:eastAsia="仿宋"/>
          <w:sz w:val="32"/>
          <w:szCs w:val="32"/>
          <w:u w:val="none"/>
          <w:lang w:eastAsia="zh-CN"/>
        </w:rPr>
        <w:t>、</w:t>
      </w:r>
      <w:r>
        <w:rPr>
          <w:rFonts w:hint="eastAsia" w:ascii="仿宋" w:hAnsi="仿宋" w:eastAsia="仿宋"/>
          <w:sz w:val="32"/>
          <w:szCs w:val="32"/>
          <w:u w:val="none"/>
        </w:rPr>
        <w:t>应急设施，</w:t>
      </w:r>
      <w:r>
        <w:rPr>
          <w:rFonts w:hint="eastAsia" w:ascii="仿宋" w:hAnsi="仿宋" w:eastAsia="仿宋"/>
          <w:sz w:val="32"/>
          <w:szCs w:val="32"/>
          <w:u w:val="none"/>
          <w:lang w:val="en-US" w:eastAsia="zh-CN"/>
        </w:rPr>
        <w:t>规范建设事故应急池和罐区配套设施等，</w:t>
      </w:r>
      <w:r>
        <w:rPr>
          <w:rFonts w:hint="eastAsia" w:ascii="仿宋" w:hAnsi="仿宋" w:eastAsia="仿宋"/>
          <w:sz w:val="32"/>
          <w:szCs w:val="32"/>
          <w:u w:val="none"/>
        </w:rPr>
        <w:t>按照《突发环境事件应急管理办法》</w:t>
      </w:r>
      <w:r>
        <w:rPr>
          <w:rFonts w:hint="eastAsia" w:ascii="仿宋" w:hAnsi="仿宋" w:eastAsia="仿宋"/>
          <w:sz w:val="32"/>
          <w:szCs w:val="32"/>
          <w:u w:val="none"/>
          <w:lang w:val="en-US" w:eastAsia="zh-CN"/>
        </w:rPr>
        <w:t>制订</w:t>
      </w:r>
      <w:r>
        <w:rPr>
          <w:rFonts w:hint="eastAsia" w:ascii="仿宋" w:hAnsi="仿宋" w:eastAsia="仿宋"/>
          <w:sz w:val="32"/>
          <w:szCs w:val="32"/>
          <w:u w:val="none"/>
        </w:rPr>
        <w:t>突发环境事件应急预案，储备风险救助物资并定期组织演练，杜绝环境风险事故发生，确保周边环境安全</w:t>
      </w:r>
      <w:r>
        <w:rPr>
          <w:rFonts w:hint="eastAsia" w:ascii="仿宋" w:hAnsi="仿宋" w:eastAsia="仿宋" w:cs="仿宋"/>
          <w:sz w:val="28"/>
          <w:szCs w:val="28"/>
          <w:u w:val="none"/>
          <w:lang w:eastAsia="zh-CN"/>
        </w:rPr>
        <w:t>。</w:t>
      </w:r>
    </w:p>
    <w:p>
      <w:pPr>
        <w:pStyle w:val="5"/>
        <w:keepNext w:val="0"/>
        <w:keepLines w:val="0"/>
        <w:pageBreakBefore w:val="0"/>
        <w:widowControl w:val="0"/>
        <w:kinsoku/>
        <w:wordWrap/>
        <w:overflowPunct/>
        <w:topLinePunct w:val="0"/>
        <w:autoSpaceDN/>
        <w:bidi w:val="0"/>
        <w:adjustRightInd/>
        <w:snapToGrid/>
        <w:spacing w:after="0" w:line="480" w:lineRule="exact"/>
        <w:ind w:firstLine="640" w:firstLineChars="200"/>
        <w:textAlignment w:val="auto"/>
        <w:rPr>
          <w:rFonts w:hint="eastAsia" w:ascii="仿宋" w:hAnsi="仿宋" w:eastAsia="仿宋" w:cs="Times New Roman"/>
          <w:sz w:val="32"/>
          <w:szCs w:val="32"/>
          <w:u w:val="none"/>
          <w:lang w:val="en-US" w:eastAsia="zh-CN"/>
        </w:rPr>
      </w:pPr>
      <w:r>
        <w:rPr>
          <w:rFonts w:hint="eastAsia" w:ascii="仿宋" w:hAnsi="仿宋" w:eastAsia="仿宋" w:cs="_4eff_5b8b_GB2312"/>
          <w:bCs/>
          <w:color w:val="000000"/>
          <w:sz w:val="32"/>
          <w:szCs w:val="32"/>
          <w:u w:val="none"/>
          <w:lang w:val="en-US" w:eastAsia="zh-CN" w:bidi="ar-SA"/>
        </w:rPr>
        <w:t>（九）</w:t>
      </w:r>
      <w:r>
        <w:rPr>
          <w:rFonts w:hint="eastAsia" w:ascii="仿宋" w:hAnsi="仿宋" w:eastAsia="仿宋" w:cs="Times New Roman"/>
          <w:sz w:val="32"/>
          <w:szCs w:val="32"/>
          <w:u w:val="none"/>
        </w:rPr>
        <w:t>项目主要污染物总量控制指标为SO</w:t>
      </w:r>
      <w:r>
        <w:rPr>
          <w:rFonts w:hint="eastAsia" w:ascii="仿宋" w:hAnsi="仿宋" w:eastAsia="仿宋" w:cs="Times New Roman"/>
          <w:sz w:val="32"/>
          <w:szCs w:val="32"/>
          <w:u w:val="none"/>
          <w:vertAlign w:val="subscript"/>
        </w:rPr>
        <w:t>2</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0.3</w:t>
      </w:r>
      <w:r>
        <w:rPr>
          <w:rFonts w:hint="default" w:ascii="仿宋" w:hAnsi="仿宋" w:eastAsia="仿宋" w:cs="Times New Roman"/>
          <w:sz w:val="32"/>
          <w:szCs w:val="32"/>
          <w:u w:val="none"/>
          <w:lang w:val="en-US" w:eastAsia="zh-CN"/>
        </w:rPr>
        <w:t>t/a</w:t>
      </w:r>
      <w:r>
        <w:rPr>
          <w:rFonts w:hint="eastAsia" w:ascii="仿宋" w:hAnsi="仿宋" w:eastAsia="仿宋" w:cs="Times New Roman"/>
          <w:sz w:val="32"/>
          <w:szCs w:val="32"/>
          <w:u w:val="none"/>
          <w:lang w:val="en-US" w:eastAsia="zh-CN"/>
        </w:rPr>
        <w:t>，</w:t>
      </w:r>
      <w:r>
        <w:rPr>
          <w:rFonts w:hint="eastAsia" w:ascii="仿宋" w:hAnsi="仿宋" w:eastAsia="仿宋" w:cs="Times New Roman"/>
          <w:sz w:val="32"/>
          <w:szCs w:val="32"/>
          <w:u w:val="none"/>
        </w:rPr>
        <w:t>NOx≤</w:t>
      </w:r>
      <w:r>
        <w:rPr>
          <w:rFonts w:hint="eastAsia" w:ascii="仿宋" w:hAnsi="仿宋" w:eastAsia="仿宋" w:cs="Times New Roman"/>
          <w:sz w:val="32"/>
          <w:szCs w:val="32"/>
          <w:u w:val="none"/>
          <w:lang w:val="en-US" w:eastAsia="zh-CN"/>
        </w:rPr>
        <w:t>6.2</w:t>
      </w:r>
      <w:r>
        <w:rPr>
          <w:rFonts w:hint="default" w:ascii="仿宋" w:hAnsi="仿宋" w:eastAsia="仿宋" w:cs="Times New Roman"/>
          <w:sz w:val="32"/>
          <w:szCs w:val="32"/>
          <w:u w:val="none"/>
          <w:lang w:val="en-US" w:eastAsia="zh-CN"/>
        </w:rPr>
        <w:t>t/a</w:t>
      </w:r>
      <w:r>
        <w:rPr>
          <w:rFonts w:hint="eastAsia" w:ascii="仿宋" w:hAnsi="仿宋" w:eastAsia="仿宋" w:cs="Times New Roman"/>
          <w:sz w:val="32"/>
          <w:szCs w:val="32"/>
          <w:u w:val="none"/>
          <w:lang w:val="en-US" w:eastAsia="zh-CN"/>
        </w:rPr>
        <w:t>，</w:t>
      </w:r>
      <w:r>
        <w:rPr>
          <w:rFonts w:hint="eastAsia" w:ascii="仿宋" w:hAnsi="仿宋" w:eastAsia="仿宋" w:cs="Times New Roman"/>
          <w:sz w:val="32"/>
          <w:szCs w:val="32"/>
          <w:u w:val="none"/>
        </w:rPr>
        <w:t>COD≤</w:t>
      </w:r>
      <w:r>
        <w:rPr>
          <w:rFonts w:hint="eastAsia" w:ascii="仿宋" w:hAnsi="仿宋" w:eastAsia="仿宋" w:cs="Times New Roman"/>
          <w:sz w:val="32"/>
          <w:szCs w:val="32"/>
          <w:u w:val="none"/>
          <w:lang w:eastAsia="zh-CN"/>
        </w:rPr>
        <w:t>1.</w:t>
      </w:r>
      <w:r>
        <w:rPr>
          <w:rFonts w:hint="eastAsia" w:ascii="仿宋" w:hAnsi="仿宋" w:eastAsia="仿宋" w:cs="Times New Roman"/>
          <w:sz w:val="32"/>
          <w:szCs w:val="32"/>
          <w:u w:val="none"/>
          <w:lang w:val="en-US" w:eastAsia="zh-CN"/>
        </w:rPr>
        <w:t>7</w:t>
      </w:r>
      <w:r>
        <w:rPr>
          <w:rFonts w:hint="eastAsia" w:ascii="仿宋" w:hAnsi="仿宋" w:eastAsia="仿宋" w:cs="Times New Roman"/>
          <w:sz w:val="32"/>
          <w:szCs w:val="32"/>
          <w:u w:val="none"/>
        </w:rPr>
        <w:t>t/a，NH</w:t>
      </w:r>
      <w:r>
        <w:rPr>
          <w:rFonts w:hint="eastAsia" w:ascii="仿宋" w:hAnsi="仿宋" w:eastAsia="仿宋" w:cs="Times New Roman"/>
          <w:sz w:val="32"/>
          <w:szCs w:val="32"/>
          <w:u w:val="none"/>
          <w:vertAlign w:val="subscript"/>
        </w:rPr>
        <w:t>3</w:t>
      </w:r>
      <w:r>
        <w:rPr>
          <w:rFonts w:hint="eastAsia" w:ascii="仿宋" w:hAnsi="仿宋" w:eastAsia="仿宋" w:cs="Times New Roman"/>
          <w:sz w:val="32"/>
          <w:szCs w:val="32"/>
          <w:u w:val="none"/>
        </w:rPr>
        <w:t>-N≤</w:t>
      </w:r>
      <w:r>
        <w:rPr>
          <w:rFonts w:hint="eastAsia" w:ascii="仿宋" w:hAnsi="仿宋" w:eastAsia="仿宋" w:cs="Times New Roman"/>
          <w:sz w:val="32"/>
          <w:szCs w:val="32"/>
          <w:u w:val="none"/>
          <w:lang w:val="en-US" w:eastAsia="zh-CN"/>
        </w:rPr>
        <w:t>0.2</w:t>
      </w:r>
      <w:r>
        <w:rPr>
          <w:rFonts w:hint="eastAsia" w:ascii="仿宋" w:hAnsi="仿宋" w:eastAsia="仿宋" w:cs="Times New Roman"/>
          <w:sz w:val="32"/>
          <w:szCs w:val="32"/>
          <w:u w:val="none"/>
        </w:rPr>
        <w:t>t/a</w:t>
      </w:r>
      <w:r>
        <w:rPr>
          <w:rFonts w:hint="eastAsia" w:ascii="仿宋" w:hAnsi="仿宋" w:eastAsia="仿宋" w:cs="Times New Roman"/>
          <w:sz w:val="32"/>
          <w:szCs w:val="32"/>
          <w:u w:val="none"/>
          <w:lang w:eastAsia="zh-CN"/>
        </w:rPr>
        <w:t>，</w:t>
      </w:r>
      <w:r>
        <w:rPr>
          <w:rFonts w:hint="eastAsia" w:ascii="仿宋" w:hAnsi="仿宋" w:eastAsia="仿宋" w:cs="Times New Roman"/>
          <w:sz w:val="32"/>
          <w:szCs w:val="32"/>
          <w:u w:val="none"/>
        </w:rPr>
        <w:t>VOC</w:t>
      </w:r>
      <w:r>
        <w:rPr>
          <w:rFonts w:hint="eastAsia" w:ascii="仿宋" w:hAnsi="仿宋" w:eastAsia="仿宋" w:cs="Times New Roman"/>
          <w:sz w:val="32"/>
          <w:szCs w:val="32"/>
          <w:u w:val="none"/>
          <w:vertAlign w:val="subscript"/>
        </w:rPr>
        <w:t>S</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15.8</w:t>
      </w:r>
      <w:r>
        <w:rPr>
          <w:rFonts w:hint="default" w:ascii="仿宋" w:hAnsi="仿宋" w:eastAsia="仿宋" w:cs="Times New Roman"/>
          <w:sz w:val="32"/>
          <w:szCs w:val="32"/>
          <w:u w:val="none"/>
          <w:lang w:val="en-US" w:eastAsia="zh-CN"/>
        </w:rPr>
        <w:t>t/a</w:t>
      </w:r>
      <w:r>
        <w:rPr>
          <w:rFonts w:hint="eastAsia" w:ascii="仿宋" w:hAnsi="仿宋" w:eastAsia="仿宋" w:cs="Times New Roman"/>
          <w:sz w:val="32"/>
          <w:szCs w:val="32"/>
          <w:u w:val="none"/>
          <w:lang w:val="en-US" w:eastAsia="zh-CN"/>
        </w:rPr>
        <w:t>。</w:t>
      </w:r>
    </w:p>
    <w:p>
      <w:pPr>
        <w:pStyle w:val="5"/>
        <w:keepNext w:val="0"/>
        <w:keepLines w:val="0"/>
        <w:pageBreakBefore w:val="0"/>
        <w:widowControl w:val="0"/>
        <w:kinsoku/>
        <w:wordWrap/>
        <w:overflowPunct/>
        <w:topLinePunct w:val="0"/>
        <w:autoSpaceDN/>
        <w:bidi w:val="0"/>
        <w:adjustRightInd/>
        <w:snapToGrid/>
        <w:spacing w:after="0" w:line="480" w:lineRule="exact"/>
        <w:ind w:firstLine="640" w:firstLineChars="200"/>
        <w:textAlignment w:val="auto"/>
        <w:rPr>
          <w:rFonts w:hint="eastAsia" w:ascii="仿宋" w:hAnsi="仿宋" w:eastAsia="仿宋" w:cs="Times New Roman"/>
          <w:sz w:val="32"/>
          <w:szCs w:val="32"/>
          <w:u w:val="none"/>
        </w:rPr>
      </w:pPr>
      <w:r>
        <w:rPr>
          <w:rFonts w:hint="eastAsia" w:ascii="仿宋" w:hAnsi="仿宋" w:eastAsia="仿宋" w:cs="Times New Roman"/>
          <w:sz w:val="32"/>
          <w:szCs w:val="32"/>
          <w:u w:val="none"/>
        </w:rPr>
        <w:t>三、你公司应收到本批复后15个工作日内，将批复及批准的环评报告文件送岳阳市生态环境局</w:t>
      </w:r>
      <w:r>
        <w:rPr>
          <w:rFonts w:hint="eastAsia" w:ascii="仿宋" w:hAnsi="仿宋" w:eastAsia="仿宋" w:cs="Times New Roman"/>
          <w:sz w:val="32"/>
          <w:szCs w:val="32"/>
          <w:u w:val="none"/>
          <w:lang w:eastAsia="zh-CN"/>
        </w:rPr>
        <w:t>临湘</w:t>
      </w:r>
      <w:r>
        <w:rPr>
          <w:rFonts w:hint="eastAsia" w:ascii="仿宋" w:hAnsi="仿宋" w:eastAsia="仿宋" w:cs="Times New Roman"/>
          <w:sz w:val="32"/>
          <w:szCs w:val="32"/>
          <w:u w:val="none"/>
        </w:rPr>
        <w:t>分局、</w:t>
      </w:r>
      <w:r>
        <w:rPr>
          <w:rFonts w:hint="eastAsia" w:ascii="仿宋" w:hAnsi="仿宋" w:eastAsia="仿宋" w:cs="Times New Roman"/>
          <w:sz w:val="32"/>
          <w:szCs w:val="32"/>
          <w:u w:val="none"/>
          <w:lang w:eastAsia="zh-CN"/>
        </w:rPr>
        <w:t>湖南新瑞智环境科技有限责任公司</w:t>
      </w:r>
      <w:r>
        <w:rPr>
          <w:rFonts w:hint="eastAsia" w:ascii="仿宋" w:hAnsi="仿宋" w:eastAsia="仿宋" w:cs="Times New Roman"/>
          <w:sz w:val="32"/>
          <w:szCs w:val="32"/>
          <w:u w:val="none"/>
        </w:rPr>
        <w:t>。</w:t>
      </w:r>
    </w:p>
    <w:p>
      <w:pPr>
        <w:pStyle w:val="5"/>
        <w:keepNext w:val="0"/>
        <w:keepLines w:val="0"/>
        <w:pageBreakBefore w:val="0"/>
        <w:widowControl w:val="0"/>
        <w:kinsoku/>
        <w:wordWrap/>
        <w:overflowPunct/>
        <w:topLinePunct w:val="0"/>
        <w:autoSpaceDN/>
        <w:bidi w:val="0"/>
        <w:adjustRightInd/>
        <w:snapToGrid/>
        <w:spacing w:after="0" w:line="480" w:lineRule="exact"/>
        <w:ind w:firstLine="640" w:firstLineChars="200"/>
        <w:textAlignment w:val="auto"/>
        <w:rPr>
          <w:rFonts w:hint="eastAsia" w:ascii="仿宋" w:hAnsi="仿宋" w:eastAsia="仿宋" w:cs="_4eff_5b8b_GB2312"/>
          <w:bCs/>
          <w:color w:val="000000"/>
          <w:sz w:val="32"/>
          <w:szCs w:val="32"/>
          <w:u w:val="none"/>
        </w:rPr>
      </w:pPr>
      <w:r>
        <w:rPr>
          <w:rFonts w:hint="eastAsia" w:ascii="仿宋" w:hAnsi="仿宋" w:eastAsia="仿宋" w:cs="Times New Roman"/>
          <w:sz w:val="32"/>
          <w:szCs w:val="32"/>
          <w:u w:val="none"/>
        </w:rPr>
        <w:t>四、请岳阳市生态环境局</w:t>
      </w:r>
      <w:r>
        <w:rPr>
          <w:rFonts w:hint="eastAsia" w:ascii="仿宋" w:hAnsi="仿宋" w:eastAsia="仿宋" w:cs="Times New Roman"/>
          <w:sz w:val="32"/>
          <w:szCs w:val="32"/>
          <w:u w:val="none"/>
          <w:lang w:val="en-US" w:eastAsia="zh-CN"/>
        </w:rPr>
        <w:t>临湘</w:t>
      </w:r>
      <w:r>
        <w:rPr>
          <w:rFonts w:hint="eastAsia" w:ascii="仿宋" w:hAnsi="仿宋" w:eastAsia="仿宋" w:cs="Times New Roman"/>
          <w:sz w:val="32"/>
          <w:szCs w:val="32"/>
          <w:u w:val="none"/>
        </w:rPr>
        <w:t>分局负责项目建设和运营期的日常环境监管。</w:t>
      </w:r>
    </w:p>
    <w:p>
      <w:pPr>
        <w:spacing w:line="480" w:lineRule="exact"/>
        <w:rPr>
          <w:rFonts w:ascii="仿宋" w:hAnsi="仿宋" w:eastAsia="仿宋"/>
          <w:sz w:val="32"/>
          <w:szCs w:val="32"/>
          <w:u w:val="none"/>
        </w:rPr>
      </w:pPr>
    </w:p>
    <w:p>
      <w:pPr>
        <w:spacing w:line="480" w:lineRule="exact"/>
        <w:rPr>
          <w:rFonts w:ascii="仿宋" w:hAnsi="仿宋" w:eastAsia="仿宋"/>
          <w:sz w:val="32"/>
          <w:szCs w:val="32"/>
          <w:u w:val="none"/>
        </w:rPr>
      </w:pPr>
    </w:p>
    <w:p>
      <w:pPr>
        <w:spacing w:line="480" w:lineRule="exact"/>
        <w:rPr>
          <w:rFonts w:ascii="仿宋" w:hAnsi="仿宋" w:eastAsia="仿宋"/>
          <w:sz w:val="32"/>
          <w:szCs w:val="32"/>
          <w:u w:val="none"/>
        </w:rPr>
      </w:pPr>
    </w:p>
    <w:p>
      <w:pPr>
        <w:spacing w:line="480" w:lineRule="exact"/>
        <w:rPr>
          <w:rFonts w:ascii="仿宋" w:hAnsi="仿宋" w:eastAsia="仿宋"/>
          <w:sz w:val="32"/>
          <w:szCs w:val="32"/>
          <w:u w:val="none"/>
        </w:rPr>
      </w:pPr>
    </w:p>
    <w:p>
      <w:pPr>
        <w:spacing w:line="480" w:lineRule="exact"/>
        <w:rPr>
          <w:rFonts w:hint="eastAsia" w:ascii="仿宋" w:hAnsi="仿宋" w:eastAsia="仿宋"/>
          <w:sz w:val="32"/>
          <w:szCs w:val="32"/>
          <w:u w:val="none"/>
        </w:rPr>
      </w:pPr>
      <w:r>
        <w:rPr>
          <w:rFonts w:ascii="仿宋" w:hAnsi="仿宋" w:eastAsia="仿宋"/>
          <w:sz w:val="32"/>
          <w:szCs w:val="32"/>
          <w:u w:val="none"/>
        </w:rPr>
        <w:t xml:space="preserve">                        岳阳市生态环境局</w:t>
      </w:r>
    </w:p>
    <w:p>
      <w:pPr>
        <w:spacing w:line="480" w:lineRule="exact"/>
        <w:ind w:firstLine="64" w:firstLineChars="20"/>
        <w:rPr>
          <w:u w:val="none"/>
        </w:rPr>
      </w:pPr>
      <w:r>
        <w:rPr>
          <w:rFonts w:ascii="仿宋" w:hAnsi="仿宋" w:eastAsia="仿宋"/>
          <w:sz w:val="32"/>
          <w:szCs w:val="32"/>
          <w:u w:val="none"/>
        </w:rPr>
        <w:t xml:space="preserve">                            </w:t>
      </w:r>
      <w:r>
        <w:rPr>
          <w:rFonts w:ascii="仿宋" w:hAnsi="仿宋" w:eastAsia="仿宋"/>
          <w:spacing w:val="-11"/>
          <w:sz w:val="32"/>
          <w:szCs w:val="32"/>
          <w:u w:val="none"/>
        </w:rPr>
        <w:t>2022年</w:t>
      </w:r>
      <w:r>
        <w:rPr>
          <w:rFonts w:hint="eastAsia" w:ascii="仿宋" w:hAnsi="仿宋" w:eastAsia="仿宋"/>
          <w:spacing w:val="-11"/>
          <w:sz w:val="32"/>
          <w:szCs w:val="32"/>
          <w:u w:val="none"/>
          <w:lang w:val="en-US" w:eastAsia="zh-CN"/>
        </w:rPr>
        <w:t>8</w:t>
      </w:r>
      <w:r>
        <w:rPr>
          <w:rFonts w:ascii="仿宋" w:hAnsi="仿宋" w:eastAsia="仿宋"/>
          <w:spacing w:val="-11"/>
          <w:sz w:val="32"/>
          <w:szCs w:val="32"/>
          <w:u w:val="none"/>
        </w:rPr>
        <w:t>月</w:t>
      </w:r>
      <w:r>
        <w:rPr>
          <w:rFonts w:hint="eastAsia" w:ascii="仿宋" w:hAnsi="仿宋" w:eastAsia="仿宋"/>
          <w:spacing w:val="-11"/>
          <w:sz w:val="32"/>
          <w:szCs w:val="32"/>
          <w:u w:val="none"/>
          <w:lang w:val="en-US" w:eastAsia="zh-CN"/>
        </w:rPr>
        <w:t>22</w:t>
      </w:r>
      <w:r>
        <w:rPr>
          <w:rFonts w:ascii="仿宋" w:hAnsi="仿宋" w:eastAsia="仿宋"/>
          <w:spacing w:val="-11"/>
          <w:sz w:val="32"/>
          <w:szCs w:val="32"/>
          <w:u w:val="none"/>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689" w:bottom="1440" w:left="1689"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New York">
    <w:altName w:val="Times New Roman"/>
    <w:panose1 w:val="02040503060506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fldChar w:fldCharType="begin"/>
    </w:r>
    <w:r>
      <w:instrText xml:space="preserve">PAGE   \* MERGEFORMAT</w:instrText>
    </w:r>
    <w:r>
      <w:fldChar w:fldCharType="separate"/>
    </w:r>
    <w:r>
      <w:rPr>
        <w:lang w:val="zh-CN"/>
      </w:rPr>
      <w:t>2</w:t>
    </w:r>
    <w:r>
      <w:fldChar w:fldCharType="end"/>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5079DF"/>
    <w:rsid w:val="005A7208"/>
    <w:rsid w:val="00925FA4"/>
    <w:rsid w:val="0093216E"/>
    <w:rsid w:val="00C76252"/>
    <w:rsid w:val="017A36FD"/>
    <w:rsid w:val="01804167"/>
    <w:rsid w:val="02046418"/>
    <w:rsid w:val="024330B6"/>
    <w:rsid w:val="02B22AA9"/>
    <w:rsid w:val="02F75A2C"/>
    <w:rsid w:val="030126EB"/>
    <w:rsid w:val="035E0BAB"/>
    <w:rsid w:val="039B5B6E"/>
    <w:rsid w:val="04B862AB"/>
    <w:rsid w:val="05085485"/>
    <w:rsid w:val="052E05FF"/>
    <w:rsid w:val="05464C9E"/>
    <w:rsid w:val="05A43727"/>
    <w:rsid w:val="05C42D45"/>
    <w:rsid w:val="05D7488F"/>
    <w:rsid w:val="061A5D6F"/>
    <w:rsid w:val="062A1B37"/>
    <w:rsid w:val="067907B9"/>
    <w:rsid w:val="06D41775"/>
    <w:rsid w:val="077C695D"/>
    <w:rsid w:val="08262763"/>
    <w:rsid w:val="086150D6"/>
    <w:rsid w:val="089D3FDB"/>
    <w:rsid w:val="08B438D9"/>
    <w:rsid w:val="08D31953"/>
    <w:rsid w:val="09480C43"/>
    <w:rsid w:val="0A7F7F97"/>
    <w:rsid w:val="0BA965B8"/>
    <w:rsid w:val="0BC07F69"/>
    <w:rsid w:val="0CBF4C23"/>
    <w:rsid w:val="0D3B5CAB"/>
    <w:rsid w:val="0D5E5DB1"/>
    <w:rsid w:val="0D9C1255"/>
    <w:rsid w:val="0E3A4EE9"/>
    <w:rsid w:val="0F1A64E0"/>
    <w:rsid w:val="0F256C33"/>
    <w:rsid w:val="0F2629D1"/>
    <w:rsid w:val="0F82454C"/>
    <w:rsid w:val="0FEA6BFB"/>
    <w:rsid w:val="10730FBE"/>
    <w:rsid w:val="116C667E"/>
    <w:rsid w:val="119553A6"/>
    <w:rsid w:val="11D94A64"/>
    <w:rsid w:val="11EE5A02"/>
    <w:rsid w:val="122A6D03"/>
    <w:rsid w:val="122E5629"/>
    <w:rsid w:val="123322BF"/>
    <w:rsid w:val="12903870"/>
    <w:rsid w:val="12D17AD1"/>
    <w:rsid w:val="134F6AB4"/>
    <w:rsid w:val="145A0633"/>
    <w:rsid w:val="14A02886"/>
    <w:rsid w:val="14B5790D"/>
    <w:rsid w:val="14B76732"/>
    <w:rsid w:val="14C65740"/>
    <w:rsid w:val="16855DC9"/>
    <w:rsid w:val="16D658D7"/>
    <w:rsid w:val="17E97925"/>
    <w:rsid w:val="193D5DCA"/>
    <w:rsid w:val="1A187AC0"/>
    <w:rsid w:val="1C5F19D6"/>
    <w:rsid w:val="1C6B4928"/>
    <w:rsid w:val="1C765C6B"/>
    <w:rsid w:val="1DE74BBA"/>
    <w:rsid w:val="1E930AF4"/>
    <w:rsid w:val="1F27480B"/>
    <w:rsid w:val="1F2F3CE6"/>
    <w:rsid w:val="1F4660B5"/>
    <w:rsid w:val="1F4C3143"/>
    <w:rsid w:val="1F5E5F75"/>
    <w:rsid w:val="1F6F01CA"/>
    <w:rsid w:val="1FB73367"/>
    <w:rsid w:val="1FB95DF2"/>
    <w:rsid w:val="1FED6F09"/>
    <w:rsid w:val="20CB7D1A"/>
    <w:rsid w:val="21617BDF"/>
    <w:rsid w:val="218569EA"/>
    <w:rsid w:val="219857D3"/>
    <w:rsid w:val="22AA563A"/>
    <w:rsid w:val="22C205C9"/>
    <w:rsid w:val="22D24584"/>
    <w:rsid w:val="23077A58"/>
    <w:rsid w:val="2366189C"/>
    <w:rsid w:val="238D1C9D"/>
    <w:rsid w:val="23910F38"/>
    <w:rsid w:val="246E0528"/>
    <w:rsid w:val="253972F4"/>
    <w:rsid w:val="25700B4B"/>
    <w:rsid w:val="257213F7"/>
    <w:rsid w:val="25767D3C"/>
    <w:rsid w:val="25AF4F91"/>
    <w:rsid w:val="25D64F56"/>
    <w:rsid w:val="261A5AE4"/>
    <w:rsid w:val="2620416C"/>
    <w:rsid w:val="264D464E"/>
    <w:rsid w:val="265131EC"/>
    <w:rsid w:val="2675089C"/>
    <w:rsid w:val="269742E9"/>
    <w:rsid w:val="276F7F60"/>
    <w:rsid w:val="277050AC"/>
    <w:rsid w:val="27A24E6D"/>
    <w:rsid w:val="27F01264"/>
    <w:rsid w:val="28141F89"/>
    <w:rsid w:val="28854EED"/>
    <w:rsid w:val="2901329B"/>
    <w:rsid w:val="293A7102"/>
    <w:rsid w:val="297B3EC5"/>
    <w:rsid w:val="29F43F54"/>
    <w:rsid w:val="2A354571"/>
    <w:rsid w:val="2B5E7A4F"/>
    <w:rsid w:val="2DA500D2"/>
    <w:rsid w:val="2E03543C"/>
    <w:rsid w:val="2EA52706"/>
    <w:rsid w:val="2EF82374"/>
    <w:rsid w:val="2F37233F"/>
    <w:rsid w:val="2F991498"/>
    <w:rsid w:val="2FBE4369"/>
    <w:rsid w:val="307724B7"/>
    <w:rsid w:val="30C85944"/>
    <w:rsid w:val="319947CD"/>
    <w:rsid w:val="31B07A2F"/>
    <w:rsid w:val="31C50C5A"/>
    <w:rsid w:val="31D1627B"/>
    <w:rsid w:val="31D77B24"/>
    <w:rsid w:val="327562FB"/>
    <w:rsid w:val="33245043"/>
    <w:rsid w:val="338139A3"/>
    <w:rsid w:val="34925A11"/>
    <w:rsid w:val="34B166F0"/>
    <w:rsid w:val="34EE67C5"/>
    <w:rsid w:val="36306647"/>
    <w:rsid w:val="36A06A1C"/>
    <w:rsid w:val="36B9188B"/>
    <w:rsid w:val="36EB0E1E"/>
    <w:rsid w:val="36F1784F"/>
    <w:rsid w:val="371755C1"/>
    <w:rsid w:val="374B6685"/>
    <w:rsid w:val="374F4019"/>
    <w:rsid w:val="3756532C"/>
    <w:rsid w:val="37580DE2"/>
    <w:rsid w:val="37C11A0D"/>
    <w:rsid w:val="37DB2961"/>
    <w:rsid w:val="37E401D0"/>
    <w:rsid w:val="386943B6"/>
    <w:rsid w:val="390C2146"/>
    <w:rsid w:val="390E4C54"/>
    <w:rsid w:val="39120CEF"/>
    <w:rsid w:val="39387D98"/>
    <w:rsid w:val="393F4770"/>
    <w:rsid w:val="39F309B2"/>
    <w:rsid w:val="3A8310CB"/>
    <w:rsid w:val="3B091033"/>
    <w:rsid w:val="3C1361B6"/>
    <w:rsid w:val="3C8318FA"/>
    <w:rsid w:val="3CBE598D"/>
    <w:rsid w:val="3D45566E"/>
    <w:rsid w:val="3E78202C"/>
    <w:rsid w:val="3EFE2C6E"/>
    <w:rsid w:val="3F024441"/>
    <w:rsid w:val="3F1F7EB8"/>
    <w:rsid w:val="3F427EE2"/>
    <w:rsid w:val="3F8F60AE"/>
    <w:rsid w:val="3F9079FA"/>
    <w:rsid w:val="3FB17DFB"/>
    <w:rsid w:val="3FB55684"/>
    <w:rsid w:val="40B124CA"/>
    <w:rsid w:val="40E619D0"/>
    <w:rsid w:val="425B3DD9"/>
    <w:rsid w:val="4291183E"/>
    <w:rsid w:val="42D57B3D"/>
    <w:rsid w:val="435374FD"/>
    <w:rsid w:val="43646117"/>
    <w:rsid w:val="43A10C96"/>
    <w:rsid w:val="44637C14"/>
    <w:rsid w:val="447D1C81"/>
    <w:rsid w:val="44C25FDA"/>
    <w:rsid w:val="44C67F95"/>
    <w:rsid w:val="45111C43"/>
    <w:rsid w:val="45B27752"/>
    <w:rsid w:val="45F53868"/>
    <w:rsid w:val="461B020C"/>
    <w:rsid w:val="465E7BAC"/>
    <w:rsid w:val="46A338D2"/>
    <w:rsid w:val="47335C34"/>
    <w:rsid w:val="4830538A"/>
    <w:rsid w:val="48D60EF7"/>
    <w:rsid w:val="49013E51"/>
    <w:rsid w:val="490966A2"/>
    <w:rsid w:val="49731240"/>
    <w:rsid w:val="498D0A16"/>
    <w:rsid w:val="4A392B8E"/>
    <w:rsid w:val="4AC62A9D"/>
    <w:rsid w:val="4B130AFE"/>
    <w:rsid w:val="4BD60B78"/>
    <w:rsid w:val="4BF41811"/>
    <w:rsid w:val="4C64552E"/>
    <w:rsid w:val="4C720429"/>
    <w:rsid w:val="4E7567C2"/>
    <w:rsid w:val="4EB50A05"/>
    <w:rsid w:val="4F3818FF"/>
    <w:rsid w:val="4FFC0D0F"/>
    <w:rsid w:val="50B52913"/>
    <w:rsid w:val="51022EB8"/>
    <w:rsid w:val="51FA302C"/>
    <w:rsid w:val="52E15F9A"/>
    <w:rsid w:val="53B5186B"/>
    <w:rsid w:val="53C94D4E"/>
    <w:rsid w:val="53DD0E57"/>
    <w:rsid w:val="5412637C"/>
    <w:rsid w:val="543134A5"/>
    <w:rsid w:val="55AF2380"/>
    <w:rsid w:val="55D8771A"/>
    <w:rsid w:val="561D1830"/>
    <w:rsid w:val="578B02E3"/>
    <w:rsid w:val="57AB1477"/>
    <w:rsid w:val="57D14BEE"/>
    <w:rsid w:val="57DB178D"/>
    <w:rsid w:val="57E82929"/>
    <w:rsid w:val="580F7106"/>
    <w:rsid w:val="5811586C"/>
    <w:rsid w:val="585E2283"/>
    <w:rsid w:val="58BA3AC4"/>
    <w:rsid w:val="59194821"/>
    <w:rsid w:val="595F71C2"/>
    <w:rsid w:val="599134C3"/>
    <w:rsid w:val="59C416EA"/>
    <w:rsid w:val="59C6357A"/>
    <w:rsid w:val="5A3F0176"/>
    <w:rsid w:val="5A487F00"/>
    <w:rsid w:val="5ACB5F7E"/>
    <w:rsid w:val="5B687259"/>
    <w:rsid w:val="5B903ED0"/>
    <w:rsid w:val="5B936B23"/>
    <w:rsid w:val="5BB1236D"/>
    <w:rsid w:val="5BEF6FD1"/>
    <w:rsid w:val="5C593045"/>
    <w:rsid w:val="5C7337C9"/>
    <w:rsid w:val="5C782274"/>
    <w:rsid w:val="5CE6055C"/>
    <w:rsid w:val="5CF15027"/>
    <w:rsid w:val="5D5E6B65"/>
    <w:rsid w:val="5D776254"/>
    <w:rsid w:val="5DF45D35"/>
    <w:rsid w:val="5E3B0524"/>
    <w:rsid w:val="5F8110FD"/>
    <w:rsid w:val="5F847057"/>
    <w:rsid w:val="61173210"/>
    <w:rsid w:val="612C4DCE"/>
    <w:rsid w:val="61715875"/>
    <w:rsid w:val="61916E3E"/>
    <w:rsid w:val="61974B52"/>
    <w:rsid w:val="61D02FB3"/>
    <w:rsid w:val="625C31C0"/>
    <w:rsid w:val="629B346E"/>
    <w:rsid w:val="62B90CF6"/>
    <w:rsid w:val="62E11424"/>
    <w:rsid w:val="63474FB3"/>
    <w:rsid w:val="63A34002"/>
    <w:rsid w:val="64393226"/>
    <w:rsid w:val="64402523"/>
    <w:rsid w:val="64D74DC6"/>
    <w:rsid w:val="657C1287"/>
    <w:rsid w:val="65947C14"/>
    <w:rsid w:val="65F30067"/>
    <w:rsid w:val="665F74AA"/>
    <w:rsid w:val="66BF51E7"/>
    <w:rsid w:val="66DD0822"/>
    <w:rsid w:val="67675ABC"/>
    <w:rsid w:val="676E209B"/>
    <w:rsid w:val="67FB3202"/>
    <w:rsid w:val="681100F9"/>
    <w:rsid w:val="68780870"/>
    <w:rsid w:val="69071A90"/>
    <w:rsid w:val="694B3D6D"/>
    <w:rsid w:val="69B6668F"/>
    <w:rsid w:val="6A072CCD"/>
    <w:rsid w:val="6A2124C5"/>
    <w:rsid w:val="6A8F61F9"/>
    <w:rsid w:val="6B0E6590"/>
    <w:rsid w:val="6B8C0D41"/>
    <w:rsid w:val="6C5D15CE"/>
    <w:rsid w:val="6CA32527"/>
    <w:rsid w:val="6D6E2CE4"/>
    <w:rsid w:val="6D7F639C"/>
    <w:rsid w:val="6E3B1502"/>
    <w:rsid w:val="6E783365"/>
    <w:rsid w:val="6EC94357"/>
    <w:rsid w:val="6ECB147F"/>
    <w:rsid w:val="6FAF51B1"/>
    <w:rsid w:val="6FB46AB9"/>
    <w:rsid w:val="6FF07C9F"/>
    <w:rsid w:val="70E2609B"/>
    <w:rsid w:val="70F64A37"/>
    <w:rsid w:val="714061B8"/>
    <w:rsid w:val="721F3D0A"/>
    <w:rsid w:val="730065A6"/>
    <w:rsid w:val="73A12654"/>
    <w:rsid w:val="74463A57"/>
    <w:rsid w:val="74CC66DB"/>
    <w:rsid w:val="74D016B7"/>
    <w:rsid w:val="75E4778B"/>
    <w:rsid w:val="77121525"/>
    <w:rsid w:val="77627606"/>
    <w:rsid w:val="777B69C0"/>
    <w:rsid w:val="77CC5F6D"/>
    <w:rsid w:val="7808174F"/>
    <w:rsid w:val="784D1858"/>
    <w:rsid w:val="788D05ED"/>
    <w:rsid w:val="78E71CAD"/>
    <w:rsid w:val="79201AFA"/>
    <w:rsid w:val="794E5888"/>
    <w:rsid w:val="795F51A0"/>
    <w:rsid w:val="79DD225C"/>
    <w:rsid w:val="7B1339EF"/>
    <w:rsid w:val="7B837B29"/>
    <w:rsid w:val="7B844F72"/>
    <w:rsid w:val="7BD6533A"/>
    <w:rsid w:val="7C094CF5"/>
    <w:rsid w:val="7C0A1AFB"/>
    <w:rsid w:val="7C501917"/>
    <w:rsid w:val="7C5759AE"/>
    <w:rsid w:val="7CFF67CF"/>
    <w:rsid w:val="7DA36A1B"/>
    <w:rsid w:val="7DC21241"/>
    <w:rsid w:val="7E524576"/>
    <w:rsid w:val="7E6A3164"/>
    <w:rsid w:val="7F1766EF"/>
    <w:rsid w:val="7F1C0812"/>
    <w:rsid w:val="7F3E639F"/>
    <w:rsid w:val="7FDD0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3">
    <w:name w:val="heading 1"/>
    <w:basedOn w:val="1"/>
    <w:next w:val="4"/>
    <w:qFormat/>
    <w:uiPriority w:val="0"/>
    <w:pPr>
      <w:keepNext/>
      <w:keepLines/>
      <w:spacing w:before="300" w:after="300" w:line="360" w:lineRule="auto"/>
      <w:jc w:val="center"/>
      <w:outlineLvl w:val="0"/>
    </w:pPr>
    <w:rPr>
      <w:b/>
      <w:kern w:val="44"/>
      <w:sz w:val="36"/>
    </w:rPr>
  </w:style>
  <w:style w:type="paragraph" w:styleId="2">
    <w:name w:val="heading 2"/>
    <w:basedOn w:val="1"/>
    <w:next w:val="1"/>
    <w:qFormat/>
    <w:uiPriority w:val="0"/>
    <w:pPr>
      <w:keepNext/>
      <w:keepLines/>
      <w:spacing w:before="260" w:after="260" w:line="360" w:lineRule="auto"/>
      <w:outlineLvl w:val="1"/>
    </w:pPr>
    <w:rPr>
      <w:rFonts w:ascii="Cambria" w:hAnsi="Cambria" w:eastAsia="宋体" w:cs="Times New Roman"/>
      <w:b/>
      <w:bCs/>
      <w:sz w:val="28"/>
      <w:szCs w:val="28"/>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4">
    <w:name w:val="正文2"/>
    <w:qFormat/>
    <w:uiPriority w:val="99"/>
    <w:pPr>
      <w:jc w:val="both"/>
    </w:pPr>
    <w:rPr>
      <w:rFonts w:ascii="Times New Roman" w:hAnsi="Times New Roman" w:eastAsia="宋体" w:cs="Times New Roman"/>
      <w:kern w:val="2"/>
      <w:sz w:val="21"/>
      <w:szCs w:val="21"/>
      <w:lang w:val="en-US" w:eastAsia="zh-CN" w:bidi="ar-SA"/>
    </w:rPr>
  </w:style>
  <w:style w:type="paragraph" w:styleId="5">
    <w:name w:val="Body Text"/>
    <w:basedOn w:val="1"/>
    <w:next w:val="6"/>
    <w:qFormat/>
    <w:uiPriority w:val="0"/>
    <w:pPr>
      <w:spacing w:after="120"/>
    </w:pPr>
  </w:style>
  <w:style w:type="paragraph" w:customStyle="1" w:styleId="6">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Body Text Indent 2"/>
    <w:basedOn w:val="1"/>
    <w:next w:val="1"/>
    <w:qFormat/>
    <w:uiPriority w:val="0"/>
    <w:pPr>
      <w:spacing w:after="120" w:line="480" w:lineRule="auto"/>
      <w:ind w:left="420" w:leftChars="200"/>
    </w:pPr>
    <w:rPr>
      <w:rFonts w:eastAsia="宋体"/>
      <w:szCs w:val="24"/>
    </w:rPr>
  </w:style>
  <w:style w:type="paragraph" w:styleId="8">
    <w:name w:val="Body Text Indent"/>
    <w:basedOn w:val="1"/>
    <w:next w:val="9"/>
    <w:link w:val="22"/>
    <w:qFormat/>
    <w:uiPriority w:val="0"/>
    <w:pPr>
      <w:spacing w:after="120"/>
      <w:ind w:left="283"/>
    </w:pPr>
    <w:rPr>
      <w:rFonts w:ascii="Times New Roman" w:hAnsi="Times New Roman" w:eastAsia="宋体" w:cs="Times New Roman"/>
    </w:rPr>
  </w:style>
  <w:style w:type="paragraph" w:styleId="9">
    <w:name w:val="Body Text First Indent 2"/>
    <w:basedOn w:val="8"/>
    <w:next w:val="1"/>
    <w:link w:val="23"/>
    <w:qFormat/>
    <w:uiPriority w:val="0"/>
    <w:pPr>
      <w:spacing w:after="200"/>
      <w:ind w:left="360" w:firstLine="360"/>
    </w:pPr>
    <w:rPr>
      <w:rFonts w:ascii="Times New Roman" w:hAnsi="Times New Roman" w:eastAsia="宋体" w:cs="Times New Roman"/>
    </w:rPr>
  </w:style>
  <w:style w:type="paragraph" w:styleId="10">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Body Text 2"/>
    <w:basedOn w:val="1"/>
    <w:next w:val="5"/>
    <w:qFormat/>
    <w:uiPriority w:val="0"/>
    <w:pPr>
      <w:spacing w:line="480" w:lineRule="auto"/>
    </w:pPr>
    <w:rPr>
      <w:rFonts w:ascii="New York" w:hAnsi="New York"/>
      <w:sz w:val="21"/>
    </w:rPr>
  </w:style>
  <w:style w:type="paragraph" w:styleId="13">
    <w:name w:val="Body Text First Indent"/>
    <w:basedOn w:val="5"/>
    <w:unhideWhenUsed/>
    <w:qFormat/>
    <w:uiPriority w:val="99"/>
    <w:pPr>
      <w:keepNext w:val="0"/>
      <w:keepLines w:val="0"/>
      <w:widowControl/>
      <w:suppressLineNumbers w:val="0"/>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paragraph" w:customStyle="1" w:styleId="18">
    <w:name w:val="Date1"/>
    <w:basedOn w:val="1"/>
    <w:next w:val="1"/>
    <w:qFormat/>
    <w:uiPriority w:val="0"/>
    <w:pPr>
      <w:widowControl w:val="0"/>
      <w:adjustRightInd w:val="0"/>
      <w:jc w:val="both"/>
      <w:textAlignment w:val="baseline"/>
    </w:pPr>
    <w:rPr>
      <w:rFonts w:cs="Times New Roman"/>
      <w:kern w:val="2"/>
      <w:sz w:val="21"/>
      <w:u w:val="none" w:color="FFFFFF"/>
    </w:rPr>
  </w:style>
  <w:style w:type="paragraph" w:customStyle="1" w:styleId="19">
    <w:name w:val="WPS Plain"/>
    <w:qFormat/>
    <w:uiPriority w:val="0"/>
    <w:rPr>
      <w:rFonts w:ascii="Times New Roman" w:hAnsi="Times New Roman" w:eastAsia="宋体" w:cs="Times New Roman"/>
      <w:lang w:val="en-US" w:eastAsia="zh-CN" w:bidi="ar-SA"/>
    </w:rPr>
  </w:style>
  <w:style w:type="paragraph" w:customStyle="1" w:styleId="20">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21">
    <w:name w:val="标题二"/>
    <w:basedOn w:val="1"/>
    <w:qFormat/>
    <w:uiPriority w:val="99"/>
  </w:style>
  <w:style w:type="character" w:customStyle="1" w:styleId="22">
    <w:name w:val="正文文本缩进 Char"/>
    <w:basedOn w:val="16"/>
    <w:link w:val="8"/>
    <w:qFormat/>
    <w:uiPriority w:val="0"/>
    <w:rPr>
      <w:rFonts w:hint="default" w:ascii="Times New Roman" w:hAnsi="Times New Roman" w:cs="Times New Roman"/>
    </w:rPr>
  </w:style>
  <w:style w:type="character" w:customStyle="1" w:styleId="23">
    <w:name w:val="正文首行缩进 2 Char"/>
    <w:basedOn w:val="22"/>
    <w:link w:val="9"/>
    <w:qFormat/>
    <w:uiPriority w:val="0"/>
    <w:rPr>
      <w:rFonts w:hint="default" w:ascii="Times New Roman" w:hAnsi="Times New Roman" w:cs="Times New Roman"/>
    </w:rPr>
  </w:style>
  <w:style w:type="character" w:customStyle="1" w:styleId="24">
    <w:name w:val="表格文字 Char"/>
    <w:basedOn w:val="16"/>
    <w:qFormat/>
    <w:uiPriority w:val="0"/>
    <w:rPr>
      <w:kern w:val="2"/>
      <w:sz w:val="21"/>
    </w:rPr>
  </w:style>
  <w:style w:type="character" w:customStyle="1" w:styleId="25">
    <w:name w:val="fontstyle01"/>
    <w:qFormat/>
    <w:uiPriority w:val="0"/>
    <w:rPr>
      <w:rFonts w:ascii="宋体" w:hAnsi="宋体" w:eastAsia="宋体" w:cs="宋体"/>
      <w:color w:val="000000"/>
      <w:sz w:val="24"/>
      <w:szCs w:val="24"/>
    </w:rPr>
  </w:style>
  <w:style w:type="paragraph" w:customStyle="1" w:styleId="26">
    <w:name w:val="表格内容"/>
    <w:basedOn w:val="27"/>
    <w:qFormat/>
    <w:uiPriority w:val="0"/>
    <w:pPr>
      <w:outlineLvl w:val="9"/>
    </w:pPr>
    <w:rPr>
      <w:rFonts w:cs="宋体"/>
      <w:b w:val="0"/>
      <w:szCs w:val="21"/>
    </w:rPr>
  </w:style>
  <w:style w:type="paragraph" w:customStyle="1" w:styleId="27">
    <w:name w:val="表格标题"/>
    <w:next w:val="28"/>
    <w:qFormat/>
    <w:uiPriority w:val="0"/>
    <w:pPr>
      <w:jc w:val="center"/>
      <w:outlineLvl w:val="5"/>
    </w:pPr>
    <w:rPr>
      <w:rFonts w:ascii="Times New Roman" w:hAnsi="Times New Roman" w:eastAsia="宋体" w:cs="Times New Roman"/>
      <w:b/>
      <w:sz w:val="21"/>
      <w:szCs w:val="20"/>
    </w:rPr>
  </w:style>
  <w:style w:type="paragraph" w:customStyle="1" w:styleId="28">
    <w:name w:val="表格报告书"/>
    <w:basedOn w:val="29"/>
    <w:next w:val="29"/>
    <w:qFormat/>
    <w:uiPriority w:val="0"/>
    <w:pPr>
      <w:spacing w:line="240" w:lineRule="auto"/>
      <w:ind w:firstLine="0" w:firstLineChars="0"/>
      <w:jc w:val="center"/>
    </w:pPr>
    <w:rPr>
      <w:rFonts w:ascii="Times New Roman" w:hAnsi="Times New Roman" w:eastAsia="宋体"/>
      <w:sz w:val="21"/>
    </w:rPr>
  </w:style>
  <w:style w:type="paragraph" w:customStyle="1" w:styleId="29">
    <w:name w:val="正文报告书"/>
    <w:basedOn w:val="30"/>
    <w:next w:val="1"/>
    <w:qFormat/>
    <w:uiPriority w:val="0"/>
    <w:pPr>
      <w:spacing w:before="20" w:line="360" w:lineRule="auto"/>
      <w:ind w:firstLine="643" w:firstLineChars="200"/>
    </w:pPr>
    <w:rPr>
      <w:rFonts w:ascii="Times New Roman" w:hAnsi="Times New Roman"/>
      <w:sz w:val="24"/>
    </w:rPr>
  </w:style>
  <w:style w:type="paragraph" w:customStyle="1" w:styleId="30">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1">
    <w:name w:val="环评正文"/>
    <w:basedOn w:val="1"/>
    <w:qFormat/>
    <w:uiPriority w:val="0"/>
    <w:pPr>
      <w:spacing w:line="360" w:lineRule="auto"/>
      <w:ind w:firstLine="720" w:firstLineChars="200"/>
    </w:pPr>
    <w:rPr>
      <w:rFonts w:cs="宋体"/>
    </w:rPr>
  </w:style>
  <w:style w:type="paragraph" w:customStyle="1" w:styleId="32">
    <w:name w:val="表格文字"/>
    <w:next w:val="1"/>
    <w:qFormat/>
    <w:uiPriority w:val="0"/>
    <w:pPr>
      <w:adjustRightInd w:val="0"/>
      <w:snapToGrid w:val="0"/>
      <w:spacing w:line="240" w:lineRule="auto"/>
      <w:ind w:firstLine="0" w:firstLineChars="0"/>
      <w:jc w:val="center"/>
    </w:pPr>
    <w:rPr>
      <w:rFonts w:ascii="Times New Roman" w:hAnsi="Times New Roman" w:eastAsia="宋体" w:cs="Times New Roman"/>
      <w:sz w:val="21"/>
      <w:szCs w:val="20"/>
    </w:rPr>
  </w:style>
  <w:style w:type="paragraph" w:customStyle="1" w:styleId="33">
    <w:name w:val="表文字"/>
    <w:basedOn w:val="1"/>
    <w:uiPriority w:val="0"/>
    <w:pPr>
      <w:adjustRightInd w:val="0"/>
      <w:snapToGrid w:val="0"/>
      <w:jc w:val="center"/>
    </w:pPr>
    <w:rPr>
      <w:rFonts w:ascii="宋体" w:hAnsi="宋体" w:eastAsia="宋体" w:cs="宋体"/>
      <w:bCs/>
      <w:kern w:val="0"/>
      <w:szCs w:val="21"/>
    </w:rPr>
  </w:style>
  <w:style w:type="paragraph" w:customStyle="1" w:styleId="3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3236</Words>
  <Characters>3579</Characters>
  <Lines>0</Lines>
  <Paragraphs>0</Paragraphs>
  <TotalTime>10</TotalTime>
  <ScaleCrop>false</ScaleCrop>
  <LinksUpToDate>false</LinksUpToDate>
  <CharactersWithSpaces>3688</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2021-07-21T01:25:00Z</dcterms:created>
  <dc:creator>hegx</dc:creator>
  <cp:lastModifiedBy>Administrator</cp:lastModifiedBy>
  <cp:lastPrinted>2022-06-06T09:20:00Z</cp:lastPrinted>
  <dcterms:modified xsi:type="dcterms:W3CDTF">2022-08-20T08:08:09Z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0EBA18BD410E4D82865F63600153779A</vt:lpwstr>
  </property>
  <property fmtid="{D5CDD505-2E9C-101B-9397-08002B2CF9AE}" pid="4" name="commondata">
    <vt:lpwstr>eyJoZGlkIjoiNGZlNGZjYWYyNTBkYjc4NTc5ZmFjMmFiYzM0YzgyZjIifQ==</vt:lpwstr>
  </property>
</Properties>
</file>