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horzAnchor="margin" w:tblpY="586"/>
        <w:tblW w:w="13619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2844"/>
        <w:gridCol w:w="2561"/>
        <w:gridCol w:w="2561"/>
        <w:gridCol w:w="51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3377" w:type="dxa"/>
            <w:gridSpan w:val="2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29"/>
              <w:ind w:left="1306" w:right="1287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工作内容</w:t>
            </w:r>
          </w:p>
        </w:tc>
        <w:tc>
          <w:tcPr>
            <w:tcW w:w="10242" w:type="dxa"/>
            <w:gridSpan w:val="3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129"/>
              <w:ind w:left="4749" w:right="4710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自查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33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line="187" w:lineRule="auto"/>
              <w:ind w:right="200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>影响识别</w:t>
            </w: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40"/>
              <w:ind w:left="147" w:right="121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影响类型</w:t>
            </w:r>
          </w:p>
        </w:tc>
        <w:tc>
          <w:tcPr>
            <w:tcW w:w="1024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115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水污染影响型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F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；水文要素影响型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124"/>
              <w:ind w:left="147" w:right="118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水环境保护目标</w:t>
            </w:r>
          </w:p>
        </w:tc>
        <w:tc>
          <w:tcPr>
            <w:tcW w:w="1024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3"/>
              <w:ind w:left="115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饮用水水源保护区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；饮用水取水口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；涉水的自然保护区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；重要湿地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pStyle w:val="10"/>
              <w:spacing w:before="2" w:line="310" w:lineRule="atLeast"/>
              <w:ind w:left="115" w:right="77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重点保护与珍稀水生生物的栖息地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；重要水生生物的自然产卵场及索饵场、越冬场和洄游通道、天然渔场等渔业水体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；涉水的风景名胜区 □；其他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  <w:tc>
          <w:tcPr>
            <w:tcW w:w="284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147" w:right="121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影响途径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/>
              <w:ind w:left="2008" w:right="1978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水污染影响型</w:t>
            </w:r>
          </w:p>
        </w:tc>
        <w:tc>
          <w:tcPr>
            <w:tcW w:w="5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1914" w:right="1882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水文要素影响型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84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/>
              <w:ind w:left="115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直接排放 □；间接排放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；其他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</w:p>
        </w:tc>
        <w:tc>
          <w:tcPr>
            <w:tcW w:w="5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11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水温 □；径流 □；水域面积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147" w:right="121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影响因子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/>
              <w:ind w:left="115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持久性污染物 □；有毒有害污染物 □；非持久性污染物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；</w:t>
            </w:r>
          </w:p>
          <w:p>
            <w:pPr>
              <w:pStyle w:val="10"/>
              <w:spacing w:before="82"/>
              <w:ind w:left="115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zh-CN"/>
              </w:rPr>
              <w:t xml:space="preserve">pH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值 □；热污染 □；富营养化 □；其他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</w:p>
        </w:tc>
        <w:tc>
          <w:tcPr>
            <w:tcW w:w="5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ind w:left="11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水温 □；水位（水深）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；流速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；流量 □；其他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377" w:type="dxa"/>
            <w:gridSpan w:val="2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1306" w:right="1287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评价等级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3"/>
              <w:ind w:left="2008" w:right="1978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水污染影响型</w:t>
            </w:r>
          </w:p>
        </w:tc>
        <w:tc>
          <w:tcPr>
            <w:tcW w:w="5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3"/>
              <w:ind w:left="1914" w:right="1882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水文要素影响型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377" w:type="dxa"/>
            <w:gridSpan w:val="2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/>
              <w:ind w:left="115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 xml:space="preserve">一级 □；二级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sym w:font="Wingdings 2" w:char="00A3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 xml:space="preserve">；三级 A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 xml:space="preserve">；三级 B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sym w:font="Wingdings 2" w:char="0052"/>
            </w:r>
          </w:p>
        </w:tc>
        <w:tc>
          <w:tcPr>
            <w:tcW w:w="5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11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一级 □；二级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；三级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533" w:type="dxa"/>
            <w:vMerge w:val="restart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line="187" w:lineRule="auto"/>
              <w:ind w:left="128" w:right="200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现状调查</w:t>
            </w:r>
          </w:p>
        </w:tc>
        <w:tc>
          <w:tcPr>
            <w:tcW w:w="284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129"/>
              <w:ind w:left="147" w:right="118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区域污染源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/>
              <w:ind w:left="2008" w:right="1978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调查项目</w:t>
            </w:r>
          </w:p>
        </w:tc>
        <w:tc>
          <w:tcPr>
            <w:tcW w:w="5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1914" w:right="1880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数据来源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84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33"/>
              <w:ind w:left="115" w:right="-15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已建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；在建 □；拟建 □；</w:t>
            </w:r>
          </w:p>
          <w:p>
            <w:pPr>
              <w:pStyle w:val="10"/>
              <w:spacing w:before="81"/>
              <w:ind w:left="115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其他 □</w:t>
            </w:r>
          </w:p>
        </w:tc>
        <w:tc>
          <w:tcPr>
            <w:tcW w:w="2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9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</w:p>
          <w:p>
            <w:pPr>
              <w:pStyle w:val="10"/>
              <w:ind w:left="113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拟替代的污染源 □</w:t>
            </w:r>
          </w:p>
        </w:tc>
        <w:tc>
          <w:tcPr>
            <w:tcW w:w="5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33"/>
              <w:ind w:left="11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排污许可证 □；环评 □；环保验收 □；既有实测 □；现场</w:t>
            </w:r>
          </w:p>
          <w:p>
            <w:pPr>
              <w:pStyle w:val="10"/>
              <w:spacing w:before="81"/>
              <w:ind w:left="113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监测 □；入河排放口数据 □；其他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  <w:tc>
          <w:tcPr>
            <w:tcW w:w="284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527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受影响水体水环境质量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35"/>
              <w:ind w:left="2008" w:right="1978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调查时期</w:t>
            </w:r>
          </w:p>
        </w:tc>
        <w:tc>
          <w:tcPr>
            <w:tcW w:w="5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35"/>
              <w:ind w:left="1914" w:right="1880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数据来源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84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21" w:line="326" w:lineRule="auto"/>
              <w:ind w:left="115" w:right="1206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丰水期 □；平水期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；枯水期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F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；冰封期 □ </w:t>
            </w:r>
          </w:p>
          <w:p>
            <w:pPr>
              <w:pStyle w:val="10"/>
              <w:spacing w:before="121" w:line="326" w:lineRule="auto"/>
              <w:ind w:left="115" w:right="1206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春季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；夏季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；秋季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；冬季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</w:p>
        </w:tc>
        <w:tc>
          <w:tcPr>
            <w:tcW w:w="5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ind w:left="540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生态环境保护主管部门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；补充监测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F052"/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；其他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33"/>
              <w:ind w:left="147" w:right="118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区域水资源开发利用状况</w:t>
            </w:r>
          </w:p>
        </w:tc>
        <w:tc>
          <w:tcPr>
            <w:tcW w:w="1024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33"/>
              <w:ind w:left="115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>未开发 □；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zh-CN"/>
              </w:rPr>
              <w:t>开发量 40%以下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□；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lang w:eastAsia="zh-CN"/>
              </w:rPr>
              <w:t>开发量 40%以上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t xml:space="preserve">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33"/>
              <w:ind w:left="147" w:right="31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水文情势调查</w:t>
            </w:r>
          </w:p>
        </w:tc>
        <w:tc>
          <w:tcPr>
            <w:tcW w:w="5122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33"/>
              <w:ind w:left="2008" w:right="1978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调查时期</w:t>
            </w:r>
          </w:p>
        </w:tc>
        <w:tc>
          <w:tcPr>
            <w:tcW w:w="5120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10"/>
              <w:spacing w:before="33"/>
              <w:ind w:left="1914" w:right="1880"/>
              <w:jc w:val="center"/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  <w:lang w:eastAsia="en-US"/>
              </w:rPr>
              <w:t>数据来源</w:t>
            </w:r>
          </w:p>
        </w:tc>
      </w:tr>
    </w:tbl>
    <w:p>
      <w:pPr>
        <w:jc w:val="center"/>
        <w:rPr>
          <w:rFonts w:ascii="黑体" w:eastAsia="黑体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eastAsia="黑体"/>
        </w:rPr>
        <w:t>附表3    建设</w:t>
      </w:r>
      <w:r>
        <w:rPr>
          <w:rFonts w:hint="eastAsia" w:ascii="黑体" w:eastAsia="黑体"/>
          <w:spacing w:val="-3"/>
        </w:rPr>
        <w:t>项</w:t>
      </w:r>
      <w:r>
        <w:rPr>
          <w:rFonts w:hint="eastAsia" w:ascii="黑体" w:eastAsia="黑体"/>
        </w:rPr>
        <w:t>目</w:t>
      </w:r>
      <w:r>
        <w:rPr>
          <w:rFonts w:hint="eastAsia" w:ascii="黑体" w:eastAsia="黑体"/>
          <w:spacing w:val="-3"/>
        </w:rPr>
        <w:t>地</w:t>
      </w:r>
      <w:r>
        <w:rPr>
          <w:rFonts w:hint="eastAsia" w:ascii="黑体" w:eastAsia="黑体"/>
        </w:rPr>
        <w:t>表</w:t>
      </w:r>
      <w:r>
        <w:rPr>
          <w:rFonts w:hint="eastAsia" w:ascii="黑体" w:eastAsia="黑体"/>
          <w:spacing w:val="-3"/>
        </w:rPr>
        <w:t>水</w:t>
      </w:r>
      <w:r>
        <w:rPr>
          <w:rFonts w:hint="eastAsia" w:ascii="黑体" w:eastAsia="黑体"/>
        </w:rPr>
        <w:t>环</w:t>
      </w:r>
      <w:r>
        <w:rPr>
          <w:rFonts w:hint="eastAsia" w:ascii="黑体" w:eastAsia="黑体"/>
          <w:spacing w:val="-3"/>
        </w:rPr>
        <w:t>境</w:t>
      </w:r>
      <w:r>
        <w:rPr>
          <w:rFonts w:hint="eastAsia" w:ascii="黑体" w:eastAsia="黑体"/>
        </w:rPr>
        <w:t>影</w:t>
      </w:r>
      <w:r>
        <w:rPr>
          <w:rFonts w:hint="eastAsia" w:ascii="黑体" w:eastAsia="黑体"/>
          <w:spacing w:val="-3"/>
        </w:rPr>
        <w:t>响</w:t>
      </w:r>
      <w:r>
        <w:rPr>
          <w:rFonts w:hint="eastAsia" w:ascii="黑体" w:eastAsia="黑体"/>
        </w:rPr>
        <w:t>评价</w:t>
      </w:r>
      <w:r>
        <w:rPr>
          <w:rFonts w:hint="eastAsia" w:ascii="黑体" w:eastAsia="黑体"/>
          <w:spacing w:val="-3"/>
        </w:rPr>
        <w:t>自</w:t>
      </w:r>
      <w:r>
        <w:rPr>
          <w:rFonts w:hint="eastAsia" w:ascii="黑体" w:eastAsia="黑体"/>
        </w:rPr>
        <w:t>查表</w:t>
      </w:r>
    </w:p>
    <w:tbl>
      <w:tblPr>
        <w:tblStyle w:val="9"/>
        <w:tblW w:w="13620" w:type="dxa"/>
        <w:tblInd w:w="60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2844"/>
        <w:gridCol w:w="5123"/>
        <w:gridCol w:w="3123"/>
        <w:gridCol w:w="564"/>
        <w:gridCol w:w="14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3377" w:type="dxa"/>
            <w:gridSpan w:val="2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26"/>
              <w:ind w:left="1306" w:right="1287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工作内容</w:t>
            </w:r>
          </w:p>
        </w:tc>
        <w:tc>
          <w:tcPr>
            <w:tcW w:w="10243" w:type="dxa"/>
            <w:gridSpan w:val="4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126"/>
              <w:ind w:left="4749" w:right="4711"/>
              <w:jc w:val="center"/>
              <w:rPr>
                <w:sz w:val="18"/>
                <w:lang w:eastAsia="en-US"/>
              </w:rPr>
            </w:pPr>
            <w:bookmarkStart w:id="0" w:name="_GoBack"/>
            <w:bookmarkEnd w:id="0"/>
            <w:r>
              <w:rPr>
                <w:sz w:val="18"/>
                <w:lang w:eastAsia="en-US"/>
              </w:rPr>
              <w:t>自查项目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33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/>
                <w:sz w:val="18"/>
                <w:lang w:eastAsia="en-US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/>
                <w:sz w:val="18"/>
                <w:lang w:eastAsia="zh-CN"/>
              </w:rPr>
            </w:pPr>
          </w:p>
        </w:tc>
        <w:tc>
          <w:tcPr>
            <w:tcW w:w="5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29" w:line="324" w:lineRule="auto"/>
              <w:ind w:left="115" w:right="1207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丰水期 □；平水期 □；枯水期 </w:t>
            </w:r>
            <w:r>
              <w:rPr>
                <w:sz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 xml:space="preserve">；冰封期 □ </w:t>
            </w:r>
          </w:p>
          <w:p>
            <w:pPr>
              <w:pStyle w:val="10"/>
              <w:spacing w:before="129" w:line="324" w:lineRule="auto"/>
              <w:ind w:left="115" w:right="1207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春季 □；夏季 □；秋季 </w:t>
            </w:r>
            <w:r>
              <w:rPr>
                <w:sz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>；冬季 □</w:t>
            </w:r>
          </w:p>
        </w:tc>
        <w:tc>
          <w:tcPr>
            <w:tcW w:w="51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9"/>
              <w:rPr>
                <w:rFonts w:ascii="Times New Roman"/>
                <w:sz w:val="24"/>
                <w:lang w:eastAsia="zh-CN"/>
              </w:rPr>
            </w:pPr>
          </w:p>
          <w:p>
            <w:pPr>
              <w:pStyle w:val="10"/>
              <w:ind w:left="112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水行政主管部门 □；补充监测 □；其他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84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147" w:right="3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补充监测</w:t>
            </w:r>
          </w:p>
        </w:tc>
        <w:tc>
          <w:tcPr>
            <w:tcW w:w="5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/>
              <w:ind w:left="2188" w:right="2159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监测时期</w:t>
            </w:r>
          </w:p>
        </w:tc>
        <w:tc>
          <w:tcPr>
            <w:tcW w:w="3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/>
              <w:ind w:left="1184" w:right="1164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监测因子</w:t>
            </w:r>
          </w:p>
        </w:tc>
        <w:tc>
          <w:tcPr>
            <w:tcW w:w="199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376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监测断面或点位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84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5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32" w:line="324" w:lineRule="auto"/>
              <w:ind w:left="115" w:right="1207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丰水期 □；平水期 </w:t>
            </w:r>
            <w:r>
              <w:rPr>
                <w:sz w:val="18"/>
                <w:szCs w:val="18"/>
                <w:lang w:eastAsia="zh-CN"/>
              </w:rPr>
              <w:sym w:font="Wingdings 2" w:char="00A3"/>
            </w:r>
            <w:r>
              <w:rPr>
                <w:sz w:val="18"/>
                <w:szCs w:val="18"/>
                <w:lang w:eastAsia="zh-CN"/>
              </w:rPr>
              <w:t xml:space="preserve">；枯水期 </w:t>
            </w:r>
            <w:r>
              <w:rPr>
                <w:sz w:val="18"/>
                <w:szCs w:val="18"/>
                <w:lang w:eastAsia="zh-CN"/>
              </w:rPr>
              <w:sym w:font="Wingdings 2" w:char="0052"/>
            </w:r>
            <w:r>
              <w:rPr>
                <w:sz w:val="18"/>
                <w:szCs w:val="18"/>
                <w:lang w:eastAsia="zh-CN"/>
              </w:rPr>
              <w:t xml:space="preserve">；冰封期 □ </w:t>
            </w:r>
          </w:p>
          <w:p>
            <w:pPr>
              <w:pStyle w:val="10"/>
              <w:spacing w:before="132" w:line="324" w:lineRule="auto"/>
              <w:ind w:left="115" w:right="1207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春季 </w:t>
            </w:r>
            <w:r>
              <w:rPr>
                <w:sz w:val="18"/>
                <w:szCs w:val="18"/>
                <w:lang w:eastAsia="zh-CN"/>
              </w:rPr>
              <w:sym w:font="Wingdings 2" w:char="0052"/>
            </w:r>
            <w:r>
              <w:rPr>
                <w:sz w:val="18"/>
                <w:szCs w:val="18"/>
                <w:lang w:eastAsia="zh-CN"/>
              </w:rPr>
              <w:t xml:space="preserve">；夏季 □；秋季 </w:t>
            </w:r>
            <w:r>
              <w:rPr>
                <w:sz w:val="18"/>
                <w:szCs w:val="18"/>
                <w:lang w:eastAsia="zh-CN"/>
              </w:rPr>
              <w:sym w:font="Wingdings 2" w:char="00A3"/>
            </w:r>
            <w:r>
              <w:rPr>
                <w:sz w:val="18"/>
                <w:szCs w:val="18"/>
                <w:lang w:eastAsia="zh-CN"/>
              </w:rPr>
              <w:t>；冬季 □</w:t>
            </w:r>
          </w:p>
        </w:tc>
        <w:tc>
          <w:tcPr>
            <w:tcW w:w="3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/>
                <w:sz w:val="18"/>
                <w:szCs w:val="18"/>
                <w:lang w:eastAsia="zh-CN"/>
              </w:rPr>
            </w:pPr>
          </w:p>
          <w:p>
            <w:pPr>
              <w:pStyle w:val="10"/>
              <w:tabs>
                <w:tab w:val="left" w:pos="565"/>
              </w:tabs>
              <w:spacing w:before="1"/>
              <w:ind w:left="112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（</w:t>
            </w:r>
            <w:r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  <w:t>pH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</w:rPr>
              <w:t>、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  <w:lang w:eastAsia="zh-CN"/>
              </w:rPr>
              <w:t>溶解氧、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COD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Cr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</w:rPr>
              <w:t>、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BOD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NH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-N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</w:rPr>
              <w:t>、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SS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</w:rPr>
              <w:t>总磷、石油类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  <w:u w:val="none"/>
                <w:lang w:eastAsia="zh-CN"/>
              </w:rPr>
              <w:t>、硫化物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en-US"/>
              </w:rPr>
              <w:t>）</w:t>
            </w:r>
          </w:p>
        </w:tc>
        <w:tc>
          <w:tcPr>
            <w:tcW w:w="199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132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监测断面或点位个数</w:t>
            </w:r>
          </w:p>
          <w:p>
            <w:pPr>
              <w:pStyle w:val="10"/>
              <w:tabs>
                <w:tab w:val="left" w:pos="568"/>
              </w:tabs>
              <w:spacing w:before="81"/>
              <w:ind w:left="114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sz w:val="18"/>
                <w:szCs w:val="18"/>
                <w:lang w:eastAsia="zh-CN"/>
              </w:rPr>
              <w:t>）个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33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109" w:line="187" w:lineRule="auto"/>
              <w:ind w:left="128" w:right="200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现状评价</w:t>
            </w: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40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评价范围</w:t>
            </w:r>
          </w:p>
        </w:tc>
        <w:tc>
          <w:tcPr>
            <w:tcW w:w="1024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tabs>
                <w:tab w:val="left" w:pos="1469"/>
                <w:tab w:val="left" w:pos="4846"/>
              </w:tabs>
              <w:spacing w:before="40"/>
              <w:ind w:left="115"/>
              <w:rPr>
                <w:rFonts w:ascii="Times New Roman" w:eastAsia="Times New Roman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河流：长度（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3.5</w:t>
            </w:r>
            <w:r>
              <w:rPr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eastAsia="Times New Roman"/>
                <w:sz w:val="18"/>
                <w:szCs w:val="18"/>
                <w:lang w:eastAsia="zh-CN"/>
              </w:rPr>
              <w:t>km</w:t>
            </w:r>
            <w:r>
              <w:rPr>
                <w:sz w:val="18"/>
                <w:szCs w:val="18"/>
                <w:lang w:eastAsia="zh-CN"/>
              </w:rPr>
              <w:t>；湖库、河口及近岸海域：面积（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eastAsia="Times New Roman"/>
                <w:sz w:val="18"/>
                <w:szCs w:val="18"/>
                <w:lang w:eastAsia="zh-CN"/>
              </w:rPr>
              <w:t>km</w:t>
            </w:r>
            <w:r>
              <w:rPr>
                <w:rFonts w:ascii="Times New Roman" w:eastAsia="Times New Roman"/>
                <w:position w:val="6"/>
                <w:sz w:val="18"/>
                <w:szCs w:val="18"/>
                <w:lang w:eastAsia="zh-CN"/>
              </w:rPr>
              <w:t>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zh-CN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40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评价因子</w:t>
            </w:r>
          </w:p>
        </w:tc>
        <w:tc>
          <w:tcPr>
            <w:tcW w:w="1024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tabs>
                <w:tab w:val="left" w:pos="569"/>
              </w:tabs>
              <w:spacing w:before="40"/>
              <w:ind w:left="115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（</w:t>
            </w:r>
            <w:r>
              <w:rPr>
                <w:rFonts w:hint="default" w:ascii="Times New Roman" w:hAnsi="Times New Roman" w:eastAsia="Times New Roman" w:cs="Times New Roman"/>
                <w:sz w:val="18"/>
                <w:szCs w:val="18"/>
              </w:rPr>
              <w:t>pH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</w:rPr>
              <w:t>、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  <w:lang w:eastAsia="zh-CN"/>
              </w:rPr>
              <w:t>溶解氧、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COD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Cr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</w:rPr>
              <w:t>、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BOD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NH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-N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</w:rPr>
              <w:t>、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SS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  <w:lang w:eastAsia="zh-CN"/>
              </w:rPr>
              <w:t>、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</w:rPr>
              <w:t>总磷、石油类</w:t>
            </w:r>
            <w:r>
              <w:rPr>
                <w:rFonts w:hint="default" w:ascii="Times New Roman" w:hAnsi="Times New Roman" w:cs="Times New Roman"/>
                <w:spacing w:val="-14"/>
                <w:sz w:val="18"/>
                <w:szCs w:val="18"/>
                <w:u w:val="none"/>
                <w:lang w:eastAsia="zh-CN"/>
              </w:rPr>
              <w:t>、硫化物</w:t>
            </w:r>
            <w:r>
              <w:rPr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zh-CN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145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评价标准</w:t>
            </w:r>
          </w:p>
        </w:tc>
        <w:tc>
          <w:tcPr>
            <w:tcW w:w="1024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 w:line="324" w:lineRule="auto"/>
              <w:ind w:left="115" w:right="4841"/>
              <w:rPr>
                <w:spacing w:val="-205"/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河流、湖库、河口：</w:t>
            </w:r>
            <w:r>
              <w:rPr>
                <w:rFonts w:ascii="Times New Roman" w:hAnsi="Times New Roman" w:eastAsia="Times New Roman"/>
                <w:spacing w:val="-2"/>
                <w:w w:val="83"/>
                <w:sz w:val="18"/>
                <w:lang w:eastAsia="zh-CN"/>
              </w:rPr>
              <w:t>Ⅰ</w:t>
            </w:r>
            <w:r>
              <w:rPr>
                <w:rFonts w:hint="eastAsia" w:ascii="Times New Roman" w:hAnsi="Times New Roman" w:eastAsiaTheme="minorEastAsia"/>
                <w:spacing w:val="-2"/>
                <w:w w:val="83"/>
                <w:sz w:val="1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lang w:eastAsia="zh-CN"/>
              </w:rPr>
              <w:t xml:space="preserve">类 </w:t>
            </w:r>
            <w:r>
              <w:rPr>
                <w:sz w:val="18"/>
                <w:lang w:eastAsia="zh-CN"/>
              </w:rPr>
              <w:sym w:font="Wingdings 2" w:char="00A3"/>
            </w:r>
            <w:r>
              <w:rPr>
                <w:sz w:val="18"/>
                <w:lang w:eastAsia="zh-CN"/>
              </w:rPr>
              <w:t>；</w:t>
            </w:r>
            <w:r>
              <w:rPr>
                <w:rFonts w:ascii="Times New Roman" w:hAnsi="Times New Roman" w:eastAsia="Times New Roman"/>
                <w:spacing w:val="-2"/>
                <w:w w:val="83"/>
                <w:sz w:val="18"/>
                <w:lang w:eastAsia="zh-CN"/>
              </w:rPr>
              <w:t>Ⅱ</w:t>
            </w:r>
            <w:r>
              <w:rPr>
                <w:sz w:val="18"/>
                <w:lang w:eastAsia="zh-CN"/>
              </w:rPr>
              <w:t xml:space="preserve">类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sz w:val="18"/>
                <w:lang w:eastAsia="zh-CN"/>
              </w:rPr>
              <w:t>；</w:t>
            </w:r>
            <w:r>
              <w:rPr>
                <w:rFonts w:ascii="Times New Roman" w:hAnsi="Times New Roman" w:eastAsia="Times New Roman"/>
                <w:w w:val="123"/>
                <w:sz w:val="18"/>
                <w:lang w:eastAsia="zh-CN"/>
              </w:rPr>
              <w:t>Ⅲ</w:t>
            </w:r>
            <w:r>
              <w:rPr>
                <w:sz w:val="18"/>
                <w:lang w:eastAsia="zh-CN"/>
              </w:rPr>
              <w:t xml:space="preserve">类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F052"/>
            </w:r>
            <w:r>
              <w:rPr>
                <w:sz w:val="18"/>
                <w:lang w:eastAsia="zh-CN"/>
              </w:rPr>
              <w:t>；</w:t>
            </w:r>
            <w:r>
              <w:rPr>
                <w:rFonts w:ascii="Times New Roman" w:hAnsi="Times New Roman" w:eastAsia="Times New Roman" w:cs="Times New Roman"/>
                <w:w w:val="135"/>
                <w:sz w:val="18"/>
                <w:lang w:eastAsia="zh-CN"/>
              </w:rPr>
              <w:t>Ⅳ</w:t>
            </w:r>
            <w:r>
              <w:rPr>
                <w:rFonts w:ascii="Times New Roman" w:hAnsi="Times New Roman" w:cs="Times New Roman"/>
                <w:spacing w:val="-1"/>
                <w:sz w:val="18"/>
                <w:lang w:eastAsia="zh-CN"/>
              </w:rPr>
              <w:t>类</w:t>
            </w:r>
            <w:r>
              <w:rPr>
                <w:spacing w:val="-1"/>
                <w:sz w:val="18"/>
                <w:lang w:eastAsia="zh-CN"/>
              </w:rPr>
              <w:t xml:space="preserve"> □；</w:t>
            </w:r>
            <w:r>
              <w:rPr>
                <w:rFonts w:ascii="Times New Roman" w:hAnsi="Times New Roman" w:cs="Times New Roman" w:eastAsiaTheme="minorEastAsia"/>
                <w:spacing w:val="-1"/>
                <w:w w:val="92"/>
                <w:sz w:val="18"/>
                <w:lang w:eastAsia="zh-CN"/>
              </w:rPr>
              <w:t>Ⅴ类</w:t>
            </w:r>
            <w:r>
              <w:rPr>
                <w:rFonts w:hint="eastAsia" w:ascii="Times New Roman" w:hAnsi="Times New Roman" w:eastAsiaTheme="minorEastAsia"/>
                <w:spacing w:val="-1"/>
                <w:w w:val="92"/>
                <w:sz w:val="18"/>
                <w:lang w:eastAsia="zh-CN"/>
              </w:rPr>
              <w:t xml:space="preserve"> </w:t>
            </w:r>
            <w:r>
              <w:rPr>
                <w:spacing w:val="-1"/>
                <w:sz w:val="18"/>
                <w:lang w:eastAsia="zh-CN"/>
              </w:rPr>
              <w:t>□</w:t>
            </w:r>
            <w:r>
              <w:rPr>
                <w:rFonts w:hint="eastAsia"/>
                <w:spacing w:val="-205"/>
                <w:sz w:val="18"/>
                <w:lang w:eastAsia="zh-CN"/>
              </w:rPr>
              <w:t xml:space="preserve">    </w:t>
            </w:r>
          </w:p>
          <w:p>
            <w:pPr>
              <w:pStyle w:val="10"/>
              <w:spacing w:before="40" w:line="324" w:lineRule="auto"/>
              <w:ind w:left="115" w:right="4841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近岸海域：第一类 □；第二类 □；第三类 □；第四类 □</w:t>
            </w:r>
          </w:p>
          <w:p>
            <w:pPr>
              <w:pStyle w:val="10"/>
              <w:tabs>
                <w:tab w:val="left" w:pos="1829"/>
              </w:tabs>
              <w:spacing w:before="2"/>
              <w:ind w:left="115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规划年评价标准（</w:t>
            </w:r>
            <w:r>
              <w:rPr>
                <w:sz w:val="18"/>
                <w:lang w:eastAsia="en-US"/>
              </w:rPr>
              <w:tab/>
            </w:r>
            <w:r>
              <w:rPr>
                <w:sz w:val="18"/>
                <w:lang w:eastAsia="en-US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1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评价时期</w:t>
            </w:r>
          </w:p>
        </w:tc>
        <w:tc>
          <w:tcPr>
            <w:tcW w:w="1024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3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丰水期 □；平水期 </w:t>
            </w:r>
            <w:r>
              <w:rPr>
                <w:sz w:val="18"/>
                <w:lang w:eastAsia="zh-CN"/>
              </w:rPr>
              <w:sym w:font="Wingdings 2" w:char="00A3"/>
            </w:r>
            <w:r>
              <w:rPr>
                <w:sz w:val="18"/>
                <w:lang w:eastAsia="zh-CN"/>
              </w:rPr>
              <w:t xml:space="preserve">；枯水期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>；冰封期 □</w:t>
            </w:r>
          </w:p>
          <w:p>
            <w:pPr>
              <w:pStyle w:val="10"/>
              <w:spacing w:before="81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春季 </w:t>
            </w:r>
            <w:r>
              <w:rPr>
                <w:sz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 xml:space="preserve">；夏季 □；秋季 </w:t>
            </w:r>
            <w:r>
              <w:rPr>
                <w:sz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>；冬季</w:t>
            </w:r>
            <w:r>
              <w:rPr>
                <w:rFonts w:hint="eastAsia"/>
                <w:sz w:val="18"/>
                <w:lang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8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zh-CN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评价结论</w:t>
            </w:r>
          </w:p>
        </w:tc>
        <w:tc>
          <w:tcPr>
            <w:tcW w:w="88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 w:line="324" w:lineRule="auto"/>
              <w:ind w:left="115" w:right="1743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水环境功能区或水功能区、近岸海域环境功能区水质达标状况 </w:t>
            </w:r>
            <w:r>
              <w:rPr>
                <w:sz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 xml:space="preserve">：达标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F052"/>
            </w:r>
            <w:r>
              <w:rPr>
                <w:sz w:val="18"/>
                <w:lang w:eastAsia="zh-CN"/>
              </w:rPr>
              <w:t xml:space="preserve">；不达标 □ </w:t>
            </w:r>
          </w:p>
          <w:p>
            <w:pPr>
              <w:pStyle w:val="10"/>
              <w:spacing w:before="40" w:line="324" w:lineRule="auto"/>
              <w:ind w:left="115" w:right="1743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水环境控制单元或断面水质达标状况 </w:t>
            </w:r>
            <w:r>
              <w:rPr>
                <w:sz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 xml:space="preserve">：达标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F052"/>
            </w:r>
            <w:r>
              <w:rPr>
                <w:sz w:val="18"/>
                <w:lang w:eastAsia="zh-CN"/>
              </w:rPr>
              <w:t>；不达标 □</w:t>
            </w:r>
          </w:p>
          <w:p>
            <w:pPr>
              <w:pStyle w:val="10"/>
              <w:spacing w:before="2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水环境保护目标质量状况 </w:t>
            </w:r>
            <w:r>
              <w:rPr>
                <w:sz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 xml:space="preserve">：达标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F052"/>
            </w:r>
            <w:r>
              <w:rPr>
                <w:sz w:val="18"/>
                <w:lang w:eastAsia="zh-CN"/>
              </w:rPr>
              <w:t>；不达标 □</w:t>
            </w:r>
          </w:p>
          <w:p>
            <w:pPr>
              <w:pStyle w:val="10"/>
              <w:spacing w:before="2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对照断面、控制断面等代表性断面的水质状况 </w:t>
            </w:r>
            <w:r>
              <w:rPr>
                <w:sz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 xml:space="preserve">：达标 </w:t>
            </w:r>
            <w:r>
              <w:rPr>
                <w:sz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 xml:space="preserve">；不达标 □ </w:t>
            </w:r>
          </w:p>
          <w:p>
            <w:pPr>
              <w:pStyle w:val="10"/>
              <w:spacing w:before="81" w:line="324" w:lineRule="auto"/>
              <w:ind w:left="115" w:right="29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底泥污染评价</w:t>
            </w:r>
            <w:r>
              <w:rPr>
                <w:rFonts w:hint="eastAsia"/>
                <w:sz w:val="18"/>
                <w:lang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</w:p>
          <w:p>
            <w:pPr>
              <w:pStyle w:val="10"/>
              <w:spacing w:before="1" w:line="324" w:lineRule="auto"/>
              <w:ind w:left="115" w:right="5166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水资源与开发利用程度及其水文情势评价 □ 水环境质量回顾评价 □</w:t>
            </w:r>
          </w:p>
          <w:p>
            <w:pPr>
              <w:pStyle w:val="10"/>
              <w:spacing w:before="2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流域（区域）水资源（包括水能资源）与开发利用总体状况、生态流量管理要求与现状满足程度、建设项目占</w:t>
            </w:r>
          </w:p>
          <w:p>
            <w:pPr>
              <w:pStyle w:val="10"/>
              <w:spacing w:before="81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用水域空间的水流状况与河湖演变状况 □</w:t>
            </w: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10"/>
              <w:spacing w:line="324" w:lineRule="auto"/>
              <w:ind w:left="114" w:right="302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达 标 区</w:t>
            </w:r>
            <w:r>
              <w:rPr>
                <w:rFonts w:hint="eastAsia"/>
                <w:sz w:val="18"/>
                <w:lang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F052"/>
            </w:r>
            <w:r>
              <w:rPr>
                <w:sz w:val="18"/>
                <w:lang w:eastAsia="en-US"/>
              </w:rPr>
              <w:t xml:space="preserve"> 不达标区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533" w:type="dxa"/>
            <w:vMerge w:val="restart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136" w:line="187" w:lineRule="auto"/>
              <w:ind w:left="128" w:right="200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影响预测</w:t>
            </w: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预测范围</w:t>
            </w:r>
          </w:p>
        </w:tc>
        <w:tc>
          <w:tcPr>
            <w:tcW w:w="1024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tabs>
                <w:tab w:val="left" w:pos="1469"/>
                <w:tab w:val="left" w:pos="4846"/>
              </w:tabs>
              <w:spacing w:before="40"/>
              <w:ind w:left="115"/>
              <w:rPr>
                <w:rFonts w:ascii="Times New Roman" w:eastAsia="Times New Roman"/>
                <w:sz w:val="12"/>
                <w:lang w:eastAsia="zh-CN"/>
              </w:rPr>
            </w:pPr>
            <w:r>
              <w:rPr>
                <w:sz w:val="18"/>
                <w:lang w:eastAsia="zh-CN"/>
              </w:rPr>
              <w:t>河流：长度（</w:t>
            </w:r>
            <w:r>
              <w:rPr>
                <w:rFonts w:hint="eastAsia"/>
                <w:sz w:val="18"/>
                <w:lang w:val="en-US" w:eastAsia="zh-CN"/>
              </w:rPr>
              <w:t>3.5</w:t>
            </w:r>
            <w:r>
              <w:rPr>
                <w:sz w:val="18"/>
                <w:lang w:eastAsia="zh-CN"/>
              </w:rPr>
              <w:t>）</w:t>
            </w:r>
            <w:r>
              <w:rPr>
                <w:rFonts w:ascii="Times New Roman" w:eastAsia="Times New Roman"/>
                <w:sz w:val="18"/>
                <w:lang w:eastAsia="zh-CN"/>
              </w:rPr>
              <w:t>km</w:t>
            </w:r>
            <w:r>
              <w:rPr>
                <w:sz w:val="18"/>
                <w:lang w:eastAsia="zh-CN"/>
              </w:rPr>
              <w:t>；湖库、河口及近岸海域：面积（</w:t>
            </w:r>
            <w:r>
              <w:rPr>
                <w:sz w:val="18"/>
                <w:lang w:eastAsia="zh-CN"/>
              </w:rPr>
              <w:tab/>
            </w:r>
            <w:r>
              <w:rPr>
                <w:sz w:val="18"/>
                <w:lang w:eastAsia="zh-CN"/>
              </w:rPr>
              <w:t>）</w:t>
            </w:r>
            <w:r>
              <w:rPr>
                <w:rFonts w:ascii="Times New Roman" w:eastAsia="Times New Roman"/>
                <w:sz w:val="18"/>
                <w:lang w:eastAsia="zh-CN"/>
              </w:rPr>
              <w:t>km</w:t>
            </w:r>
            <w:r>
              <w:rPr>
                <w:rFonts w:ascii="Times New Roman" w:eastAsia="Times New Roman"/>
                <w:position w:val="6"/>
                <w:sz w:val="12"/>
                <w:lang w:eastAsia="zh-CN"/>
              </w:rPr>
              <w:t>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33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预测因子</w:t>
            </w:r>
          </w:p>
        </w:tc>
        <w:tc>
          <w:tcPr>
            <w:tcW w:w="1024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tabs>
                <w:tab w:val="left" w:pos="569"/>
              </w:tabs>
              <w:spacing w:before="33"/>
              <w:ind w:left="115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（</w:t>
            </w:r>
            <w:r>
              <w:rPr>
                <w:sz w:val="18"/>
                <w:lang w:eastAsia="en-US"/>
              </w:rPr>
              <w:tab/>
            </w:r>
            <w:r>
              <w:rPr>
                <w:sz w:val="18"/>
                <w:lang w:eastAsia="en-US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35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预测时期</w:t>
            </w:r>
          </w:p>
        </w:tc>
        <w:tc>
          <w:tcPr>
            <w:tcW w:w="10243" w:type="dxa"/>
            <w:gridSpan w:val="4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10"/>
              <w:spacing w:before="35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丰水期 □；平水期 □；枯水期 □；冰封期 □</w:t>
            </w:r>
          </w:p>
        </w:tc>
      </w:tr>
    </w:tbl>
    <w:p>
      <w:pPr>
        <w:rPr>
          <w:sz w:val="18"/>
        </w:rPr>
        <w:sectPr>
          <w:pgSz w:w="16840" w:h="11910" w:orient="landscape"/>
          <w:pgMar w:top="1880" w:right="860" w:bottom="1220" w:left="1160" w:header="1319" w:footer="1025" w:gutter="0"/>
          <w:cols w:space="720" w:num="1"/>
        </w:sectPr>
      </w:pPr>
    </w:p>
    <w:p>
      <w:pPr>
        <w:pStyle w:val="2"/>
        <w:spacing w:before="120" w:after="13"/>
        <w:ind w:right="477"/>
        <w:jc w:val="right"/>
        <w:rPr>
          <w:rFonts w:ascii="黑体" w:eastAsia="黑体"/>
        </w:rPr>
      </w:pPr>
      <w:r>
        <w:rPr>
          <w:rFonts w:hint="eastAsia" w:ascii="黑体" w:eastAsia="黑体"/>
        </w:rPr>
        <w:t>续表</w:t>
      </w:r>
    </w:p>
    <w:tbl>
      <w:tblPr>
        <w:tblStyle w:val="9"/>
        <w:tblW w:w="13620" w:type="dxa"/>
        <w:tblInd w:w="60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2844"/>
        <w:gridCol w:w="2048"/>
        <w:gridCol w:w="1366"/>
        <w:gridCol w:w="684"/>
        <w:gridCol w:w="2048"/>
        <w:gridCol w:w="684"/>
        <w:gridCol w:w="1366"/>
        <w:gridCol w:w="204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3377" w:type="dxa"/>
            <w:gridSpan w:val="2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26"/>
              <w:ind w:left="1306" w:right="1287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工作内容</w:t>
            </w:r>
          </w:p>
        </w:tc>
        <w:tc>
          <w:tcPr>
            <w:tcW w:w="10243" w:type="dxa"/>
            <w:gridSpan w:val="7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126"/>
              <w:ind w:left="4749" w:right="471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自查项目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33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/>
                <w:sz w:val="18"/>
                <w:lang w:eastAsia="en-US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/>
                <w:sz w:val="18"/>
                <w:lang w:eastAsia="en-US"/>
              </w:rPr>
            </w:pPr>
          </w:p>
        </w:tc>
        <w:tc>
          <w:tcPr>
            <w:tcW w:w="1024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春季 □；夏季 □；秋季 □；冬季 □</w:t>
            </w:r>
          </w:p>
          <w:p>
            <w:pPr>
              <w:pStyle w:val="10"/>
              <w:spacing w:before="82"/>
              <w:ind w:left="115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设计水文条件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1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预测情景</w:t>
            </w:r>
          </w:p>
        </w:tc>
        <w:tc>
          <w:tcPr>
            <w:tcW w:w="1024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 w:line="324" w:lineRule="auto"/>
              <w:ind w:left="115" w:right="6591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建设期 □；生产运行期 □；服务期满后 □ 正常工况 □；非正常工况 □</w:t>
            </w:r>
          </w:p>
          <w:p>
            <w:pPr>
              <w:pStyle w:val="10"/>
              <w:spacing w:before="2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污染控制和减缓措施方案 □</w:t>
            </w:r>
          </w:p>
          <w:p>
            <w:pPr>
              <w:pStyle w:val="10"/>
              <w:spacing w:before="81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区（流）域环境质量改善目标要求情景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预测方法</w:t>
            </w:r>
          </w:p>
        </w:tc>
        <w:tc>
          <w:tcPr>
            <w:tcW w:w="1024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数值解 □：解析解 □；其他 □ </w:t>
            </w:r>
          </w:p>
          <w:p>
            <w:pPr>
              <w:pStyle w:val="10"/>
              <w:spacing w:before="82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导则推荐模式 □：其他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533" w:type="dxa"/>
            <w:vMerge w:val="restart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line="187" w:lineRule="auto"/>
              <w:ind w:left="128" w:right="200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影响评价</w:t>
            </w: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43"/>
              <w:ind w:left="147" w:right="121"/>
              <w:jc w:val="center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水污染控制和水环境影响减缓措</w:t>
            </w:r>
          </w:p>
          <w:p>
            <w:pPr>
              <w:pStyle w:val="10"/>
              <w:spacing w:before="81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施有效性评价</w:t>
            </w:r>
          </w:p>
        </w:tc>
        <w:tc>
          <w:tcPr>
            <w:tcW w:w="1024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6"/>
              <w:rPr>
                <w:rFonts w:ascii="黑体"/>
                <w:sz w:val="15"/>
                <w:lang w:eastAsia="zh-CN"/>
              </w:rPr>
            </w:pPr>
          </w:p>
          <w:p>
            <w:pPr>
              <w:pStyle w:val="10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区（流）域水环境质量改善目标 □；替代削减源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2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zh-CN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128"/>
              <w:ind w:left="147" w:right="118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水环境影响评价</w:t>
            </w:r>
          </w:p>
        </w:tc>
        <w:tc>
          <w:tcPr>
            <w:tcW w:w="1024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33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排放口混合区外满足水环境管理要求 □</w:t>
            </w:r>
          </w:p>
          <w:p>
            <w:pPr>
              <w:pStyle w:val="10"/>
              <w:spacing w:before="81" w:line="324" w:lineRule="auto"/>
              <w:ind w:left="115" w:right="5331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水环境功能区或水功能区、近岸海域环境功能区水质达标 </w:t>
            </w:r>
            <w:r>
              <w:rPr>
                <w:sz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 xml:space="preserve"> 满足水环境保护目标水域水环境质量要求 </w:t>
            </w:r>
            <w:r>
              <w:rPr>
                <w:sz w:val="18"/>
                <w:lang w:eastAsia="zh-CN"/>
              </w:rPr>
              <w:sym w:font="Wingdings 2" w:char="0052"/>
            </w:r>
          </w:p>
          <w:p>
            <w:pPr>
              <w:pStyle w:val="10"/>
              <w:spacing w:before="2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水环境控制单元或断面水质达标 □ </w:t>
            </w:r>
          </w:p>
          <w:p>
            <w:pPr>
              <w:pStyle w:val="10"/>
              <w:spacing w:before="81" w:line="324" w:lineRule="auto"/>
              <w:ind w:left="115" w:right="1459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满足重点水污染物排放总量控制指标要求，重点行业建设项目， 主要污染物排放满足等量或减量替代要求 □ 满足区（流）域水环境质量改善目标要求 □</w:t>
            </w:r>
          </w:p>
          <w:p>
            <w:pPr>
              <w:pStyle w:val="10"/>
              <w:spacing w:before="1" w:line="324" w:lineRule="auto"/>
              <w:ind w:left="115" w:right="1550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水文要素影响型建设项目同时应包括水文情势变化评价、主要水文特征值影响评价、生态流量符合性评价 □ 对于新设或调整入河（湖库、近岸海域）排放口的建设项目，应包括排放口设置的环境合理性评价 □</w:t>
            </w:r>
          </w:p>
          <w:p>
            <w:pPr>
              <w:pStyle w:val="10"/>
              <w:spacing w:before="2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满足生态保护红线、水环境质量底线、资源利用上线和环境准入清单管理要求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zh-CN"/>
              </w:rPr>
            </w:pPr>
          </w:p>
        </w:tc>
        <w:tc>
          <w:tcPr>
            <w:tcW w:w="284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707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污染源排放量核算</w:t>
            </w:r>
          </w:p>
        </w:tc>
        <w:tc>
          <w:tcPr>
            <w:tcW w:w="34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33"/>
              <w:ind w:left="1242" w:right="1216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污染物名称</w:t>
            </w:r>
          </w:p>
        </w:tc>
        <w:tc>
          <w:tcPr>
            <w:tcW w:w="34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33"/>
              <w:ind w:left="1103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排放量</w:t>
            </w:r>
            <w:r>
              <w:rPr>
                <w:rFonts w:ascii="Times New Roman" w:eastAsia="Times New Roman"/>
                <w:sz w:val="18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sz w:val="18"/>
                <w:lang w:eastAsia="en-US"/>
              </w:rPr>
              <w:t>（t/a）</w:t>
            </w:r>
          </w:p>
        </w:tc>
        <w:tc>
          <w:tcPr>
            <w:tcW w:w="34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33"/>
              <w:ind w:left="951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排放浓度</w:t>
            </w:r>
            <w:r>
              <w:rPr>
                <w:rFonts w:ascii="Times New Roman" w:eastAsia="Times New Roman"/>
                <w:sz w:val="18"/>
                <w:lang w:eastAsia="en-US"/>
              </w:rPr>
              <w:t>/</w:t>
            </w:r>
            <w:r>
              <w:rPr>
                <w:sz w:val="18"/>
                <w:lang w:eastAsia="en-US"/>
              </w:rPr>
              <w:t>（</w:t>
            </w:r>
            <w:r>
              <w:rPr>
                <w:rFonts w:ascii="Times New Roman" w:eastAsia="Times New Roman"/>
                <w:sz w:val="18"/>
                <w:lang w:eastAsia="en-US"/>
              </w:rPr>
              <w:t>mg/L</w:t>
            </w:r>
            <w:r>
              <w:rPr>
                <w:sz w:val="18"/>
                <w:lang w:eastAsia="en-US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84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341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tabs>
                <w:tab w:val="left" w:pos="569"/>
              </w:tabs>
              <w:spacing w:before="33"/>
              <w:ind w:left="115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（</w:t>
            </w:r>
            <w:r>
              <w:rPr>
                <w:sz w:val="18"/>
                <w:lang w:eastAsia="en-US"/>
              </w:rPr>
              <w:tab/>
            </w:r>
            <w:r>
              <w:rPr>
                <w:sz w:val="18"/>
                <w:lang w:eastAsia="en-US"/>
              </w:rPr>
              <w:t>）</w:t>
            </w:r>
          </w:p>
        </w:tc>
        <w:tc>
          <w:tcPr>
            <w:tcW w:w="341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tabs>
                <w:tab w:val="left" w:pos="568"/>
              </w:tabs>
              <w:spacing w:before="33"/>
              <w:ind w:left="114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（</w:t>
            </w:r>
            <w:r>
              <w:rPr>
                <w:sz w:val="18"/>
                <w:lang w:eastAsia="en-US"/>
              </w:rPr>
              <w:tab/>
            </w:r>
            <w:r>
              <w:rPr>
                <w:sz w:val="18"/>
                <w:lang w:eastAsia="en-US"/>
              </w:rPr>
              <w:t>）</w:t>
            </w:r>
          </w:p>
        </w:tc>
        <w:tc>
          <w:tcPr>
            <w:tcW w:w="34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tabs>
                <w:tab w:val="left" w:pos="567"/>
              </w:tabs>
              <w:spacing w:before="33"/>
              <w:ind w:left="114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（</w:t>
            </w:r>
            <w:r>
              <w:rPr>
                <w:sz w:val="18"/>
                <w:lang w:eastAsia="en-US"/>
              </w:rPr>
              <w:tab/>
            </w:r>
            <w:r>
              <w:rPr>
                <w:sz w:val="18"/>
                <w:lang w:eastAsia="en-US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84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799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替代源排放情况</w:t>
            </w:r>
          </w:p>
        </w:tc>
        <w:tc>
          <w:tcPr>
            <w:tcW w:w="2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35"/>
              <w:ind w:left="115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污染源名称</w:t>
            </w:r>
          </w:p>
        </w:tc>
        <w:tc>
          <w:tcPr>
            <w:tcW w:w="20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35"/>
              <w:ind w:left="114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排污许可证编号</w:t>
            </w:r>
          </w:p>
        </w:tc>
        <w:tc>
          <w:tcPr>
            <w:tcW w:w="2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35"/>
              <w:ind w:left="112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污染物名称</w:t>
            </w:r>
          </w:p>
        </w:tc>
        <w:tc>
          <w:tcPr>
            <w:tcW w:w="20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35"/>
              <w:ind w:left="114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排放量</w:t>
            </w:r>
            <w:r>
              <w:rPr>
                <w:rFonts w:ascii="Times New Roman" w:eastAsia="Times New Roman"/>
                <w:sz w:val="18"/>
                <w:lang w:eastAsia="en-US"/>
              </w:rPr>
              <w:t>/</w:t>
            </w:r>
            <w:r>
              <w:rPr>
                <w:sz w:val="18"/>
                <w:lang w:eastAsia="en-US"/>
              </w:rPr>
              <w:t>（t/a）</w:t>
            </w:r>
          </w:p>
        </w:tc>
        <w:tc>
          <w:tcPr>
            <w:tcW w:w="2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35"/>
              <w:ind w:left="11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排放浓度</w:t>
            </w:r>
            <w:r>
              <w:rPr>
                <w:rFonts w:ascii="Times New Roman" w:eastAsia="Times New Roman"/>
                <w:sz w:val="18"/>
                <w:lang w:eastAsia="en-US"/>
              </w:rPr>
              <w:t>/</w:t>
            </w:r>
            <w:r>
              <w:rPr>
                <w:sz w:val="18"/>
                <w:lang w:eastAsia="en-US"/>
              </w:rPr>
              <w:t>（</w:t>
            </w:r>
            <w:r>
              <w:rPr>
                <w:rFonts w:ascii="Times New Roman" w:eastAsia="Times New Roman"/>
                <w:sz w:val="18"/>
                <w:lang w:eastAsia="en-US"/>
              </w:rPr>
              <w:t>mg/L</w:t>
            </w:r>
            <w:r>
              <w:rPr>
                <w:sz w:val="18"/>
                <w:lang w:eastAsia="en-US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84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tabs>
                <w:tab w:val="left" w:pos="569"/>
              </w:tabs>
              <w:spacing w:before="33"/>
              <w:ind w:left="115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（</w:t>
            </w:r>
            <w:r>
              <w:rPr>
                <w:sz w:val="18"/>
                <w:lang w:eastAsia="en-US"/>
              </w:rPr>
              <w:tab/>
            </w:r>
            <w:r>
              <w:rPr>
                <w:sz w:val="18"/>
                <w:lang w:eastAsia="en-US"/>
              </w:rPr>
              <w:t>）</w:t>
            </w:r>
          </w:p>
        </w:tc>
        <w:tc>
          <w:tcPr>
            <w:tcW w:w="20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tabs>
                <w:tab w:val="left" w:pos="568"/>
              </w:tabs>
              <w:spacing w:before="33"/>
              <w:ind w:left="114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（</w:t>
            </w:r>
            <w:r>
              <w:rPr>
                <w:sz w:val="18"/>
                <w:lang w:eastAsia="en-US"/>
              </w:rPr>
              <w:tab/>
            </w:r>
            <w:r>
              <w:rPr>
                <w:sz w:val="18"/>
                <w:lang w:eastAsia="en-US"/>
              </w:rPr>
              <w:t>）</w:t>
            </w:r>
          </w:p>
        </w:tc>
        <w:tc>
          <w:tcPr>
            <w:tcW w:w="20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tabs>
                <w:tab w:val="left" w:pos="566"/>
              </w:tabs>
              <w:spacing w:before="33"/>
              <w:ind w:left="112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（</w:t>
            </w:r>
            <w:r>
              <w:rPr>
                <w:sz w:val="18"/>
                <w:lang w:eastAsia="en-US"/>
              </w:rPr>
              <w:tab/>
            </w:r>
            <w:r>
              <w:rPr>
                <w:sz w:val="18"/>
                <w:lang w:eastAsia="en-US"/>
              </w:rPr>
              <w:t>）</w:t>
            </w:r>
          </w:p>
        </w:tc>
        <w:tc>
          <w:tcPr>
            <w:tcW w:w="20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tabs>
                <w:tab w:val="left" w:pos="567"/>
              </w:tabs>
              <w:spacing w:before="33"/>
              <w:ind w:left="114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（</w:t>
            </w:r>
            <w:r>
              <w:rPr>
                <w:sz w:val="18"/>
                <w:lang w:eastAsia="en-US"/>
              </w:rPr>
              <w:tab/>
            </w:r>
            <w:r>
              <w:rPr>
                <w:sz w:val="18"/>
                <w:lang w:eastAsia="en-US"/>
              </w:rPr>
              <w:t>）</w:t>
            </w:r>
          </w:p>
        </w:tc>
        <w:tc>
          <w:tcPr>
            <w:tcW w:w="20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tabs>
                <w:tab w:val="left" w:pos="565"/>
              </w:tabs>
              <w:spacing w:before="33"/>
              <w:ind w:left="11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（</w:t>
            </w:r>
            <w:r>
              <w:rPr>
                <w:sz w:val="18"/>
                <w:lang w:eastAsia="en-US"/>
              </w:rPr>
              <w:tab/>
            </w:r>
            <w:r>
              <w:rPr>
                <w:sz w:val="18"/>
                <w:lang w:eastAsia="en-US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533" w:type="dxa"/>
            <w:vMerge w:val="continue"/>
            <w:tcBorders>
              <w:top w:val="nil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生态流量确定</w:t>
            </w:r>
          </w:p>
        </w:tc>
        <w:tc>
          <w:tcPr>
            <w:tcW w:w="10243" w:type="dxa"/>
            <w:gridSpan w:val="7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10"/>
              <w:tabs>
                <w:tab w:val="left" w:pos="2189"/>
                <w:tab w:val="left" w:pos="4220"/>
                <w:tab w:val="left" w:pos="5710"/>
              </w:tabs>
              <w:spacing w:before="33"/>
              <w:ind w:left="115"/>
              <w:rPr>
                <w:rFonts w:ascii="Times New Roman" w:eastAsia="Times New Roman"/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生态流量：一般水期（</w:t>
            </w:r>
            <w:r>
              <w:rPr>
                <w:sz w:val="18"/>
                <w:lang w:eastAsia="zh-CN"/>
              </w:rPr>
              <w:tab/>
            </w:r>
            <w:r>
              <w:rPr>
                <w:sz w:val="18"/>
                <w:lang w:eastAsia="zh-CN"/>
              </w:rPr>
              <w:t>）</w:t>
            </w:r>
            <w:r>
              <w:rPr>
                <w:rFonts w:ascii="Times New Roman" w:eastAsia="Times New Roman"/>
                <w:sz w:val="18"/>
                <w:lang w:eastAsia="zh-CN"/>
              </w:rPr>
              <w:t>m</w:t>
            </w:r>
            <w:r>
              <w:rPr>
                <w:rFonts w:ascii="Times New Roman" w:eastAsia="Times New Roman"/>
                <w:position w:val="6"/>
                <w:sz w:val="12"/>
                <w:lang w:eastAsia="zh-CN"/>
              </w:rPr>
              <w:t>3</w:t>
            </w:r>
            <w:r>
              <w:rPr>
                <w:rFonts w:ascii="Times New Roman" w:eastAsia="Times New Roman"/>
                <w:sz w:val="18"/>
                <w:lang w:eastAsia="zh-CN"/>
              </w:rPr>
              <w:t>/s</w:t>
            </w:r>
            <w:r>
              <w:rPr>
                <w:sz w:val="18"/>
                <w:lang w:eastAsia="zh-CN"/>
              </w:rPr>
              <w:t>；鱼类繁殖期（</w:t>
            </w:r>
            <w:r>
              <w:rPr>
                <w:sz w:val="18"/>
                <w:lang w:eastAsia="zh-CN"/>
              </w:rPr>
              <w:tab/>
            </w:r>
            <w:r>
              <w:rPr>
                <w:sz w:val="18"/>
                <w:lang w:eastAsia="zh-CN"/>
              </w:rPr>
              <w:t>）</w:t>
            </w:r>
            <w:r>
              <w:rPr>
                <w:rFonts w:ascii="Times New Roman" w:eastAsia="Times New Roman"/>
                <w:sz w:val="18"/>
                <w:lang w:eastAsia="zh-CN"/>
              </w:rPr>
              <w:t>m</w:t>
            </w:r>
            <w:r>
              <w:rPr>
                <w:rFonts w:ascii="Times New Roman" w:eastAsia="Times New Roman"/>
                <w:position w:val="6"/>
                <w:sz w:val="12"/>
                <w:lang w:eastAsia="zh-CN"/>
              </w:rPr>
              <w:t>3</w:t>
            </w:r>
            <w:r>
              <w:rPr>
                <w:rFonts w:ascii="Times New Roman" w:eastAsia="Times New Roman"/>
                <w:sz w:val="18"/>
                <w:lang w:eastAsia="zh-CN"/>
              </w:rPr>
              <w:t>/s</w:t>
            </w:r>
            <w:r>
              <w:rPr>
                <w:sz w:val="18"/>
                <w:lang w:eastAsia="zh-CN"/>
              </w:rPr>
              <w:t>；其他（</w:t>
            </w:r>
            <w:r>
              <w:rPr>
                <w:sz w:val="18"/>
                <w:lang w:eastAsia="zh-CN"/>
              </w:rPr>
              <w:tab/>
            </w:r>
            <w:r>
              <w:rPr>
                <w:sz w:val="18"/>
                <w:lang w:eastAsia="zh-CN"/>
              </w:rPr>
              <w:t>）</w:t>
            </w:r>
            <w:r>
              <w:rPr>
                <w:rFonts w:ascii="Times New Roman" w:eastAsia="Times New Roman"/>
                <w:sz w:val="18"/>
                <w:lang w:eastAsia="zh-CN"/>
              </w:rPr>
              <w:t>m</w:t>
            </w:r>
            <w:r>
              <w:rPr>
                <w:rFonts w:ascii="Times New Roman" w:eastAsia="Times New Roman"/>
                <w:position w:val="6"/>
                <w:sz w:val="12"/>
                <w:lang w:eastAsia="zh-CN"/>
              </w:rPr>
              <w:t>3</w:t>
            </w:r>
            <w:r>
              <w:rPr>
                <w:rFonts w:ascii="Times New Roman" w:eastAsia="Times New Roman"/>
                <w:sz w:val="18"/>
                <w:lang w:eastAsia="zh-CN"/>
              </w:rPr>
              <w:t>/s</w:t>
            </w:r>
          </w:p>
          <w:p>
            <w:pPr>
              <w:pStyle w:val="10"/>
              <w:tabs>
                <w:tab w:val="left" w:pos="2189"/>
                <w:tab w:val="left" w:pos="4039"/>
                <w:tab w:val="left" w:pos="5350"/>
              </w:tabs>
              <w:spacing w:before="81"/>
              <w:ind w:left="115"/>
              <w:rPr>
                <w:rFonts w:ascii="Times New Roman" w:eastAsia="Times New Roman"/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生态水位：一般水期（</w:t>
            </w:r>
            <w:r>
              <w:rPr>
                <w:sz w:val="18"/>
                <w:lang w:eastAsia="zh-CN"/>
              </w:rPr>
              <w:tab/>
            </w:r>
            <w:r>
              <w:rPr>
                <w:sz w:val="18"/>
                <w:lang w:eastAsia="zh-CN"/>
              </w:rPr>
              <w:t>）</w:t>
            </w:r>
            <w:r>
              <w:rPr>
                <w:rFonts w:ascii="Times New Roman" w:eastAsia="Times New Roman"/>
                <w:sz w:val="18"/>
                <w:lang w:eastAsia="zh-CN"/>
              </w:rPr>
              <w:t>m</w:t>
            </w:r>
            <w:r>
              <w:rPr>
                <w:sz w:val="18"/>
                <w:lang w:eastAsia="zh-CN"/>
              </w:rPr>
              <w:t>；鱼类繁殖期（</w:t>
            </w:r>
            <w:r>
              <w:rPr>
                <w:sz w:val="18"/>
                <w:lang w:eastAsia="zh-CN"/>
              </w:rPr>
              <w:tab/>
            </w:r>
            <w:r>
              <w:rPr>
                <w:sz w:val="18"/>
                <w:lang w:eastAsia="zh-CN"/>
              </w:rPr>
              <w:t>）</w:t>
            </w:r>
            <w:r>
              <w:rPr>
                <w:rFonts w:ascii="Times New Roman" w:eastAsia="Times New Roman"/>
                <w:sz w:val="18"/>
                <w:lang w:eastAsia="zh-CN"/>
              </w:rPr>
              <w:t>m</w:t>
            </w:r>
            <w:r>
              <w:rPr>
                <w:sz w:val="18"/>
                <w:lang w:eastAsia="zh-CN"/>
              </w:rPr>
              <w:t>；其他（</w:t>
            </w:r>
            <w:r>
              <w:rPr>
                <w:sz w:val="18"/>
                <w:lang w:eastAsia="zh-CN"/>
              </w:rPr>
              <w:tab/>
            </w:r>
            <w:r>
              <w:rPr>
                <w:sz w:val="18"/>
                <w:lang w:eastAsia="zh-CN"/>
              </w:rPr>
              <w:t>）</w:t>
            </w:r>
            <w:r>
              <w:rPr>
                <w:rFonts w:ascii="Times New Roman" w:eastAsia="Times New Roman"/>
                <w:sz w:val="18"/>
                <w:lang w:eastAsia="zh-CN"/>
              </w:rPr>
              <w:t>m</w:t>
            </w:r>
          </w:p>
        </w:tc>
      </w:tr>
    </w:tbl>
    <w:p>
      <w:pPr>
        <w:rPr>
          <w:rFonts w:ascii="Times New Roman" w:eastAsia="Times New Roman"/>
          <w:sz w:val="18"/>
        </w:rPr>
        <w:sectPr>
          <w:pgSz w:w="16840" w:h="11910" w:orient="landscape"/>
          <w:pgMar w:top="1520" w:right="860" w:bottom="1220" w:left="1160" w:header="1319" w:footer="1024" w:gutter="0"/>
          <w:cols w:space="720" w:num="1"/>
        </w:sectPr>
      </w:pPr>
    </w:p>
    <w:p>
      <w:pPr>
        <w:pStyle w:val="2"/>
        <w:spacing w:before="7"/>
        <w:rPr>
          <w:rFonts w:ascii="Times New Roman"/>
          <w:sz w:val="3"/>
        </w:rPr>
      </w:pPr>
    </w:p>
    <w:tbl>
      <w:tblPr>
        <w:tblStyle w:val="9"/>
        <w:tblW w:w="13618" w:type="dxa"/>
        <w:tblInd w:w="60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2844"/>
        <w:gridCol w:w="2561"/>
        <w:gridCol w:w="3840"/>
        <w:gridCol w:w="38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3377" w:type="dxa"/>
            <w:gridSpan w:val="2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126"/>
              <w:ind w:left="1306" w:right="1287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工作内容</w:t>
            </w:r>
          </w:p>
        </w:tc>
        <w:tc>
          <w:tcPr>
            <w:tcW w:w="10241" w:type="dxa"/>
            <w:gridSpan w:val="3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126"/>
              <w:ind w:left="4749" w:right="4709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自查项目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33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1" w:line="187" w:lineRule="auto"/>
              <w:ind w:left="128" w:right="200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防治措施</w:t>
            </w: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40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环保措施</w:t>
            </w:r>
          </w:p>
        </w:tc>
        <w:tc>
          <w:tcPr>
            <w:tcW w:w="1024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115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污水处理设施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F052"/>
            </w:r>
            <w:r>
              <w:rPr>
                <w:sz w:val="18"/>
                <w:lang w:eastAsia="zh-CN"/>
              </w:rPr>
              <w:t xml:space="preserve">；水文减缓设施 </w:t>
            </w:r>
            <w:r>
              <w:rPr>
                <w:sz w:val="18"/>
                <w:lang w:eastAsia="zh-CN"/>
              </w:rPr>
              <w:sym w:font="Wingdings 2" w:char="00A3"/>
            </w:r>
            <w:r>
              <w:rPr>
                <w:sz w:val="18"/>
                <w:lang w:eastAsia="zh-CN"/>
              </w:rPr>
              <w:t xml:space="preserve">；生态流量保障设施 □；区域削减 □；依托其他工程措施 </w:t>
            </w:r>
            <w:r>
              <w:rPr>
                <w:sz w:val="18"/>
                <w:lang w:eastAsia="zh-CN"/>
              </w:rPr>
              <w:sym w:font="Wingdings 2" w:char="00A3"/>
            </w:r>
            <w:r>
              <w:rPr>
                <w:sz w:val="18"/>
                <w:lang w:eastAsia="zh-CN"/>
              </w:rPr>
              <w:t xml:space="preserve">；其他 </w:t>
            </w:r>
            <w:r>
              <w:rPr>
                <w:sz w:val="18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zh-CN"/>
              </w:rPr>
            </w:pPr>
          </w:p>
        </w:tc>
        <w:tc>
          <w:tcPr>
            <w:tcW w:w="284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116"/>
              <w:ind w:left="147" w:right="121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监测计划</w:t>
            </w:r>
          </w:p>
        </w:tc>
        <w:tc>
          <w:tcPr>
            <w:tcW w:w="2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rPr>
                <w:rFonts w:ascii="Times New Roman"/>
                <w:sz w:val="18"/>
                <w:lang w:eastAsia="en-US"/>
              </w:rPr>
            </w:pPr>
          </w:p>
        </w:tc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/>
              <w:ind w:left="25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环境质量</w:t>
            </w:r>
          </w:p>
        </w:tc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37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污染源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84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/>
              <w:ind w:right="807"/>
              <w:jc w:val="right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监测方式 </w:t>
            </w:r>
          </w:p>
        </w:tc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0"/>
              <w:ind w:left="113"/>
              <w:jc w:val="center"/>
              <w:rPr>
                <w:b/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手动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>；自动 □；无监测 □</w:t>
            </w:r>
            <w:r>
              <w:rPr>
                <w:b/>
                <w:w w:val="99"/>
                <w:sz w:val="18"/>
                <w:lang w:eastAsia="zh-CN"/>
              </w:rPr>
              <w:t xml:space="preserve"> </w:t>
            </w:r>
          </w:p>
        </w:tc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38"/>
              <w:jc w:val="center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 xml:space="preserve">手动 </w:t>
            </w:r>
            <w:r>
              <w:rPr>
                <w:sz w:val="18"/>
                <w:lang w:eastAsia="zh-CN"/>
              </w:rPr>
              <w:sym w:font="Wingdings 2" w:char="0052"/>
            </w:r>
            <w:r>
              <w:rPr>
                <w:sz w:val="18"/>
                <w:lang w:eastAsia="zh-CN"/>
              </w:rPr>
              <w:t>；自动 □；无监测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313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zh-CN"/>
              </w:rPr>
            </w:pPr>
          </w:p>
        </w:tc>
        <w:tc>
          <w:tcPr>
            <w:tcW w:w="284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zh-CN"/>
              </w:rPr>
            </w:pPr>
          </w:p>
        </w:tc>
        <w:tc>
          <w:tcPr>
            <w:tcW w:w="2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3"/>
              <w:ind w:right="807"/>
              <w:jc w:val="right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监测点位 </w:t>
            </w:r>
          </w:p>
        </w:tc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tabs>
                <w:tab w:val="left" w:pos="567"/>
              </w:tabs>
              <w:spacing w:before="43"/>
              <w:ind w:left="113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多用途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码头上游500m和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散货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下游1.0km处</w:t>
            </w:r>
            <w:r>
              <w:rPr>
                <w:rFonts w:hint="default" w:ascii="Times New Roman" w:hAnsi="Times New Roman" w:cs="Times New Roman"/>
                <w:spacing w:val="-3"/>
                <w:sz w:val="18"/>
                <w:szCs w:val="18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tabs>
                <w:tab w:val="left" w:pos="580"/>
              </w:tabs>
              <w:spacing w:before="43"/>
              <w:ind w:left="127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en-US"/>
              </w:rPr>
              <w:t>（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散货污水处理站废水、生活污水处理站废水</w:t>
            </w:r>
            <w:r>
              <w:rPr>
                <w:rFonts w:hint="default" w:ascii="Times New Roman" w:hAnsi="Times New Roman" w:cs="Times New Roman"/>
                <w:spacing w:val="-3"/>
                <w:sz w:val="18"/>
                <w:szCs w:val="18"/>
                <w:lang w:eastAsia="en-US"/>
              </w:rPr>
              <w:t>）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311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84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before="41"/>
              <w:ind w:right="807"/>
              <w:jc w:val="right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监测因子 </w:t>
            </w:r>
          </w:p>
        </w:tc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pH、SS、COD、BOD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、NH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-N、</w:t>
            </w:r>
            <w:r>
              <w:rPr>
                <w:rFonts w:hint="eastAsia" w:ascii="Times New Roman" w:hAnsi="Times New Roman" w:cs="Times New Roman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总磷、</w:t>
            </w:r>
            <w:r>
              <w:rPr>
                <w:rFonts w:hint="default" w:ascii="Times New Roman" w:hAnsi="Times New Roman" w:cs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石油类</w:t>
            </w:r>
            <w:r>
              <w:rPr>
                <w:rFonts w:hint="default" w:ascii="Times New Roman" w:hAnsi="Times New Roman" w:cs="Times New Roman"/>
                <w:spacing w:val="-3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3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tabs>
                <w:tab w:val="left" w:pos="580"/>
              </w:tabs>
              <w:spacing w:before="41"/>
              <w:ind w:left="127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en-US"/>
              </w:rPr>
              <w:t>（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流量、色度、pH、SS、COD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Cr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、BOD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、NH</w:t>
            </w:r>
            <w:r>
              <w:rPr>
                <w:rFonts w:hint="default"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-N、石油类</w:t>
            </w:r>
            <w:r>
              <w:rPr>
                <w:rFonts w:hint="default" w:ascii="Times New Roman" w:hAnsi="Times New Roman" w:cs="Times New Roman"/>
                <w:spacing w:val="-3"/>
                <w:sz w:val="18"/>
                <w:szCs w:val="18"/>
                <w:lang w:eastAsia="en-US"/>
              </w:rPr>
              <w:t>）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33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z w:val="2"/>
                <w:szCs w:val="2"/>
                <w:lang w:eastAsia="en-US"/>
              </w:rPr>
            </w:pPr>
          </w:p>
        </w:tc>
        <w:tc>
          <w:tcPr>
            <w:tcW w:w="2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40"/>
              <w:ind w:left="147" w:right="118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污染物排放清单</w:t>
            </w:r>
          </w:p>
        </w:tc>
        <w:tc>
          <w:tcPr>
            <w:tcW w:w="1024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10"/>
              <w:spacing w:before="40"/>
              <w:ind w:left="115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377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spacing w:before="40"/>
              <w:ind w:left="1306" w:right="1287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评价结论</w:t>
            </w:r>
          </w:p>
        </w:tc>
        <w:tc>
          <w:tcPr>
            <w:tcW w:w="10241" w:type="dxa"/>
            <w:gridSpan w:val="3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10"/>
              <w:spacing w:before="40"/>
              <w:ind w:left="115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可以接受</w:t>
            </w:r>
            <w:r>
              <w:rPr>
                <w:rFonts w:hint="eastAsia"/>
                <w:sz w:val="18"/>
                <w:lang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18"/>
                <w:szCs w:val="18"/>
                <w:lang w:eastAsia="zh-CN"/>
              </w:rPr>
              <w:sym w:font="Wingdings 2" w:char="F052"/>
            </w:r>
            <w:r>
              <w:rPr>
                <w:sz w:val="18"/>
                <w:lang w:eastAsia="en-US"/>
              </w:rPr>
              <w:t>；不可以接受 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618" w:type="dxa"/>
            <w:gridSpan w:val="5"/>
          </w:tcPr>
          <w:p>
            <w:pPr>
              <w:pStyle w:val="10"/>
              <w:tabs>
                <w:tab w:val="left" w:pos="3081"/>
              </w:tabs>
              <w:spacing w:before="112"/>
              <w:ind w:left="107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注：“□”为勾选项，可√；“（</w:t>
            </w:r>
            <w:r>
              <w:rPr>
                <w:sz w:val="18"/>
                <w:lang w:eastAsia="zh-CN"/>
              </w:rPr>
              <w:tab/>
            </w:r>
            <w:r>
              <w:rPr>
                <w:sz w:val="18"/>
                <w:lang w:eastAsia="zh-CN"/>
              </w:rPr>
              <w:t>）”为内容填写项；“备注”为其他补充内容。</w:t>
            </w:r>
          </w:p>
        </w:tc>
      </w:tr>
    </w:tbl>
    <w:p/>
    <w:p>
      <w:pPr>
        <w:jc w:val="center"/>
      </w:pPr>
    </w:p>
    <w:sectPr>
      <w:pgSz w:w="16840" w:h="11910" w:orient="landscape"/>
      <w:pgMar w:top="1880" w:right="860" w:bottom="1220" w:left="1160" w:header="1319" w:footer="102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wNzdiODBiMzI3NjhiOWJjODM0NTZlNjVjNGUyNTcifQ=="/>
  </w:docVars>
  <w:rsids>
    <w:rsidRoot w:val="008920C8"/>
    <w:rsid w:val="00005179"/>
    <w:rsid w:val="00357744"/>
    <w:rsid w:val="003817CE"/>
    <w:rsid w:val="00480CDC"/>
    <w:rsid w:val="006C7647"/>
    <w:rsid w:val="00714918"/>
    <w:rsid w:val="008920C8"/>
    <w:rsid w:val="00AD403B"/>
    <w:rsid w:val="00B14E86"/>
    <w:rsid w:val="00C14687"/>
    <w:rsid w:val="00C64CA2"/>
    <w:rsid w:val="00E430A8"/>
    <w:rsid w:val="07004BBF"/>
    <w:rsid w:val="1A841759"/>
    <w:rsid w:val="20A15F69"/>
    <w:rsid w:val="276C2320"/>
    <w:rsid w:val="2B5C6AF3"/>
    <w:rsid w:val="34A90824"/>
    <w:rsid w:val="37C94D26"/>
    <w:rsid w:val="44817398"/>
    <w:rsid w:val="4C523671"/>
    <w:rsid w:val="530542CE"/>
    <w:rsid w:val="59BB781C"/>
    <w:rsid w:val="63D065CB"/>
    <w:rsid w:val="7B917EE0"/>
    <w:rsid w:val="7FC4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1"/>
    <w:qFormat/>
    <w:uiPriority w:val="1"/>
    <w:rPr>
      <w:sz w:val="21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table" w:customStyle="1" w:styleId="9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正文文本 Char"/>
    <w:basedOn w:val="6"/>
    <w:link w:val="2"/>
    <w:qFormat/>
    <w:uiPriority w:val="1"/>
    <w:rPr>
      <w:rFonts w:ascii="宋体" w:hAnsi="宋体" w:eastAsia="宋体" w:cs="宋体"/>
      <w:kern w:val="0"/>
      <w:szCs w:val="21"/>
      <w:lang w:val="zh-CN" w:bidi="zh-CN"/>
    </w:rPr>
  </w:style>
  <w:style w:type="paragraph" w:customStyle="1" w:styleId="12">
    <w:name w:val="ZX 0 表格文字"/>
    <w:basedOn w:val="1"/>
    <w:qFormat/>
    <w:uiPriority w:val="0"/>
    <w:pPr>
      <w:widowControl/>
      <w:wordWrap w:val="0"/>
      <w:overflowPunct w:val="0"/>
      <w:topLinePunct/>
      <w:spacing w:line="276" w:lineRule="auto"/>
      <w:ind w:firstLine="0" w:firstLineChars="0"/>
      <w:jc w:val="center"/>
    </w:pPr>
    <w:rPr>
      <w:sz w:val="21"/>
      <w:szCs w:val="21"/>
    </w:rPr>
  </w:style>
  <w:style w:type="table" w:customStyle="1" w:styleId="13">
    <w:name w:val="样式26"/>
    <w:basedOn w:val="5"/>
    <w:qFormat/>
    <w:uiPriority w:val="99"/>
    <w:rPr>
      <w:sz w:val="21"/>
    </w:rPr>
    <w:tblPr>
      <w:jc w:val="center"/>
      <w:tblBorders>
        <w:top w:val="single" w:color="auto" w:sz="12" w:space="0"/>
        <w:left w:val="single" w:color="auto" w:sz="12" w:space="0"/>
        <w:bottom w:val="single" w:color="auto" w:sz="12" w:space="0"/>
        <w:right w:val="single" w:color="auto" w:sz="12" w:space="0"/>
        <w:insideH w:val="single" w:color="auto" w:sz="4" w:space="0"/>
        <w:insideV w:val="single" w:color="auto" w:sz="4" w:space="0"/>
      </w:tblBorders>
    </w:tblPr>
    <w:trPr>
      <w:jc w:val="center"/>
    </w:trPr>
    <w:tcPr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1961</Words>
  <Characters>2052</Characters>
  <Lines>17</Lines>
  <Paragraphs>4</Paragraphs>
  <TotalTime>1</TotalTime>
  <ScaleCrop>false</ScaleCrop>
  <LinksUpToDate>false</LinksUpToDate>
  <CharactersWithSpaces>2267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2019-01-22T11:09:00Z</dcterms:created>
  <dc:creator>sujuanlwl</dc:creator>
  <cp:lastModifiedBy>yufang</cp:lastModifiedBy>
  <dcterms:modified xsi:type="dcterms:W3CDTF">2022-11-03T03:50:17Z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FD7EFD233FC6431397E723D450314B2A</vt:lpwstr>
  </property>
</Properties>
</file>